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附4</w:t>
      </w:r>
    </w:p>
    <w:p>
      <w:pPr>
        <w:pStyle w:val="3"/>
        <w:spacing w:line="560" w:lineRule="exact"/>
        <w:rPr>
          <w:rFonts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乐企直连服务授权委托书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一、乐企自用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单位授权其关联企业建设、管理平台，或授权不具关联关系的第三方企业承担建设责任，并承担因被授权单位的违法违规行为引发严重后果的连带责任。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二、被授权单位应当能够统筹建设或改造乐企自用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单位及使用单位的自有业务系统以适配乐企服务要求；被授权单位为授权单位的关联企业时，被授权单位可按照税务机关的服务管理要求，代表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单位实施乐企对接，并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的管理工作。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应当具备的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（一）基本条件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.已纳入</w:t>
      </w:r>
      <w:r>
        <w:rPr>
          <w:rFonts w:hint="eastAsia" w:ascii="仿宋_GB2312" w:hAnsi="仿宋_GB2312" w:eastAsia="仿宋_GB2312" w:cs="仿宋_GB2312"/>
          <w:sz w:val="32"/>
          <w:szCs w:val="32"/>
        </w:rPr>
        <w:t>数电票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开票试点纳税人范围；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.纳税信用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为A、B级（B级纳税人需要定期提供货物流、资金流、现金流的有关数据）；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.近三年内不存在税务机关确定的重大税收违法行为；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.能按照税务机关要求依法提供相关涉税数据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，包括但不限于使用单位身份信息、取酬账户信息、经营收入情况等，以及需要特别提供的货物流、资金流、现金流等其他涉税数据。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（二）技术和安全条件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1.有较强的信息化建设、服务、运维能力，企业自有信息系统具有软件著作权、使用权，或相关授权；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必须按照税务机关的要求保存数据并内嵌风险控制规则，同时向税务机关开放接口，供税务机关在线审计；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3.遵守网络安全、数据安全相关规定，遵循税务机关相关管理要求，如实向税务机关报告重大变化和使用单位情况，并承担因使用单位的违法违规行为引发严重后果的连带责任。</w:t>
      </w: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pStyle w:val="2"/>
        <w:spacing w:line="560" w:lineRule="exact"/>
        <w:ind w:left="0" w:leftChars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pStyle w:val="2"/>
        <w:spacing w:line="560" w:lineRule="exact"/>
        <w:ind w:left="0" w:left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805DE"/>
    <w:rsid w:val="0C88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2023-11-03T03:47:00Z</dcterms:created>
  <dc:creator>张兴忠</dc:creator>
  <cp:lastModifiedBy>张兴忠</cp:lastModifiedBy>
  <dcterms:modified xsi:type="dcterms:W3CDTF">2023-11-03T03:48:23Z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