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145" w:type="dxa"/>
        <w:tblInd w:w="88" w:type="dxa"/>
        <w:shd w:val="clear"/>
        <w:tblLayout w:type="fixed"/>
        <w:tblCellMar>
          <w:top w:w="0" w:type="dxa"/>
          <w:left w:w="0" w:type="dxa"/>
          <w:bottom w:w="0" w:type="dxa"/>
          <w:right w:w="0" w:type="dxa"/>
        </w:tblCellMar>
      </w:tblPr>
      <w:tblGrid>
        <w:gridCol w:w="633"/>
        <w:gridCol w:w="1496"/>
        <w:gridCol w:w="3760"/>
        <w:gridCol w:w="4556"/>
        <w:gridCol w:w="2700"/>
      </w:tblGrid>
      <w:tr>
        <w:tblPrEx>
          <w:shd w:val="clear"/>
          <w:tblLayout w:type="fixed"/>
          <w:tblCellMar>
            <w:top w:w="0" w:type="dxa"/>
            <w:left w:w="0" w:type="dxa"/>
            <w:bottom w:w="0" w:type="dxa"/>
            <w:right w:w="0" w:type="dxa"/>
          </w:tblCellMar>
        </w:tblPrEx>
        <w:trPr>
          <w:trHeight w:val="450" w:hRule="atLeast"/>
        </w:trPr>
        <w:tc>
          <w:tcPr>
            <w:tcW w:w="13145" w:type="dxa"/>
            <w:gridSpan w:val="5"/>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ascii="黑体" w:hAnsi="宋体" w:eastAsia="黑体" w:cs="黑体"/>
                <w:color w:val="333333"/>
                <w:sz w:val="32"/>
                <w:szCs w:val="32"/>
              </w:rPr>
              <w:t>内蒙古自治区国家税务局系统重大税务案件审理权限及重大行政处罚案件审理标准</w:t>
            </w:r>
          </w:p>
        </w:tc>
      </w:tr>
      <w:tr>
        <w:tblPrEx>
          <w:tblLayout w:type="fixed"/>
          <w:tblCellMar>
            <w:top w:w="0" w:type="dxa"/>
            <w:left w:w="0" w:type="dxa"/>
            <w:bottom w:w="0" w:type="dxa"/>
            <w:right w:w="0" w:type="dxa"/>
          </w:tblCellMar>
        </w:tblPrEx>
        <w:trPr>
          <w:trHeight w:val="375" w:hRule="atLeast"/>
        </w:trPr>
        <w:tc>
          <w:tcPr>
            <w:tcW w:w="633" w:type="dxa"/>
            <w:shd w:val="clear"/>
            <w:tcMar>
              <w:left w:w="108" w:type="dxa"/>
              <w:right w:w="108" w:type="dxa"/>
            </w:tcMar>
            <w:vAlign w:val="center"/>
          </w:tcPr>
          <w:p>
            <w:pPr>
              <w:rPr>
                <w:rFonts w:hint="eastAsia" w:ascii="宋体"/>
                <w:color w:val="333333"/>
                <w:sz w:val="21"/>
                <w:szCs w:val="21"/>
              </w:rPr>
            </w:pPr>
          </w:p>
        </w:tc>
        <w:tc>
          <w:tcPr>
            <w:tcW w:w="1496" w:type="dxa"/>
            <w:shd w:val="clear"/>
            <w:tcMar>
              <w:left w:w="108" w:type="dxa"/>
              <w:right w:w="108" w:type="dxa"/>
            </w:tcMar>
            <w:vAlign w:val="center"/>
          </w:tcPr>
          <w:p>
            <w:pPr>
              <w:rPr>
                <w:rFonts w:hint="eastAsia" w:ascii="宋体"/>
                <w:color w:val="333333"/>
                <w:sz w:val="21"/>
                <w:szCs w:val="21"/>
              </w:rPr>
            </w:pPr>
          </w:p>
        </w:tc>
        <w:tc>
          <w:tcPr>
            <w:tcW w:w="3760" w:type="dxa"/>
            <w:shd w:val="clear"/>
            <w:tcMar>
              <w:left w:w="108" w:type="dxa"/>
              <w:right w:w="108" w:type="dxa"/>
            </w:tcMar>
            <w:vAlign w:val="center"/>
          </w:tcPr>
          <w:p>
            <w:pPr>
              <w:rPr>
                <w:rFonts w:hint="eastAsia" w:ascii="宋体"/>
                <w:color w:val="333333"/>
                <w:sz w:val="21"/>
                <w:szCs w:val="21"/>
              </w:rPr>
            </w:pPr>
          </w:p>
        </w:tc>
        <w:tc>
          <w:tcPr>
            <w:tcW w:w="4556" w:type="dxa"/>
            <w:shd w:val="clear"/>
            <w:tcMar>
              <w:left w:w="108" w:type="dxa"/>
              <w:right w:w="108" w:type="dxa"/>
            </w:tcMar>
            <w:vAlign w:val="center"/>
          </w:tcPr>
          <w:p>
            <w:pPr>
              <w:rPr>
                <w:rFonts w:hint="eastAsia" w:ascii="宋体"/>
                <w:color w:val="333333"/>
                <w:sz w:val="21"/>
                <w:szCs w:val="21"/>
              </w:rPr>
            </w:pPr>
          </w:p>
        </w:tc>
        <w:tc>
          <w:tcPr>
            <w:tcW w:w="2700" w:type="dxa"/>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1540" w:hRule="atLeast"/>
        </w:trPr>
        <w:tc>
          <w:tcPr>
            <w:tcW w:w="63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333333"/>
                <w:sz w:val="28"/>
                <w:szCs w:val="28"/>
              </w:rPr>
              <w:t>序号</w:t>
            </w:r>
          </w:p>
        </w:tc>
        <w:tc>
          <w:tcPr>
            <w:tcW w:w="525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333333"/>
                <w:sz w:val="28"/>
                <w:szCs w:val="28"/>
              </w:rPr>
              <w:t>单位</w:t>
            </w:r>
          </w:p>
        </w:tc>
        <w:tc>
          <w:tcPr>
            <w:tcW w:w="455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黑体" w:hAnsi="宋体" w:eastAsia="黑体" w:cs="黑体"/>
                <w:color w:val="333333"/>
                <w:sz w:val="28"/>
                <w:szCs w:val="28"/>
              </w:rPr>
              <w:t>重大行政处罚案件审理标准</w:t>
            </w:r>
            <w:r>
              <w:rPr>
                <w:rFonts w:hint="eastAsia" w:ascii="黑体" w:hAnsi="宋体" w:eastAsia="黑体" w:cs="黑体"/>
                <w:color w:val="333333"/>
                <w:sz w:val="28"/>
                <w:szCs w:val="28"/>
              </w:rPr>
              <w:br w:type="textWrapping"/>
            </w:r>
            <w:r>
              <w:rPr>
                <w:rFonts w:hint="eastAsia" w:ascii="黑体" w:hAnsi="宋体" w:eastAsia="黑体" w:cs="黑体"/>
                <w:color w:val="333333"/>
                <w:sz w:val="28"/>
                <w:szCs w:val="28"/>
              </w:rPr>
              <w:t>（查补税款金额达规定标准的行政处罚案件，不含滞纳金、罚款）</w:t>
            </w:r>
            <w:r>
              <w:rPr>
                <w:rFonts w:hint="eastAsia" w:ascii="黑体" w:hAnsi="宋体" w:eastAsia="黑体" w:cs="黑体"/>
                <w:color w:val="333333"/>
                <w:sz w:val="28"/>
                <w:szCs w:val="28"/>
              </w:rPr>
              <w:br w:type="textWrapping"/>
            </w:r>
            <w:r>
              <w:rPr>
                <w:rFonts w:hint="eastAsia" w:ascii="黑体" w:hAnsi="宋体" w:eastAsia="黑体" w:cs="黑体"/>
                <w:color w:val="333333"/>
                <w:sz w:val="28"/>
                <w:szCs w:val="28"/>
              </w:rPr>
              <w:t>（单位：万元）</w:t>
            </w:r>
          </w:p>
        </w:tc>
        <w:tc>
          <w:tcPr>
            <w:tcW w:w="27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333333"/>
                <w:sz w:val="28"/>
                <w:szCs w:val="28"/>
              </w:rPr>
              <w:t>审理权限</w:t>
            </w:r>
          </w:p>
        </w:tc>
      </w:tr>
      <w:tr>
        <w:tblPrEx>
          <w:tblLayout w:type="fixed"/>
          <w:tblCellMar>
            <w:top w:w="0" w:type="dxa"/>
            <w:left w:w="0" w:type="dxa"/>
            <w:bottom w:w="0" w:type="dxa"/>
            <w:right w:w="0" w:type="dxa"/>
          </w:tblCellMar>
        </w:tblPrEx>
        <w:trPr>
          <w:trHeight w:val="750" w:hRule="atLeast"/>
        </w:trPr>
        <w:tc>
          <w:tcPr>
            <w:tcW w:w="6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w:t>
            </w:r>
          </w:p>
        </w:tc>
        <w:tc>
          <w:tcPr>
            <w:tcW w:w="525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内蒙古自治区国家税务局机关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635"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呼和浩特市</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呼和浩特市国家税务局机关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bookmarkStart w:id="0" w:name="_GoBack"/>
            <w:bookmarkEnd w:id="0"/>
            <w:r>
              <w:rPr>
                <w:rFonts w:hint="eastAsia" w:ascii="宋体" w:hAnsi="宋体" w:eastAsia="宋体" w:cs="宋体"/>
                <w:color w:val="333333"/>
                <w:sz w:val="28"/>
                <w:szCs w:val="28"/>
              </w:rPr>
              <w:t>同级审理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771"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各旗县区国家税务局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包头市国家税务局</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包头市国家税务局机关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东河区国家税务局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青山区国家税务局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昆区国家税务局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九原区国家税务局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82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稀土高新技术产业开发区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土默特右旗国家税务局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石拐区国家税务局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固阳县国家税务局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白云区国家税务局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达茂旗国家税务局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69"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4</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呼伦贝尔市</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呼伦贝尔市国家税务局机关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150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88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各旗市区国家税务局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兴安盟国家税务局</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兴安盟国家税务局机关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100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乌兰浩特市国家税务局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20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科右前旗国家税务局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突泉县国家税务局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50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扎赉特旗国家税务局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30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科右中旗国家税务局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50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60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阿尔山市国家税务局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94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乌兰浩特经济技术开发区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000000"/>
                <w:sz w:val="28"/>
                <w:szCs w:val="28"/>
              </w:rPr>
              <w:t>30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725"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6</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通辽市</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通辽市国家税务局机关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91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各旗县市区国家税务局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51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7</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赤峰市国家税务局</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赤峰市国家税务局机关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阿鲁科尔沁旗国家税务局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林西县国家税务局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克什克腾旗国家税务局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喀喇沁旗国家税务局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翁牛特旗国家税务局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宁城县国家税务局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巴林左旗国家税务局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巴林右旗国家税务局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敖汉旗国家税务局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红山区国家税务局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松山区国家税务局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元宝山区国家税务局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129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8</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锡林郭勒盟国家税务局</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锡林郭勒盟国家税务局机关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锡盟国家税务局稽查局及各旗县局提交的查补税款300万元（含本数）的重大行政处罚案件。</w:t>
            </w: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锡林浩特市国家税务局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50-300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下限含本数，上限不含本数。</w:t>
            </w: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阿巴嘎旗国家税务局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苏尼特左旗国家税务局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苏尼特右旗国家税务局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东乌珠穆沁旗国家税务局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西乌珠穆沁旗国家税务局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太仆寺旗国家税务局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镶黄旗国家税务局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正镶白旗国家税务局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正蓝旗国家税务局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多伦县国家税务局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乌拉盖管理区国家税务局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50-300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147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9</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乌兰察布市</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乌兰察布市国家税务局机关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宋体" w:hAnsi="宋体" w:eastAsia="宋体" w:cs="宋体"/>
                <w:color w:val="333333"/>
                <w:sz w:val="28"/>
                <w:szCs w:val="28"/>
              </w:rPr>
              <w:t>全市各级稽查部门查补税款达100万元（含本数）以上的重大行政处罚案件。</w:t>
            </w:r>
          </w:p>
        </w:tc>
      </w:tr>
      <w:tr>
        <w:tblPrEx>
          <w:tblLayout w:type="fixed"/>
          <w:tblCellMar>
            <w:top w:w="0" w:type="dxa"/>
            <w:left w:w="0" w:type="dxa"/>
            <w:bottom w:w="0" w:type="dxa"/>
            <w:right w:w="0" w:type="dxa"/>
          </w:tblCellMar>
        </w:tblPrEx>
        <w:trPr>
          <w:trHeight w:val="40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集宁区国家税务局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20-100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下限含本数，上限不含本数。</w:t>
            </w: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丰镇市国家税务局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商都县国家税务局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卓资县国家税务局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察右前旗国家税务局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察右中旗国家税务局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察右后旗国家税务局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凉城县国家税务局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化德县国家税务局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四子王旗国家税务局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兴和县国家税务局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20-100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9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鄂尔多斯市</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鄂尔多斯市国家税务局机关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东胜区国家税务局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达拉特旗国家税务局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准格尔旗国家税务局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伊金霍洛旗国家税务局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乌审旗国家税务局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杭锦旗国家税务局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鄂托克旗国家税务局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鄂托克前旗国家税务局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康巴什新区国家税务局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75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准格尔经济开发区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75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鄂托克经济开发区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1920"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11</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p>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巴彦淖尔市</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巴彦淖尔市国家税务局机关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宋体" w:hAnsi="宋体" w:eastAsia="宋体" w:cs="宋体"/>
                <w:color w:val="333333"/>
                <w:sz w:val="28"/>
                <w:szCs w:val="28"/>
              </w:rPr>
              <w:t>市稽查局及各旗县区局达到100万元以上（含本数）的重大行政处罚案件以及所有虚开发票案件，由市局重大税务案件审理委员会审理。</w:t>
            </w:r>
          </w:p>
        </w:tc>
      </w:tr>
      <w:tr>
        <w:tblPrEx>
          <w:tblLayout w:type="fixed"/>
          <w:tblCellMar>
            <w:top w:w="0" w:type="dxa"/>
            <w:left w:w="0" w:type="dxa"/>
            <w:bottom w:w="0" w:type="dxa"/>
            <w:right w:w="0" w:type="dxa"/>
          </w:tblCellMar>
        </w:tblPrEx>
        <w:trPr>
          <w:trHeight w:val="79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各旗县区局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30-100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下限含本数，上限不含本数。</w:t>
            </w:r>
          </w:p>
        </w:tc>
      </w:tr>
      <w:tr>
        <w:tblPrEx>
          <w:tblLayout w:type="fixed"/>
          <w:tblCellMar>
            <w:top w:w="0" w:type="dxa"/>
            <w:left w:w="0" w:type="dxa"/>
            <w:bottom w:w="0" w:type="dxa"/>
            <w:right w:w="0" w:type="dxa"/>
          </w:tblCellMar>
        </w:tblPrEx>
        <w:trPr>
          <w:trHeight w:val="1125" w:hRule="atLeast"/>
        </w:trPr>
        <w:tc>
          <w:tcPr>
            <w:tcW w:w="6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12</w:t>
            </w:r>
          </w:p>
        </w:tc>
        <w:tc>
          <w:tcPr>
            <w:tcW w:w="525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乌海市国家税务局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企业100，个体工商户5</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采取一级稽查模式，旗县局无重大税务案件审理。</w:t>
            </w:r>
          </w:p>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465" w:hRule="atLeast"/>
        </w:trPr>
        <w:tc>
          <w:tcPr>
            <w:tcW w:w="6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13</w:t>
            </w:r>
          </w:p>
        </w:tc>
        <w:tc>
          <w:tcPr>
            <w:tcW w:w="1496" w:type="dxa"/>
            <w:vMerge w:val="restart"/>
            <w:tcBorders>
              <w:top w:val="nil"/>
              <w:left w:val="nil"/>
              <w:bottom w:val="single" w:color="auto" w:sz="8" w:space="0"/>
              <w:right w:val="single" w:color="auto" w:sz="8" w:space="0"/>
            </w:tcBorders>
            <w:shd w:val="clear"/>
            <w:tcMar>
              <w:left w:w="108" w:type="dxa"/>
              <w:right w:w="108" w:type="dxa"/>
            </w:tcMar>
            <w:textDirection w:val="tbRlV"/>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国家税务局</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阿拉善盟</w:t>
            </w: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阿拉善盟国家税务局机关</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同级审理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（标准含本数）</w:t>
            </w: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阿拉善左旗国家税局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阿拉善右旗国家税局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30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375"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额济纳旗国家税务局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50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750" w:hRule="atLeast"/>
        </w:trPr>
        <w:tc>
          <w:tcPr>
            <w:tcW w:w="6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c>
          <w:tcPr>
            <w:tcW w:w="1496" w:type="dxa"/>
            <w:vMerge w:val="continue"/>
            <w:tcBorders>
              <w:top w:val="nil"/>
              <w:left w:val="nil"/>
              <w:bottom w:val="single" w:color="auto" w:sz="8" w:space="0"/>
              <w:right w:val="single" w:color="auto" w:sz="8" w:space="0"/>
            </w:tcBorders>
            <w:shd w:val="clear"/>
            <w:tcMar>
              <w:left w:w="108" w:type="dxa"/>
              <w:right w:w="108" w:type="dxa"/>
            </w:tcMar>
            <w:textDirection w:val="tbRlV"/>
            <w:vAlign w:val="center"/>
          </w:tcPr>
          <w:p>
            <w:pPr>
              <w:rPr>
                <w:rFonts w:hint="eastAsia" w:ascii="宋体"/>
                <w:color w:val="333333"/>
                <w:sz w:val="21"/>
                <w:szCs w:val="21"/>
              </w:rPr>
            </w:pPr>
          </w:p>
        </w:tc>
        <w:tc>
          <w:tcPr>
            <w:tcW w:w="37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阿拉善经济开发区</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w:t>
            </w:r>
          </w:p>
        </w:tc>
        <w:tc>
          <w:tcPr>
            <w:tcW w:w="270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333333"/>
                <w:sz w:val="21"/>
                <w:szCs w:val="21"/>
              </w:rPr>
            </w:pPr>
          </w:p>
        </w:tc>
      </w:tr>
      <w:tr>
        <w:tblPrEx>
          <w:tblLayout w:type="fixed"/>
          <w:tblCellMar>
            <w:top w:w="0" w:type="dxa"/>
            <w:left w:w="0" w:type="dxa"/>
            <w:bottom w:w="0" w:type="dxa"/>
            <w:right w:w="0" w:type="dxa"/>
          </w:tblCellMar>
        </w:tblPrEx>
        <w:trPr>
          <w:trHeight w:val="1230" w:hRule="atLeast"/>
        </w:trPr>
        <w:tc>
          <w:tcPr>
            <w:tcW w:w="6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14</w:t>
            </w:r>
          </w:p>
        </w:tc>
        <w:tc>
          <w:tcPr>
            <w:tcW w:w="525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满洲里市国家税务局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200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宋体" w:hAnsi="宋体" w:eastAsia="宋体" w:cs="宋体"/>
                <w:color w:val="333333"/>
                <w:sz w:val="28"/>
                <w:szCs w:val="28"/>
              </w:rPr>
              <w:t>各区国家税务局未设稽查部门，因此不具有重大税务案件审理权限。</w:t>
            </w:r>
          </w:p>
        </w:tc>
      </w:tr>
      <w:tr>
        <w:tblPrEx>
          <w:tblLayout w:type="fixed"/>
          <w:tblCellMar>
            <w:top w:w="0" w:type="dxa"/>
            <w:left w:w="0" w:type="dxa"/>
            <w:bottom w:w="0" w:type="dxa"/>
            <w:right w:w="0" w:type="dxa"/>
          </w:tblCellMar>
        </w:tblPrEx>
        <w:trPr>
          <w:trHeight w:val="1215" w:hRule="atLeast"/>
        </w:trPr>
        <w:tc>
          <w:tcPr>
            <w:tcW w:w="6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15</w:t>
            </w:r>
          </w:p>
        </w:tc>
        <w:tc>
          <w:tcPr>
            <w:tcW w:w="525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二连市国家税务局</w:t>
            </w:r>
          </w:p>
        </w:tc>
        <w:tc>
          <w:tcPr>
            <w:tcW w:w="45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color w:val="333333"/>
                <w:sz w:val="28"/>
                <w:szCs w:val="28"/>
              </w:rPr>
              <w:t>100</w:t>
            </w:r>
          </w:p>
        </w:tc>
        <w:tc>
          <w:tcPr>
            <w:tcW w:w="27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overflowPunct/>
              <w:autoSpaceDE w:val="0"/>
              <w:autoSpaceDN/>
              <w:spacing w:before="0" w:beforeAutospacing="0" w:after="0" w:afterAutospacing="0" w:line="360" w:lineRule="atLeast"/>
              <w:ind w:left="0" w:right="0"/>
              <w:jc w:val="left"/>
              <w:rPr>
                <w:rFonts w:hint="default" w:ascii="Times New Roman" w:hAnsi="Times New Roman" w:cs="Times New Roman"/>
                <w:sz w:val="21"/>
                <w:szCs w:val="21"/>
              </w:rPr>
            </w:pPr>
            <w:r>
              <w:rPr>
                <w:rFonts w:hint="eastAsia" w:ascii="宋体" w:hAnsi="宋体" w:eastAsia="宋体" w:cs="宋体"/>
                <w:color w:val="333333"/>
                <w:sz w:val="28"/>
                <w:szCs w:val="28"/>
              </w:rPr>
              <w:t>二连浩特市国家税务局无旗县局，各分局无稽查机构。</w:t>
            </w:r>
          </w:p>
        </w:tc>
      </w:tr>
    </w:tbl>
    <w:p>
      <w:r>
        <w:rPr>
          <w:rFonts w:ascii="仿宋_GB2312" w:hAnsi="宋体" w:eastAsia="仿宋_GB2312" w:cs="仿宋_GB2312"/>
          <w:color w:val="333333"/>
          <w:sz w:val="32"/>
          <w:szCs w:val="32"/>
        </w:rPr>
        <w:br w:type="page"/>
      </w:r>
    </w:p>
    <w:sectPr>
      <w:pgSz w:w="16838" w:h="11906" w:orient="landscape"/>
      <w:pgMar w:top="1803" w:right="1440" w:bottom="1803" w:left="1440" w:header="851" w:footer="992" w:gutter="0"/>
      <w:paperSrc/>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557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2016-12-08T02:46:17Z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