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9C3" w:rsidRPr="00906E0C" w:rsidRDefault="003F69C3" w:rsidP="003F69C3">
      <w:pPr>
        <w:snapToGrid w:val="0"/>
        <w:spacing w:line="580" w:lineRule="exact"/>
        <w:jc w:val="center"/>
        <w:rPr>
          <w:rFonts w:ascii="方正小标宋简体" w:eastAsia="方正小标宋简体" w:hAnsi="黑体"/>
          <w:sz w:val="36"/>
          <w:szCs w:val="36"/>
        </w:rPr>
      </w:pPr>
      <w:r w:rsidRPr="00906E0C">
        <w:rPr>
          <w:rFonts w:ascii="方正小标宋简体" w:eastAsia="方正小标宋简体" w:hAnsi="黑体" w:hint="eastAsia"/>
          <w:sz w:val="36"/>
          <w:szCs w:val="36"/>
        </w:rPr>
        <w:t>总分支机构主管税务机关在综合征管系统的信息维护和纳税申报及税款入库操作要点</w:t>
      </w:r>
    </w:p>
    <w:p w:rsidR="003F69C3" w:rsidRPr="00906E0C" w:rsidRDefault="003F69C3" w:rsidP="003F69C3">
      <w:pPr>
        <w:snapToGrid w:val="0"/>
        <w:spacing w:line="580" w:lineRule="exact"/>
        <w:ind w:firstLineChars="200" w:firstLine="640"/>
        <w:rPr>
          <w:rFonts w:ascii="宋体" w:hAnsi="宋体"/>
          <w:sz w:val="32"/>
          <w:szCs w:val="32"/>
        </w:rPr>
      </w:pPr>
    </w:p>
    <w:p w:rsidR="003F69C3" w:rsidRPr="00906E0C" w:rsidRDefault="003F69C3" w:rsidP="003F69C3">
      <w:pPr>
        <w:spacing w:line="560" w:lineRule="exact"/>
        <w:ind w:firstLineChars="200" w:firstLine="640"/>
        <w:rPr>
          <w:rFonts w:ascii="方正仿宋简体" w:eastAsia="方正仿宋简体" w:hAnsi="仿宋"/>
          <w:sz w:val="32"/>
          <w:szCs w:val="32"/>
        </w:rPr>
      </w:pPr>
      <w:r w:rsidRPr="00906E0C">
        <w:rPr>
          <w:rFonts w:ascii="方正仿宋简体" w:eastAsia="方正仿宋简体" w:hAnsi="仿宋" w:hint="eastAsia"/>
          <w:sz w:val="32"/>
          <w:szCs w:val="32"/>
        </w:rPr>
        <w:t>一、对总分支机构信息及税款分配比例的维护。</w:t>
      </w:r>
    </w:p>
    <w:p w:rsidR="003F69C3" w:rsidRPr="00906E0C" w:rsidRDefault="003F69C3" w:rsidP="003F69C3">
      <w:pPr>
        <w:pStyle w:val="a3"/>
        <w:spacing w:line="560" w:lineRule="exact"/>
        <w:ind w:firstLine="640"/>
        <w:rPr>
          <w:rFonts w:ascii="方正仿宋简体" w:eastAsia="方正仿宋简体" w:hAnsi="仿宋"/>
          <w:sz w:val="32"/>
          <w:szCs w:val="32"/>
        </w:rPr>
      </w:pPr>
      <w:r w:rsidRPr="00906E0C">
        <w:rPr>
          <w:rFonts w:ascii="方正仿宋简体" w:eastAsia="方正仿宋简体" w:hAnsi="仿宋" w:hint="eastAsia"/>
          <w:sz w:val="32"/>
          <w:szCs w:val="32"/>
        </w:rPr>
        <w:t>1、分支机构的主管税务机关在办理汇总纳税时选择“分支机构”，并录入总机构税务登记号，同时对分支机构完成独立申报的税种登记。</w:t>
      </w:r>
      <w:r w:rsidRPr="00906E0C">
        <w:rPr>
          <w:rFonts w:ascii="方正仿宋简体" w:eastAsia="方正仿宋简体" w:hAnsi="仿宋" w:cs="宋体" w:hint="eastAsia"/>
          <w:bCs/>
          <w:sz w:val="32"/>
          <w:szCs w:val="32"/>
        </w:rPr>
        <w:t>总机构指的是作为法人的企业而非上一级分支机构。因增值税和所得税的总机构概念不同，当增值税和所得税的总机构对象不同时，按照所得税的总机构的填写，不影响增值税申报。</w:t>
      </w:r>
      <w:r w:rsidRPr="00906E0C">
        <w:rPr>
          <w:rFonts w:ascii="方正仿宋简体" w:eastAsia="方正仿宋简体" w:hAnsi="仿宋" w:hint="eastAsia"/>
          <w:sz w:val="32"/>
          <w:szCs w:val="32"/>
        </w:rPr>
        <w:t>总机构主管税务机关在综合征管系统中</w:t>
      </w:r>
      <w:proofErr w:type="gramStart"/>
      <w:r w:rsidRPr="00906E0C">
        <w:rPr>
          <w:rFonts w:ascii="方正仿宋简体" w:eastAsia="方正仿宋简体" w:hAnsi="仿宋" w:hint="eastAsia"/>
          <w:sz w:val="32"/>
          <w:szCs w:val="32"/>
        </w:rPr>
        <w:t>维护总</w:t>
      </w:r>
      <w:proofErr w:type="gramEnd"/>
      <w:r w:rsidRPr="00906E0C">
        <w:rPr>
          <w:rFonts w:ascii="方正仿宋简体" w:eastAsia="方正仿宋简体" w:hAnsi="仿宋" w:hint="eastAsia"/>
          <w:sz w:val="32"/>
          <w:szCs w:val="32"/>
        </w:rPr>
        <w:t>机构纳税人“总分机构标志”，总分支机构标志选择总机构，并将所有分支机构信息录入“分支机构情况栏”。</w:t>
      </w:r>
    </w:p>
    <w:p w:rsidR="003F69C3" w:rsidRPr="00906E0C" w:rsidRDefault="003F69C3" w:rsidP="003F69C3">
      <w:pPr>
        <w:spacing w:line="560" w:lineRule="exact"/>
        <w:ind w:firstLineChars="200" w:firstLine="640"/>
        <w:rPr>
          <w:rFonts w:ascii="方正仿宋简体" w:eastAsia="方正仿宋简体" w:hAnsi="仿宋"/>
          <w:sz w:val="32"/>
          <w:szCs w:val="32"/>
        </w:rPr>
      </w:pPr>
      <w:r w:rsidRPr="00906E0C">
        <w:rPr>
          <w:rFonts w:ascii="方正仿宋简体" w:eastAsia="方正仿宋简体" w:hAnsi="仿宋" w:hint="eastAsia"/>
          <w:sz w:val="32"/>
          <w:szCs w:val="32"/>
        </w:rPr>
        <w:t>操作步骤：税务登记信息录入--</w:t>
      </w:r>
      <w:r w:rsidRPr="00906E0C">
        <w:rPr>
          <w:rFonts w:ascii="方正仿宋简体" w:eastAsia="方正仿宋简体" w:hAnsi="仿宋" w:hint="eastAsia"/>
          <w:sz w:val="32"/>
          <w:szCs w:val="32"/>
        </w:rPr>
        <w:sym w:font="Wingdings" w:char="F0E0"/>
      </w:r>
      <w:r w:rsidRPr="00906E0C">
        <w:rPr>
          <w:rFonts w:ascii="方正仿宋简体" w:eastAsia="方正仿宋简体" w:hAnsi="仿宋" w:hint="eastAsia"/>
          <w:sz w:val="32"/>
          <w:szCs w:val="32"/>
        </w:rPr>
        <w:t>税务登记表（适用单位纳税人）：</w:t>
      </w:r>
    </w:p>
    <w:p w:rsidR="003F69C3" w:rsidRPr="00906E0C" w:rsidRDefault="003F69C3" w:rsidP="003F69C3">
      <w:pPr>
        <w:rPr>
          <w:rFonts w:ascii="仿宋" w:eastAsia="仿宋" w:hAnsi="仿宋"/>
          <w:sz w:val="32"/>
          <w:szCs w:val="32"/>
        </w:rPr>
      </w:pPr>
      <w:r>
        <w:rPr>
          <w:rFonts w:ascii="仿宋" w:eastAsia="仿宋" w:hAnsi="仿宋"/>
          <w:noProof/>
          <w:sz w:val="32"/>
          <w:szCs w:val="32"/>
        </w:rPr>
        <w:drawing>
          <wp:inline distT="0" distB="0" distL="0" distR="0">
            <wp:extent cx="4533900" cy="2543175"/>
            <wp:effectExtent l="0" t="0" r="0" b="9525"/>
            <wp:docPr id="2" name="图片 2"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3900" cy="2543175"/>
                    </a:xfrm>
                    <a:prstGeom prst="rect">
                      <a:avLst/>
                    </a:prstGeom>
                    <a:noFill/>
                    <a:ln>
                      <a:noFill/>
                    </a:ln>
                  </pic:spPr>
                </pic:pic>
              </a:graphicData>
            </a:graphic>
          </wp:inline>
        </w:drawing>
      </w:r>
    </w:p>
    <w:p w:rsidR="003F69C3" w:rsidRPr="00906E0C" w:rsidRDefault="003F69C3" w:rsidP="003F69C3">
      <w:pPr>
        <w:ind w:firstLineChars="200" w:firstLine="640"/>
        <w:rPr>
          <w:rFonts w:ascii="方正仿宋简体" w:eastAsia="方正仿宋简体" w:hAnsi="仿宋"/>
          <w:sz w:val="32"/>
          <w:szCs w:val="32"/>
        </w:rPr>
      </w:pPr>
      <w:r w:rsidRPr="00906E0C">
        <w:rPr>
          <w:rFonts w:ascii="方正仿宋简体" w:eastAsia="方正仿宋简体" w:hAnsi="仿宋" w:hint="eastAsia"/>
          <w:sz w:val="32"/>
          <w:szCs w:val="32"/>
        </w:rPr>
        <w:t>2、对总机构汇总文书及比例维护</w:t>
      </w:r>
    </w:p>
    <w:p w:rsidR="003F69C3" w:rsidRPr="00906E0C" w:rsidRDefault="003F69C3" w:rsidP="003F69C3">
      <w:pPr>
        <w:ind w:firstLineChars="200" w:firstLine="640"/>
        <w:rPr>
          <w:rFonts w:ascii="方正仿宋简体" w:eastAsia="方正仿宋简体" w:hAnsi="仿宋"/>
          <w:sz w:val="32"/>
          <w:szCs w:val="32"/>
        </w:rPr>
      </w:pPr>
      <w:r w:rsidRPr="00906E0C">
        <w:rPr>
          <w:rFonts w:ascii="方正仿宋简体" w:eastAsia="方正仿宋简体" w:hAnsi="仿宋" w:hint="eastAsia"/>
          <w:sz w:val="32"/>
          <w:szCs w:val="32"/>
        </w:rPr>
        <w:t>操作步骤：汇总类文书-</w:t>
      </w:r>
      <w:r w:rsidRPr="00906E0C">
        <w:rPr>
          <w:rFonts w:ascii="方正仿宋简体" w:eastAsia="方正仿宋简体" w:hAnsi="仿宋" w:hint="eastAsia"/>
          <w:sz w:val="32"/>
          <w:szCs w:val="32"/>
        </w:rPr>
        <w:sym w:font="Wingdings" w:char="F0E0"/>
      </w:r>
      <w:r w:rsidRPr="00906E0C">
        <w:rPr>
          <w:rFonts w:ascii="方正仿宋简体" w:eastAsia="方正仿宋简体" w:hAnsi="仿宋" w:hint="eastAsia"/>
          <w:sz w:val="32"/>
          <w:szCs w:val="32"/>
        </w:rPr>
        <w:t>汇总申报（总机构在系统内）</w:t>
      </w:r>
    </w:p>
    <w:p w:rsidR="003F69C3" w:rsidRPr="00906E0C" w:rsidRDefault="003F69C3" w:rsidP="003F69C3">
      <w:pPr>
        <w:rPr>
          <w:rFonts w:ascii="仿宋" w:eastAsia="仿宋" w:hAnsi="仿宋"/>
          <w:sz w:val="32"/>
          <w:szCs w:val="32"/>
        </w:rPr>
      </w:pPr>
      <w:r>
        <w:rPr>
          <w:rFonts w:ascii="仿宋" w:eastAsia="仿宋" w:hAnsi="仿宋"/>
          <w:noProof/>
          <w:sz w:val="32"/>
          <w:szCs w:val="32"/>
        </w:rPr>
        <w:lastRenderedPageBreak/>
        <w:drawing>
          <wp:inline distT="0" distB="0" distL="0" distR="0">
            <wp:extent cx="4667250" cy="3028950"/>
            <wp:effectExtent l="0" t="0" r="0" b="0"/>
            <wp:docPr id="1" name="图片 1" desc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0" cy="3028950"/>
                    </a:xfrm>
                    <a:prstGeom prst="rect">
                      <a:avLst/>
                    </a:prstGeom>
                    <a:noFill/>
                    <a:ln>
                      <a:noFill/>
                    </a:ln>
                  </pic:spPr>
                </pic:pic>
              </a:graphicData>
            </a:graphic>
          </wp:inline>
        </w:drawing>
      </w:r>
    </w:p>
    <w:p w:rsidR="003F69C3" w:rsidRPr="00906E0C" w:rsidRDefault="003F69C3" w:rsidP="003F69C3">
      <w:pPr>
        <w:spacing w:line="560" w:lineRule="exact"/>
        <w:ind w:firstLineChars="200" w:firstLine="640"/>
        <w:rPr>
          <w:rFonts w:ascii="方正仿宋简体" w:eastAsia="方正仿宋简体" w:hAnsi="仿宋"/>
          <w:sz w:val="32"/>
          <w:szCs w:val="32"/>
        </w:rPr>
      </w:pPr>
      <w:r w:rsidRPr="00906E0C">
        <w:rPr>
          <w:rFonts w:ascii="方正仿宋简体" w:eastAsia="方正仿宋简体" w:hAnsi="仿宋" w:hint="eastAsia"/>
          <w:sz w:val="32"/>
          <w:szCs w:val="32"/>
        </w:rPr>
        <w:t>请注意汇总申报税种选择，分支机构申报模式选择3 “被汇总申报”，输入分配比例，其余分支机构的分配比例之和应为100%。对每</w:t>
      </w:r>
      <w:proofErr w:type="gramStart"/>
      <w:r w:rsidRPr="00906E0C">
        <w:rPr>
          <w:rFonts w:ascii="方正仿宋简体" w:eastAsia="方正仿宋简体" w:hAnsi="仿宋" w:hint="eastAsia"/>
          <w:sz w:val="32"/>
          <w:szCs w:val="32"/>
        </w:rPr>
        <w:t>月分</w:t>
      </w:r>
      <w:proofErr w:type="gramEnd"/>
      <w:r w:rsidRPr="00906E0C">
        <w:rPr>
          <w:rFonts w:ascii="方正仿宋简体" w:eastAsia="方正仿宋简体" w:hAnsi="仿宋" w:hint="eastAsia"/>
          <w:sz w:val="32"/>
          <w:szCs w:val="32"/>
        </w:rPr>
        <w:t>支机构分配税款比例不一致的，</w:t>
      </w:r>
      <w:proofErr w:type="gramStart"/>
      <w:r w:rsidRPr="00906E0C">
        <w:rPr>
          <w:rFonts w:ascii="方正仿宋简体" w:eastAsia="方正仿宋简体" w:hAnsi="仿宋" w:hint="eastAsia"/>
          <w:sz w:val="32"/>
          <w:szCs w:val="32"/>
        </w:rPr>
        <w:t>请总机构</w:t>
      </w:r>
      <w:proofErr w:type="gramEnd"/>
      <w:r w:rsidRPr="00906E0C">
        <w:rPr>
          <w:rFonts w:ascii="方正仿宋简体" w:eastAsia="方正仿宋简体" w:hAnsi="仿宋" w:hint="eastAsia"/>
          <w:sz w:val="32"/>
          <w:szCs w:val="32"/>
        </w:rPr>
        <w:t>所属税务机关每月申报</w:t>
      </w:r>
      <w:proofErr w:type="gramStart"/>
      <w:r w:rsidRPr="00906E0C">
        <w:rPr>
          <w:rFonts w:ascii="方正仿宋简体" w:eastAsia="方正仿宋简体" w:hAnsi="仿宋" w:hint="eastAsia"/>
          <w:sz w:val="32"/>
          <w:szCs w:val="32"/>
        </w:rPr>
        <w:t>前在此</w:t>
      </w:r>
      <w:proofErr w:type="gramEnd"/>
      <w:r w:rsidRPr="00906E0C">
        <w:rPr>
          <w:rFonts w:ascii="方正仿宋简体" w:eastAsia="方正仿宋简体" w:hAnsi="仿宋" w:hint="eastAsia"/>
          <w:sz w:val="32"/>
          <w:szCs w:val="32"/>
        </w:rPr>
        <w:t>模块维护具体的分配比例，有效期起为申报所属期的月初。</w:t>
      </w:r>
    </w:p>
    <w:p w:rsidR="003F69C3" w:rsidRPr="00906E0C" w:rsidRDefault="003F69C3" w:rsidP="003F69C3">
      <w:pPr>
        <w:spacing w:line="560" w:lineRule="exact"/>
        <w:ind w:firstLineChars="200" w:firstLine="640"/>
        <w:rPr>
          <w:rFonts w:ascii="方正仿宋简体" w:eastAsia="方正仿宋简体" w:hAnsi="仿宋"/>
          <w:sz w:val="32"/>
          <w:szCs w:val="32"/>
        </w:rPr>
      </w:pPr>
      <w:r w:rsidRPr="00906E0C">
        <w:rPr>
          <w:rFonts w:ascii="方正仿宋简体" w:eastAsia="方正仿宋简体" w:hAnsi="仿宋" w:hint="eastAsia"/>
          <w:sz w:val="32"/>
          <w:szCs w:val="32"/>
        </w:rPr>
        <w:t>3、经批准实行汇总纳税的纳税人，总机构所属主管税务机关应将总机构税种登记信息（税目、税率、预算分配比例等）传至分支机构主管税务机关，以便总分机构税种登记信息录入一致。</w:t>
      </w:r>
    </w:p>
    <w:p w:rsidR="003F69C3" w:rsidRPr="00906E0C" w:rsidRDefault="003F69C3" w:rsidP="003F69C3">
      <w:pPr>
        <w:spacing w:line="560" w:lineRule="exact"/>
        <w:ind w:firstLineChars="200" w:firstLine="640"/>
        <w:rPr>
          <w:rFonts w:ascii="方正仿宋简体" w:eastAsia="方正仿宋简体" w:hAnsi="仿宋"/>
          <w:sz w:val="32"/>
          <w:szCs w:val="32"/>
        </w:rPr>
      </w:pPr>
      <w:r w:rsidRPr="00906E0C">
        <w:rPr>
          <w:rFonts w:ascii="方正仿宋简体" w:eastAsia="方正仿宋简体" w:hAnsi="仿宋" w:hint="eastAsia"/>
          <w:sz w:val="32"/>
          <w:szCs w:val="32"/>
        </w:rPr>
        <w:t>4、如果总机构和分支机构均签订了税库银横向联网扣款协议，“一窗式”比对后会自动按分配比例将总机构和分支机构应缴税款进行分配,总机构和分支机构税务机关通过清理税款开票进行税款扣缴。未签银</w:t>
      </w:r>
      <w:proofErr w:type="gramStart"/>
      <w:r w:rsidRPr="00906E0C">
        <w:rPr>
          <w:rFonts w:ascii="方正仿宋简体" w:eastAsia="方正仿宋简体" w:hAnsi="仿宋" w:hint="eastAsia"/>
          <w:sz w:val="32"/>
          <w:szCs w:val="32"/>
        </w:rPr>
        <w:t>税协议</w:t>
      </w:r>
      <w:proofErr w:type="gramEnd"/>
      <w:r w:rsidRPr="00906E0C">
        <w:rPr>
          <w:rFonts w:ascii="方正仿宋简体" w:eastAsia="方正仿宋简体" w:hAnsi="仿宋" w:hint="eastAsia"/>
          <w:sz w:val="32"/>
          <w:szCs w:val="32"/>
        </w:rPr>
        <w:t>的只能分别在总分机构所属税务机关开具纸质缴款书。</w:t>
      </w:r>
    </w:p>
    <w:p w:rsidR="003F69C3" w:rsidRPr="00906E0C" w:rsidRDefault="003F69C3" w:rsidP="003F69C3">
      <w:pPr>
        <w:snapToGrid w:val="0"/>
        <w:spacing w:line="560" w:lineRule="exact"/>
        <w:ind w:firstLineChars="200" w:firstLine="640"/>
        <w:rPr>
          <w:rFonts w:ascii="方正仿宋简体" w:eastAsia="方正仿宋简体" w:hAnsi="仿宋"/>
          <w:sz w:val="32"/>
          <w:szCs w:val="32"/>
        </w:rPr>
      </w:pPr>
      <w:r w:rsidRPr="00906E0C">
        <w:rPr>
          <w:rFonts w:ascii="方正仿宋简体" w:eastAsia="方正仿宋简体" w:hAnsi="仿宋" w:hint="eastAsia"/>
          <w:sz w:val="32"/>
          <w:szCs w:val="32"/>
        </w:rPr>
        <w:t>二、总分支机构的增值税纳税申报及税款入库。</w:t>
      </w:r>
    </w:p>
    <w:p w:rsidR="003F69C3" w:rsidRPr="00906E0C" w:rsidRDefault="003F69C3" w:rsidP="003F69C3">
      <w:pPr>
        <w:snapToGrid w:val="0"/>
        <w:spacing w:line="560" w:lineRule="exact"/>
        <w:ind w:firstLineChars="200" w:firstLine="640"/>
        <w:rPr>
          <w:rFonts w:ascii="方正仿宋简体" w:eastAsia="方正仿宋简体" w:hAnsi="仿宋"/>
          <w:snapToGrid w:val="0"/>
          <w:sz w:val="32"/>
          <w:szCs w:val="32"/>
        </w:rPr>
      </w:pPr>
      <w:r w:rsidRPr="00906E0C">
        <w:rPr>
          <w:rFonts w:ascii="方正仿宋简体" w:eastAsia="方正仿宋简体" w:hAnsi="仿宋" w:hint="eastAsia"/>
          <w:sz w:val="32"/>
          <w:szCs w:val="32"/>
        </w:rPr>
        <w:lastRenderedPageBreak/>
        <w:t>增值税纳税申报由总机构统一向其总机构所在地主管税务机关申报，同时总机构所在地主管税务机关应将各分支机构的应纳税额及分配比例录入综合征管系统，通过税库银将增值税应纳税额分别划入总机构和各分支机构所在地金库，各分支机构不再进行纳税申报，各分支机构所在地主管税务机关应按规定进行日常税收管理，在总机构将税款分配后,进入清理税款开票模块通过税库银进行各分支机构分配税款的扣缴。</w:t>
      </w:r>
      <w:r w:rsidRPr="009F3205">
        <w:rPr>
          <w:rFonts w:ascii="方正仿宋简体" w:eastAsia="方正仿宋简体" w:hAnsi="仿宋" w:hint="eastAsia"/>
          <w:sz w:val="32"/>
          <w:szCs w:val="32"/>
        </w:rPr>
        <w:t>纳税人</w:t>
      </w:r>
      <w:r w:rsidRPr="009F3205">
        <w:rPr>
          <w:rFonts w:ascii="方正仿宋简体" w:eastAsia="方正仿宋简体" w:hAnsi="仿宋" w:hint="eastAsia"/>
          <w:snapToGrid w:val="0"/>
          <w:sz w:val="32"/>
          <w:szCs w:val="32"/>
        </w:rPr>
        <w:t>通过</w:t>
      </w:r>
      <w:r w:rsidRPr="000D76CB">
        <w:rPr>
          <w:rFonts w:ascii="方正仿宋简体" w:eastAsia="方正仿宋简体" w:hAnsi="仿宋" w:hint="eastAsia"/>
          <w:b/>
          <w:snapToGrid w:val="0"/>
          <w:sz w:val="32"/>
          <w:szCs w:val="32"/>
        </w:rPr>
        <w:t>省税务局</w:t>
      </w:r>
      <w:r w:rsidRPr="009F3205">
        <w:rPr>
          <w:rFonts w:ascii="方正仿宋简体" w:eastAsia="方正仿宋简体" w:hAnsi="仿宋" w:hint="eastAsia"/>
          <w:snapToGrid w:val="0"/>
          <w:sz w:val="32"/>
          <w:szCs w:val="32"/>
        </w:rPr>
        <w:t>门户网站“网上开具缴款凭证”自行打印完税凭证</w:t>
      </w:r>
      <w:r w:rsidRPr="009F3205">
        <w:rPr>
          <w:rFonts w:ascii="方正仿宋简体" w:eastAsia="方正仿宋简体" w:hAnsi="仿宋" w:hint="eastAsia"/>
          <w:sz w:val="32"/>
          <w:szCs w:val="32"/>
        </w:rPr>
        <w:t>核算分支机构入库增值税。</w:t>
      </w:r>
      <w:r w:rsidRPr="00906E0C">
        <w:rPr>
          <w:rFonts w:ascii="方正仿宋简体" w:eastAsia="方正仿宋简体" w:hAnsi="仿宋" w:hint="eastAsia"/>
          <w:snapToGrid w:val="0"/>
          <w:sz w:val="32"/>
          <w:szCs w:val="32"/>
        </w:rPr>
        <w:t>同一县（市、区）有若干分支机构的，可指定其中一个分支机构合并纳税。</w:t>
      </w:r>
    </w:p>
    <w:p w:rsidR="003F69C3" w:rsidRPr="00906E0C" w:rsidRDefault="003F69C3" w:rsidP="003F69C3">
      <w:pPr>
        <w:spacing w:line="560" w:lineRule="exact"/>
        <w:ind w:firstLineChars="200" w:firstLine="640"/>
        <w:rPr>
          <w:rFonts w:ascii="方正仿宋简体" w:eastAsia="方正仿宋简体" w:hAnsi="仿宋"/>
          <w:sz w:val="32"/>
          <w:szCs w:val="32"/>
        </w:rPr>
      </w:pPr>
    </w:p>
    <w:p w:rsidR="003F69C3" w:rsidRPr="00906E0C" w:rsidRDefault="003F69C3" w:rsidP="003F69C3">
      <w:pPr>
        <w:rPr>
          <w:rFonts w:ascii="仿宋" w:eastAsia="仿宋" w:hAnsi="仿宋"/>
          <w:sz w:val="32"/>
          <w:szCs w:val="32"/>
        </w:rPr>
      </w:pPr>
    </w:p>
    <w:p w:rsidR="002F2781" w:rsidRPr="003F69C3" w:rsidRDefault="002F2781">
      <w:bookmarkStart w:id="0" w:name="_GoBack"/>
      <w:bookmarkEnd w:id="0"/>
    </w:p>
    <w:sectPr w:rsidR="002F2781" w:rsidRPr="003F6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9C3"/>
    <w:rsid w:val="002F2781"/>
    <w:rsid w:val="003F6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9C3"/>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F69C3"/>
    <w:pPr>
      <w:widowControl w:val="0"/>
      <w:overflowPunct/>
      <w:autoSpaceDE/>
      <w:autoSpaceDN/>
      <w:adjustRightInd/>
      <w:ind w:firstLineChars="200" w:firstLine="420"/>
      <w:textAlignment w:val="auto"/>
    </w:pPr>
    <w:rPr>
      <w:rFonts w:ascii="Calibri" w:hAnsi="Calibri"/>
      <w:kern w:val="2"/>
      <w:szCs w:val="22"/>
    </w:rPr>
  </w:style>
  <w:style w:type="paragraph" w:styleId="a4">
    <w:name w:val="Balloon Text"/>
    <w:basedOn w:val="a"/>
    <w:link w:val="Char"/>
    <w:uiPriority w:val="99"/>
    <w:semiHidden/>
    <w:unhideWhenUsed/>
    <w:rsid w:val="003F69C3"/>
    <w:rPr>
      <w:sz w:val="18"/>
      <w:szCs w:val="18"/>
    </w:rPr>
  </w:style>
  <w:style w:type="character" w:customStyle="1" w:styleId="Char">
    <w:name w:val="批注框文本 Char"/>
    <w:basedOn w:val="a0"/>
    <w:link w:val="a4"/>
    <w:uiPriority w:val="99"/>
    <w:semiHidden/>
    <w:rsid w:val="003F69C3"/>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9C3"/>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F69C3"/>
    <w:pPr>
      <w:widowControl w:val="0"/>
      <w:overflowPunct/>
      <w:autoSpaceDE/>
      <w:autoSpaceDN/>
      <w:adjustRightInd/>
      <w:ind w:firstLineChars="200" w:firstLine="420"/>
      <w:textAlignment w:val="auto"/>
    </w:pPr>
    <w:rPr>
      <w:rFonts w:ascii="Calibri" w:hAnsi="Calibri"/>
      <w:kern w:val="2"/>
      <w:szCs w:val="22"/>
    </w:rPr>
  </w:style>
  <w:style w:type="paragraph" w:styleId="a4">
    <w:name w:val="Balloon Text"/>
    <w:basedOn w:val="a"/>
    <w:link w:val="Char"/>
    <w:uiPriority w:val="99"/>
    <w:semiHidden/>
    <w:unhideWhenUsed/>
    <w:rsid w:val="003F69C3"/>
    <w:rPr>
      <w:sz w:val="18"/>
      <w:szCs w:val="18"/>
    </w:rPr>
  </w:style>
  <w:style w:type="character" w:customStyle="1" w:styleId="Char">
    <w:name w:val="批注框文本 Char"/>
    <w:basedOn w:val="a0"/>
    <w:link w:val="a4"/>
    <w:uiPriority w:val="99"/>
    <w:semiHidden/>
    <w:rsid w:val="003F69C3"/>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Words>
  <Characters>818</Characters>
  <Application>Microsoft Office Word</Application>
  <DocSecurity>0</DocSecurity>
  <Lines>6</Lines>
  <Paragraphs>1</Paragraphs>
  <ScaleCrop>false</ScaleCrop>
  <Company>datathink</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2018-09-21T06:44:00Z</dcterms:created>
  <dcterms:modified xsi:type="dcterms:W3CDTF">2018-09-21T06:44:00Z</dcterms:modified>
</cp:coreProperties>
</file>