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2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包头市城镇土地使用税税额标准调整方案</w:t>
      </w:r>
      <w:bookmarkEnd w:id="0"/>
    </w:p>
    <w:p>
      <w:pPr>
        <w:spacing w:line="580" w:lineRule="exact"/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（注：含非民政部门在册的区划）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（一）昆都仑区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（二）青山区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（三）东河区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杨圪楞工矿区：4.8元/平方米。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（四）九原区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（五）石拐区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（六）稀土高新技术产业开发区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（七）包头装备制造园区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三等地：7.2元/平方米。</w:t>
      </w: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二、市所属旗县区应税土地单位税额标准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（一）白云鄂博矿区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五等地：0.9元/平方米。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（二）土默特右旗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九管会工矿区、明沙淖工矿区：3.2元/平方米；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苏波盖、海子工矿区：4元/平方米。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ascii="方正楷体简体" w:eastAsia="方正楷体简体"/>
          <w:color w:val="000000"/>
          <w:sz w:val="32"/>
          <w:szCs w:val="32"/>
        </w:rPr>
        <w:t>（三）达尔罕茂</w:t>
      </w:r>
      <w:r>
        <w:rPr>
          <w:rFonts w:hint="eastAsia" w:ascii="方正楷体简体" w:eastAsia="方正楷体简体"/>
          <w:color w:val="000000"/>
          <w:sz w:val="32"/>
          <w:szCs w:val="32"/>
        </w:rPr>
        <w:t>明</w:t>
      </w:r>
      <w:r>
        <w:rPr>
          <w:rFonts w:ascii="方正楷体简体" w:eastAsia="方正楷体简体"/>
          <w:color w:val="000000"/>
          <w:sz w:val="32"/>
          <w:szCs w:val="32"/>
        </w:rPr>
        <w:t>安联合旗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五等地：0.9元/平方米；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巴音敖包工矿区、查干哈达工矿区、达尔罕工矿区、西河工矿区、小文公工矿区：3.2元/平方米。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（四）固阳县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文圪齐工矿区、包钢集团固阳矿山公司矿区：3.2元/平方米。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E5624"/>
    <w:rsid w:val="094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2019-03-26T09:00:00Z</dcterms:created>
  <dc:creator>bgt</dc:creator>
  <cp:lastModifiedBy>bgt</cp:lastModifiedBy>
  <dcterms:modified xsi:type="dcterms:W3CDTF">2019-03-26T09:01:06Z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