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hAnsi="黑体" w:eastAsia="方正黑体简体"/>
          <w:sz w:val="32"/>
          <w:szCs w:val="32"/>
        </w:rPr>
        <w:t>附件</w:t>
      </w:r>
      <w:r>
        <w:rPr>
          <w:rFonts w:hint="eastAsia" w:ascii="方正黑体简体" w:eastAsia="方正黑体简体"/>
          <w:sz w:val="32"/>
          <w:szCs w:val="32"/>
        </w:rPr>
        <w:t>10</w:t>
      </w:r>
    </w:p>
    <w:p>
      <w:pPr>
        <w:spacing w:line="580" w:lineRule="exact"/>
        <w:rPr>
          <w:rFonts w:eastAsia="黑体"/>
          <w:sz w:val="24"/>
        </w:rPr>
      </w:pPr>
    </w:p>
    <w:p>
      <w:pPr>
        <w:spacing w:line="580" w:lineRule="exact"/>
        <w:jc w:val="center"/>
        <w:rPr>
          <w:rFonts w:hint="eastAsia" w:ascii="方正小标宋简体" w:hAnsi="华文中宋" w:eastAsia="方正小标宋简体"/>
          <w:spacing w:val="-14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pacing w:val="-14"/>
          <w:sz w:val="44"/>
          <w:szCs w:val="44"/>
        </w:rPr>
        <w:t>巴彦淖尔市城镇土地使用税税额标准调整方案</w:t>
      </w:r>
    </w:p>
    <w:bookmarkEnd w:id="0"/>
    <w:p>
      <w:pPr>
        <w:spacing w:line="580" w:lineRule="exact"/>
        <w:jc w:val="center"/>
        <w:rPr>
          <w:rFonts w:ascii="华文中宋" w:hAnsi="华文中宋" w:eastAsia="华文中宋"/>
          <w:spacing w:val="-14"/>
          <w:sz w:val="36"/>
          <w:szCs w:val="36"/>
        </w:rPr>
      </w:pPr>
    </w:p>
    <w:p>
      <w:pPr>
        <w:spacing w:line="580" w:lineRule="exact"/>
        <w:ind w:firstLine="640" w:firstLineChars="200"/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hAnsi="黑体" w:eastAsia="方正黑体简体"/>
          <w:sz w:val="32"/>
          <w:szCs w:val="32"/>
        </w:rPr>
        <w:t>一、市辖区应税土地单位税额标准</w:t>
      </w:r>
    </w:p>
    <w:p>
      <w:pPr>
        <w:spacing w:line="580" w:lineRule="exact"/>
        <w:ind w:firstLine="640" w:firstLineChars="200"/>
        <w:rPr>
          <w:rFonts w:hint="eastAsia"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临河区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一等地：12元/平方米；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四等地：2.4元/平方米。</w:t>
      </w:r>
    </w:p>
    <w:p>
      <w:pPr>
        <w:spacing w:line="580" w:lineRule="exact"/>
        <w:ind w:firstLine="640" w:firstLineChars="200"/>
        <w:rPr>
          <w:rFonts w:ascii="方正黑体简体" w:hAnsi="黑体" w:eastAsia="方正黑体简体"/>
          <w:sz w:val="32"/>
          <w:szCs w:val="32"/>
        </w:rPr>
      </w:pPr>
      <w:r>
        <w:rPr>
          <w:rFonts w:ascii="方正黑体简体" w:hAnsi="黑体" w:eastAsia="方正黑体简体"/>
          <w:sz w:val="32"/>
          <w:szCs w:val="32"/>
        </w:rPr>
        <w:t>二、市所属旗县应税土地单位税额标准</w:t>
      </w:r>
    </w:p>
    <w:p>
      <w:pPr>
        <w:spacing w:line="58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（一）磴口县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一等地：9.6元/平方米；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二等地：7.2元/平方米；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四等地：2.4元/平方米；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工矿区及工业园区：4.8元/平方米。</w:t>
      </w:r>
    </w:p>
    <w:p>
      <w:pPr>
        <w:spacing w:line="58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（二）杭锦后旗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一等地：9.6元/平方米；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二等地：7.2元/平方米；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四等地：2.4元/平方米；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工矿区及工业园区：4.8元/平方米。</w:t>
      </w:r>
    </w:p>
    <w:p>
      <w:pPr>
        <w:spacing w:line="58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（三）五原县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一等地：9.6元/平方米；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二等地：7.2元/平方米；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四等地：2.4元/平方米；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工矿区及工业园区：4.8元/平方米。</w:t>
      </w:r>
    </w:p>
    <w:p>
      <w:pPr>
        <w:spacing w:line="58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（四）乌拉特前旗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一等地：9.6元/平方米；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二等地：7.2元/平方米；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四等地：2.4元/平方米；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额尔登布拉格工矿区：4.8元/平方米；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沙德格工矿区：4.8元/平方米；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其他工矿区及工业园区：4.8元/平方米。</w:t>
      </w:r>
    </w:p>
    <w:p>
      <w:pPr>
        <w:spacing w:line="58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（五）乌拉特中旗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二等地：3.2元/平方米；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三等地：1.6元/平方米；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新忽热工矿区：3.2元/平方米；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川井巴音乌兰工矿区：4.8元/平方米；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其他工矿区及工业园区：3.2元/平方米。</w:t>
      </w:r>
    </w:p>
    <w:p>
      <w:pPr>
        <w:spacing w:line="58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/>
          <w:sz w:val="32"/>
          <w:szCs w:val="32"/>
        </w:rPr>
        <w:t>（六）乌拉特后旗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一等地：9.6元/平方米；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二等地：4.8元/平方米；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三等地：2.4元/平方米；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原油开采区工矿区：6.4元/平方米；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西部铜业工矿区：9.6元/平方米。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81A90"/>
    <w:rsid w:val="2618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2019-03-26T09:04:00Z</dcterms:created>
  <dc:creator>bgt</dc:creator>
  <cp:lastModifiedBy>bgt</cp:lastModifiedBy>
  <dcterms:modified xsi:type="dcterms:W3CDTF">2019-03-26T09:04:55Z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