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hAnsi="黑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附件13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pacing w:val="-2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2"/>
          <w:sz w:val="44"/>
          <w:szCs w:val="44"/>
        </w:rPr>
        <w:t>满洲里市城镇土地使用税税额标准调整方案</w:t>
      </w:r>
      <w:bookmarkEnd w:id="0"/>
    </w:p>
    <w:p>
      <w:pPr>
        <w:spacing w:line="580" w:lineRule="exact"/>
        <w:ind w:firstLine="720" w:firstLineChars="200"/>
        <w:rPr>
          <w:rFonts w:eastAsia="仿宋_GB2312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一、满洲里市应税土地单位税额标准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二等地：3.6 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 元/平方米。</w:t>
      </w:r>
    </w:p>
    <w:p>
      <w:pPr>
        <w:spacing w:line="58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二、扎赉诺尔区应税土地单位税额标准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 2.4元/平方米。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D48A4"/>
    <w:rsid w:val="152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2019-03-26T09:06:00Z</dcterms:created>
  <dc:creator>bgt</dc:creator>
  <cp:lastModifiedBy>bgt</cp:lastModifiedBy>
  <dcterms:modified xsi:type="dcterms:W3CDTF">2019-03-26T09:06:40Z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