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中药饮片产品增值税进项税额核定扣除标准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表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tbl>
      <w:tblPr>
        <w:tblStyle w:val="3"/>
        <w:tblW w:w="8415" w:type="dxa"/>
        <w:jc w:val="center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01"/>
        <w:gridCol w:w="363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产品（每公斤）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原材料（公斤）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扣除标准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中药材（根及根茎类）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1.2859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中药材（叶类）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1.1954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中药材（果实籽仁类）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1.1964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中药材（全草类）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1.2447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中药材（冷药类）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1.2923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中药材（菌藻类）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1.2838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中药材（花类）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1.3696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中药材（藤木类）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1.3317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中药材（动物类）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1.2998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中药材（加工类）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1.4257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中药材（矿物类）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1.4404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中药材（植物皮类）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1.3199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中药材（树脂类）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1.3474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中药饮片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中药材（其他类）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1.4517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A1B91"/>
    <w:rsid w:val="3F2A1B91"/>
    <w:rsid w:val="7B7D2C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317</Characters>
  <Lines>0</Lines>
  <Paragraphs>0</Paragraphs>
  <ScaleCrop>false</ScaleCrop>
  <LinksUpToDate>false</LinksUpToDate>
  <CharactersWithSpaces>331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2020-03-23T03:25:00Z</dcterms:created>
  <dc:creator>杨丽(011309-011309)</dc:creator>
  <cp:lastModifiedBy>黄亚</cp:lastModifiedBy>
  <dcterms:modified xsi:type="dcterms:W3CDTF">2020-04-03T10:59:32Z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