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both"/>
        <w:rPr>
          <w:sz w:val="24"/>
          <w:szCs w:val="24"/>
        </w:rPr>
      </w:pPr>
      <w:r>
        <w:rPr>
          <w:rFonts w:ascii="黑体" w:hAnsi="宋体" w:eastAsia="黑体" w:cs="黑体"/>
          <w:color w:val="000000"/>
          <w:sz w:val="32"/>
          <w:szCs w:val="32"/>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center"/>
        <w:rPr>
          <w:sz w:val="24"/>
          <w:szCs w:val="24"/>
        </w:rPr>
      </w:pPr>
      <w:r>
        <w:rPr>
          <w:rFonts w:ascii="方正小标宋简体" w:hAnsi="方正小标宋简体" w:eastAsia="方正小标宋简体" w:cs="方正小标宋简体"/>
          <w:color w:val="000000"/>
          <w:sz w:val="44"/>
          <w:szCs w:val="44"/>
          <w:bdr w:val="none" w:color="auto" w:sz="0" w:space="0"/>
        </w:rPr>
        <w:t>电子缴款书式样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sz w:val="24"/>
          <w:szCs w:val="24"/>
          <w:bdr w:val="none" w:color="auto" w:sz="0" w:space="0"/>
        </w:rPr>
        <w:drawing>
          <wp:inline distT="0" distB="0" distL="114300" distR="114300">
            <wp:extent cx="5610225" cy="29051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0225" cy="2905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24"/>
          <w:szCs w:val="24"/>
        </w:rPr>
      </w:pPr>
      <w:r>
        <w:rPr>
          <w:rFonts w:hint="default" w:ascii="Times New Roman" w:hAnsi="Times New Roman" w:cs="Times New Roman"/>
          <w:color w:val="000000"/>
          <w:sz w:val="32"/>
          <w:szCs w:val="32"/>
          <w:bdr w:val="none" w:color="auto" w:sz="0" w:space="0"/>
        </w:rPr>
        <w:t>1.</w:t>
      </w:r>
      <w:r>
        <w:rPr>
          <w:rFonts w:ascii="monospace" w:eastAsia="monospace" w:cs="monospace"/>
          <w:color w:val="000000"/>
          <w:sz w:val="32"/>
          <w:szCs w:val="32"/>
          <w:bdr w:val="none" w:color="auto" w:sz="0" w:space="0"/>
        </w:rPr>
        <w:t>票面要素。包括：《天津市非税收入一般缴款书（电子）》名称、财政票据监制章、缴款码、执收单位编码、执收单位名称、票据代码、票据号码、校验码、填制日期、二维码、付款人信息（全称、账号、开户银行）、收款人信息（全称、账号、开户银行）、币种、金额（大写）</w:t>
      </w:r>
      <w:r>
        <w:rPr>
          <w:rFonts w:hint="default" w:ascii="Times New Roman" w:hAnsi="Times New Roman" w:cs="Times New Roman"/>
          <w:color w:val="000000"/>
          <w:sz w:val="32"/>
          <w:szCs w:val="32"/>
          <w:bdr w:val="none" w:color="auto" w:sz="0" w:space="0"/>
        </w:rPr>
        <w:t>/</w:t>
      </w:r>
      <w:r>
        <w:rPr>
          <w:rFonts w:hint="default" w:ascii="monospace" w:eastAsia="monospace" w:cs="monospace"/>
          <w:color w:val="000000"/>
          <w:sz w:val="32"/>
          <w:szCs w:val="32"/>
          <w:bdr w:val="none" w:color="auto" w:sz="0" w:space="0"/>
        </w:rPr>
        <w:t>（小写）、项目编码、收入项目名称、单位、数量、收缴标准、金额、执收单位（盖章）、经办人（盖章）、备注等。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24"/>
          <w:szCs w:val="24"/>
        </w:rPr>
      </w:pPr>
      <w:r>
        <w:rPr>
          <w:rFonts w:hint="default" w:ascii="Times New Roman" w:hAnsi="Times New Roman" w:cs="Times New Roman"/>
          <w:color w:val="000000"/>
          <w:sz w:val="32"/>
          <w:szCs w:val="32"/>
          <w:bdr w:val="none" w:color="auto" w:sz="0" w:space="0"/>
        </w:rPr>
        <w:t>2.</w:t>
      </w:r>
      <w:r>
        <w:rPr>
          <w:rFonts w:hint="default" w:ascii="monospace" w:eastAsia="monospace" w:cs="monospace"/>
          <w:color w:val="000000"/>
          <w:sz w:val="32"/>
          <w:szCs w:val="32"/>
          <w:bdr w:val="none" w:color="auto" w:sz="0" w:space="0"/>
        </w:rPr>
        <w:t>字体字号。标题为华文中宋，居中；正文字体为华文中宋。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24"/>
          <w:szCs w:val="24"/>
        </w:rPr>
      </w:pPr>
      <w:r>
        <w:rPr>
          <w:rFonts w:hint="default" w:ascii="Times New Roman" w:hAnsi="Times New Roman" w:cs="Times New Roman"/>
          <w:color w:val="000000"/>
          <w:sz w:val="32"/>
          <w:szCs w:val="32"/>
          <w:bdr w:val="none" w:color="auto" w:sz="0" w:space="0"/>
        </w:rPr>
        <w:t>3.</w:t>
      </w:r>
      <w:r>
        <w:rPr>
          <w:rFonts w:hint="default" w:ascii="monospace" w:eastAsia="monospace" w:cs="monospace"/>
          <w:color w:val="000000"/>
          <w:sz w:val="32"/>
          <w:szCs w:val="32"/>
          <w:bdr w:val="none" w:color="auto" w:sz="0" w:space="0"/>
        </w:rPr>
        <w:t>颜色、套章等要求。文字和表格颜色：棕色；在标题正中位置套财政票据监制章（正红色）。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both"/>
        <w:rPr>
          <w:sz w:val="24"/>
          <w:szCs w:val="24"/>
        </w:rPr>
      </w:pPr>
      <w:r>
        <w:rPr>
          <w:rFonts w:hint="eastAsia" w:ascii="黑体" w:hAnsi="宋体" w:eastAsia="黑体" w:cs="黑体"/>
          <w:color w:val="000000"/>
          <w:sz w:val="32"/>
          <w:szCs w:val="32"/>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center"/>
        <w:rPr>
          <w:sz w:val="24"/>
          <w:szCs w:val="24"/>
        </w:rPr>
      </w:pPr>
      <w:r>
        <w:rPr>
          <w:rFonts w:hint="default" w:ascii="方正小标宋简体" w:hAnsi="方正小标宋简体" w:eastAsia="方正小标宋简体" w:cs="方正小标宋简体"/>
          <w:color w:val="000000"/>
          <w:sz w:val="44"/>
          <w:szCs w:val="44"/>
          <w:bdr w:val="none" w:color="auto" w:sz="0" w:space="0"/>
        </w:rPr>
        <w:t>电子缴款书编码规则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电子缴款书编码由票据代码和票据号码两部分组成，票据代码和票据号码组合，可以在全国范围内唯一识别某份电子缴款书。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eastAsia" w:ascii="黑体" w:hAnsi="宋体" w:eastAsia="黑体" w:cs="黑体"/>
          <w:color w:val="000000"/>
          <w:sz w:val="32"/>
          <w:szCs w:val="32"/>
          <w:bdr w:val="none" w:color="auto" w:sz="0" w:space="0"/>
        </w:rPr>
        <w:t>一、电子缴款书代码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电子缴款书代码设计为</w:t>
      </w:r>
      <w:r>
        <w:rPr>
          <w:rFonts w:hint="default" w:ascii="Times New Roman" w:hAnsi="Times New Roman" w:cs="Times New Roman"/>
          <w:color w:val="000000"/>
          <w:sz w:val="32"/>
          <w:szCs w:val="32"/>
          <w:bdr w:val="none" w:color="auto" w:sz="0" w:space="0"/>
        </w:rPr>
        <w:t>8</w:t>
      </w:r>
      <w:r>
        <w:rPr>
          <w:rFonts w:hint="default" w:ascii="monospace" w:eastAsia="monospace" w:cs="monospace"/>
          <w:color w:val="000000"/>
          <w:sz w:val="32"/>
          <w:szCs w:val="32"/>
          <w:bdr w:val="none" w:color="auto" w:sz="0" w:space="0"/>
        </w:rPr>
        <w:t>位，由电子缴款书监管机构行政区划编码、电子缴款书分类编码、电子缴款书种类编码、电子缴款书年度编码</w:t>
      </w:r>
      <w:r>
        <w:rPr>
          <w:rFonts w:hint="default" w:ascii="Times New Roman" w:hAnsi="Times New Roman" w:cs="Times New Roman"/>
          <w:color w:val="000000"/>
          <w:sz w:val="32"/>
          <w:szCs w:val="32"/>
          <w:bdr w:val="none" w:color="auto" w:sz="0" w:space="0"/>
        </w:rPr>
        <w:t>4</w:t>
      </w:r>
      <w:r>
        <w:rPr>
          <w:rFonts w:hint="default" w:ascii="monospace" w:eastAsia="monospace" w:cs="monospace"/>
          <w:color w:val="000000"/>
          <w:sz w:val="32"/>
          <w:szCs w:val="32"/>
          <w:bdr w:val="none" w:color="auto" w:sz="0" w:space="0"/>
        </w:rPr>
        <w:t>部分组成。</w:t>
      </w:r>
    </w:p>
    <w:tbl>
      <w:tblPr>
        <w:tblW w:w="81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05" w:type="dxa"/>
          <w:left w:w="105" w:type="dxa"/>
          <w:bottom w:w="105" w:type="dxa"/>
          <w:right w:w="105" w:type="dxa"/>
        </w:tblCellMar>
      </w:tblPr>
      <w:tblGrid>
        <w:gridCol w:w="776"/>
        <w:gridCol w:w="794"/>
        <w:gridCol w:w="1052"/>
        <w:gridCol w:w="794"/>
        <w:gridCol w:w="1052"/>
        <w:gridCol w:w="794"/>
        <w:gridCol w:w="1052"/>
        <w:gridCol w:w="794"/>
        <w:gridCol w:w="105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675"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序号</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1</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2</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3</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4</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5</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6</w:t>
            </w:r>
          </w:p>
        </w:tc>
        <w:tc>
          <w:tcPr>
            <w:tcW w:w="690"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7</w:t>
            </w: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Times New Roman" w:hAnsi="Times New Roman" w:cs="Times New Roman"/>
                <w:color w:val="000000"/>
                <w:sz w:val="24"/>
                <w:szCs w:val="24"/>
                <w:bdr w:val="none" w:color="auto" w:sz="0" w:space="0"/>
              </w:rPr>
              <w:t>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trHeight w:val="1110" w:hRule="atLeast"/>
          <w:jc w:val="center"/>
        </w:trPr>
        <w:tc>
          <w:tcPr>
            <w:tcW w:w="675" w:type="dxa"/>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说明</w:t>
            </w:r>
          </w:p>
        </w:tc>
        <w:tc>
          <w:tcPr>
            <w:tcW w:w="1605" w:type="dxa"/>
            <w:gridSpan w:val="2"/>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电子缴款书监管机构行政区划编码</w:t>
            </w:r>
            <w:r>
              <w:rPr>
                <w:rFonts w:hint="default" w:ascii="Times New Roman" w:hAnsi="Times New Roman" w:cs="Times New Roman"/>
                <w:color w:val="000000"/>
                <w:sz w:val="24"/>
                <w:szCs w:val="24"/>
                <w:bdr w:val="none" w:color="auto" w:sz="0" w:space="0"/>
              </w:rPr>
              <w:t>2</w:t>
            </w:r>
            <w:r>
              <w:rPr>
                <w:rFonts w:hint="default" w:ascii="monospace" w:eastAsia="monospace" w:cs="monospace"/>
                <w:color w:val="000000"/>
                <w:sz w:val="24"/>
                <w:szCs w:val="24"/>
                <w:bdr w:val="none" w:color="auto" w:sz="0" w:space="0"/>
              </w:rPr>
              <w:t>位</w:t>
            </w:r>
          </w:p>
        </w:tc>
        <w:tc>
          <w:tcPr>
            <w:tcW w:w="1605" w:type="dxa"/>
            <w:gridSpan w:val="2"/>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固定</w:t>
            </w:r>
            <w:r>
              <w:rPr>
                <w:rFonts w:hint="default" w:ascii="Times New Roman" w:hAnsi="Times New Roman" w:cs="Times New Roman"/>
                <w:color w:val="000000"/>
                <w:sz w:val="24"/>
                <w:szCs w:val="24"/>
                <w:bdr w:val="none" w:color="auto" w:sz="0" w:space="0"/>
              </w:rPr>
              <w:t>03</w:t>
            </w:r>
          </w:p>
        </w:tc>
        <w:tc>
          <w:tcPr>
            <w:tcW w:w="1605" w:type="dxa"/>
            <w:gridSpan w:val="2"/>
            <w:tcBorders>
              <w:top w:val="single" w:color="000000" w:sz="6" w:space="0"/>
              <w:left w:val="single" w:color="000000" w:sz="6" w:space="0"/>
              <w:bottom w:val="single" w:color="000000" w:sz="6" w:space="0"/>
              <w:right w:val="nil"/>
            </w:tcBorders>
            <w:shd w:val="clear"/>
            <w:tcMar>
              <w:top w:w="0" w:type="dxa"/>
              <w:left w:w="10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固定</w:t>
            </w:r>
            <w:r>
              <w:rPr>
                <w:rFonts w:hint="default" w:ascii="Times New Roman" w:hAnsi="Times New Roman" w:cs="Times New Roman"/>
                <w:color w:val="000000"/>
                <w:sz w:val="24"/>
                <w:szCs w:val="24"/>
                <w:bdr w:val="none" w:color="auto" w:sz="0" w:space="0"/>
              </w:rPr>
              <w:t>01</w:t>
            </w:r>
          </w:p>
        </w:tc>
        <w:tc>
          <w:tcPr>
            <w:tcW w:w="1605" w:type="dxa"/>
            <w:gridSpan w:val="2"/>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4"/>
                <w:szCs w:val="24"/>
              </w:rPr>
            </w:pPr>
            <w:r>
              <w:rPr>
                <w:rFonts w:hint="default" w:ascii="monospace" w:eastAsia="monospace" w:cs="monospace"/>
                <w:color w:val="000000"/>
                <w:sz w:val="24"/>
                <w:szCs w:val="24"/>
                <w:bdr w:val="none" w:color="auto" w:sz="0" w:space="0"/>
              </w:rPr>
              <w:t>电子缴款书年度编码</w:t>
            </w:r>
            <w:r>
              <w:rPr>
                <w:rFonts w:hint="default" w:ascii="Times New Roman" w:hAnsi="Times New Roman" w:cs="Times New Roman"/>
                <w:color w:val="000000"/>
                <w:sz w:val="24"/>
                <w:szCs w:val="24"/>
                <w:bdr w:val="none" w:color="auto" w:sz="0" w:space="0"/>
              </w:rPr>
              <w:t>2</w:t>
            </w:r>
            <w:r>
              <w:rPr>
                <w:rFonts w:hint="default" w:ascii="monospace" w:eastAsia="monospace" w:cs="monospace"/>
                <w:color w:val="000000"/>
                <w:sz w:val="24"/>
                <w:szCs w:val="24"/>
                <w:bdr w:val="none" w:color="auto" w:sz="0" w:space="0"/>
              </w:rPr>
              <w:t>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第一部分：电子缴款书监管机构行政区划编码（</w:t>
      </w:r>
      <w:r>
        <w:rPr>
          <w:rFonts w:hint="default" w:ascii="Times New Roman" w:hAnsi="Times New Roman" w:cs="Times New Roman"/>
          <w:color w:val="000000"/>
          <w:sz w:val="32"/>
          <w:szCs w:val="32"/>
          <w:bdr w:val="none" w:color="auto" w:sz="0" w:space="0"/>
        </w:rPr>
        <w:t>2</w:t>
      </w:r>
      <w:r>
        <w:rPr>
          <w:rFonts w:hint="default" w:ascii="monospace" w:eastAsia="monospace" w:cs="monospace"/>
          <w:color w:val="000000"/>
          <w:sz w:val="32"/>
          <w:szCs w:val="32"/>
          <w:bdr w:val="none" w:color="auto" w:sz="0" w:space="0"/>
        </w:rPr>
        <w:t>位），天津市用“</w:t>
      </w:r>
      <w:r>
        <w:rPr>
          <w:rFonts w:hint="default" w:ascii="Times New Roman" w:hAnsi="Times New Roman" w:cs="Times New Roman"/>
          <w:color w:val="000000"/>
          <w:sz w:val="32"/>
          <w:szCs w:val="32"/>
          <w:bdr w:val="none" w:color="auto" w:sz="0" w:space="0"/>
        </w:rPr>
        <w:t>12”</w:t>
      </w:r>
      <w:r>
        <w:rPr>
          <w:rFonts w:hint="default" w:ascii="monospace" w:eastAsia="monospace" w:cs="monospace"/>
          <w:color w:val="00000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第二部分：电子缴款书分类编码（</w:t>
      </w:r>
      <w:r>
        <w:rPr>
          <w:rFonts w:hint="default" w:ascii="Times New Roman" w:hAnsi="Times New Roman" w:cs="Times New Roman"/>
          <w:color w:val="000000"/>
          <w:sz w:val="32"/>
          <w:szCs w:val="32"/>
          <w:bdr w:val="none" w:color="auto" w:sz="0" w:space="0"/>
        </w:rPr>
        <w:t>2</w:t>
      </w:r>
      <w:r>
        <w:rPr>
          <w:rFonts w:hint="default" w:ascii="monospace" w:eastAsia="monospace" w:cs="monospace"/>
          <w:color w:val="000000"/>
          <w:sz w:val="32"/>
          <w:szCs w:val="32"/>
          <w:bdr w:val="none" w:color="auto" w:sz="0" w:space="0"/>
        </w:rPr>
        <w:t>位），固定值</w:t>
      </w:r>
      <w:r>
        <w:rPr>
          <w:rFonts w:hint="default" w:ascii="Times New Roman" w:hAnsi="Times New Roman" w:cs="Times New Roman"/>
          <w:color w:val="000000"/>
          <w:sz w:val="32"/>
          <w:szCs w:val="32"/>
          <w:bdr w:val="none" w:color="auto" w:sz="0" w:space="0"/>
        </w:rPr>
        <w:t>03</w:t>
      </w:r>
      <w:r>
        <w:rPr>
          <w:rFonts w:hint="default" w:ascii="monospace" w:eastAsia="monospace" w:cs="monospace"/>
          <w:color w:val="00000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第三部分：电子缴款书种类编码（</w:t>
      </w:r>
      <w:r>
        <w:rPr>
          <w:rFonts w:hint="default" w:ascii="Times New Roman" w:hAnsi="Times New Roman" w:cs="Times New Roman"/>
          <w:color w:val="000000"/>
          <w:sz w:val="32"/>
          <w:szCs w:val="32"/>
          <w:bdr w:val="none" w:color="auto" w:sz="0" w:space="0"/>
        </w:rPr>
        <w:t>2</w:t>
      </w:r>
      <w:r>
        <w:rPr>
          <w:rFonts w:hint="default" w:ascii="monospace" w:eastAsia="monospace" w:cs="monospace"/>
          <w:color w:val="000000"/>
          <w:sz w:val="32"/>
          <w:szCs w:val="32"/>
          <w:bdr w:val="none" w:color="auto" w:sz="0" w:space="0"/>
        </w:rPr>
        <w:t>位），固定值</w:t>
      </w:r>
      <w:r>
        <w:rPr>
          <w:rFonts w:hint="default" w:ascii="Times New Roman" w:hAnsi="Times New Roman" w:cs="Times New Roman"/>
          <w:color w:val="000000"/>
          <w:sz w:val="32"/>
          <w:szCs w:val="32"/>
          <w:bdr w:val="none" w:color="auto" w:sz="0" w:space="0"/>
        </w:rPr>
        <w:t>01</w:t>
      </w:r>
      <w:r>
        <w:rPr>
          <w:rFonts w:hint="default" w:ascii="monospace" w:eastAsia="monospace" w:cs="monospace"/>
          <w:color w:val="00000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第四部分：电子缴款书年度编码（</w:t>
      </w:r>
      <w:r>
        <w:rPr>
          <w:rFonts w:hint="default" w:ascii="Times New Roman" w:hAnsi="Times New Roman" w:cs="Times New Roman"/>
          <w:color w:val="000000"/>
          <w:sz w:val="32"/>
          <w:szCs w:val="32"/>
          <w:bdr w:val="none" w:color="auto" w:sz="0" w:space="0"/>
        </w:rPr>
        <w:t>2</w:t>
      </w:r>
      <w:r>
        <w:rPr>
          <w:rFonts w:hint="default" w:ascii="monospace" w:eastAsia="monospace" w:cs="monospace"/>
          <w:color w:val="000000"/>
          <w:sz w:val="32"/>
          <w:szCs w:val="32"/>
          <w:bdr w:val="none" w:color="auto" w:sz="0" w:space="0"/>
        </w:rPr>
        <w:t>位），用于区分电子缴款书赋码年度，使用数字表示。如“</w:t>
      </w:r>
      <w:r>
        <w:rPr>
          <w:rFonts w:hint="default" w:ascii="Times New Roman" w:hAnsi="Times New Roman" w:cs="Times New Roman"/>
          <w:color w:val="000000"/>
          <w:sz w:val="32"/>
          <w:szCs w:val="32"/>
          <w:bdr w:val="none" w:color="auto" w:sz="0" w:space="0"/>
        </w:rPr>
        <w:t>22”</w:t>
      </w:r>
      <w:r>
        <w:rPr>
          <w:rFonts w:hint="default" w:ascii="monospace" w:eastAsia="monospace" w:cs="monospace"/>
          <w:color w:val="000000"/>
          <w:sz w:val="32"/>
          <w:szCs w:val="32"/>
          <w:bdr w:val="none" w:color="auto" w:sz="0" w:space="0"/>
        </w:rPr>
        <w:t>表示</w:t>
      </w:r>
      <w:r>
        <w:rPr>
          <w:rFonts w:hint="default" w:ascii="Times New Roman" w:hAnsi="Times New Roman" w:cs="Times New Roman"/>
          <w:color w:val="000000"/>
          <w:sz w:val="32"/>
          <w:szCs w:val="32"/>
          <w:bdr w:val="none" w:color="auto" w:sz="0" w:space="0"/>
        </w:rPr>
        <w:t>2022</w:t>
      </w:r>
      <w:r>
        <w:rPr>
          <w:rFonts w:hint="default" w:ascii="monospace" w:eastAsia="monospace" w:cs="monospace"/>
          <w:color w:val="000000"/>
          <w:sz w:val="32"/>
          <w:szCs w:val="32"/>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eastAsia" w:ascii="黑体" w:hAnsi="宋体" w:eastAsia="黑体" w:cs="黑体"/>
          <w:color w:val="000000"/>
          <w:sz w:val="32"/>
          <w:szCs w:val="32"/>
          <w:bdr w:val="none" w:color="auto" w:sz="0" w:space="0"/>
        </w:rPr>
        <w:t>二、电子缴款书号码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jc w:val="both"/>
        <w:rPr>
          <w:sz w:val="24"/>
          <w:szCs w:val="24"/>
        </w:rPr>
      </w:pPr>
      <w:r>
        <w:rPr>
          <w:rFonts w:hint="default" w:ascii="monospace" w:eastAsia="monospace" w:cs="monospace"/>
          <w:color w:val="000000"/>
          <w:sz w:val="32"/>
          <w:szCs w:val="32"/>
          <w:bdr w:val="none" w:color="auto" w:sz="0" w:space="0"/>
        </w:rPr>
        <w:t>电子缴款书号码（</w:t>
      </w:r>
      <w:r>
        <w:rPr>
          <w:rFonts w:hint="default" w:ascii="Times New Roman" w:hAnsi="Times New Roman" w:cs="Times New Roman"/>
          <w:color w:val="000000"/>
          <w:sz w:val="32"/>
          <w:szCs w:val="32"/>
          <w:bdr w:val="none" w:color="auto" w:sz="0" w:space="0"/>
        </w:rPr>
        <w:t>10</w:t>
      </w:r>
      <w:r>
        <w:rPr>
          <w:rFonts w:hint="default" w:ascii="monospace" w:eastAsia="monospace" w:cs="monospace"/>
          <w:color w:val="000000"/>
          <w:sz w:val="32"/>
          <w:szCs w:val="32"/>
          <w:bdr w:val="none" w:color="auto" w:sz="0" w:space="0"/>
        </w:rPr>
        <w:t>位）。采用顺序号，用于反映电子缴款书赋码顺序，使用数字表示。如“</w:t>
      </w:r>
      <w:r>
        <w:rPr>
          <w:rFonts w:hint="default" w:ascii="Times New Roman" w:hAnsi="Times New Roman" w:cs="Times New Roman"/>
          <w:color w:val="000000"/>
          <w:sz w:val="32"/>
          <w:szCs w:val="32"/>
          <w:bdr w:val="none" w:color="auto" w:sz="0" w:space="0"/>
        </w:rPr>
        <w:t>0000000001”</w:t>
      </w:r>
      <w:r>
        <w:rPr>
          <w:rFonts w:hint="default" w:ascii="monospace" w:eastAsia="monospace" w:cs="monospace"/>
          <w:color w:val="000000"/>
          <w:sz w:val="32"/>
          <w:szCs w:val="32"/>
          <w:bdr w:val="none" w:color="auto" w:sz="0" w:space="0"/>
        </w:rPr>
        <w:t>表示第一份电子缴款书。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both"/>
        <w:rPr>
          <w:sz w:val="24"/>
          <w:szCs w:val="24"/>
        </w:rPr>
      </w:pPr>
      <w:r>
        <w:rPr>
          <w:rFonts w:hint="eastAsia" w:ascii="黑体" w:hAnsi="宋体" w:eastAsia="黑体" w:cs="黑体"/>
          <w:sz w:val="32"/>
          <w:szCs w:val="32"/>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center"/>
        <w:rPr>
          <w:sz w:val="24"/>
          <w:szCs w:val="24"/>
        </w:rPr>
      </w:pPr>
      <w:r>
        <w:rPr>
          <w:rFonts w:hint="default" w:ascii="方正小标宋简体" w:hAnsi="方正小标宋简体" w:eastAsia="方正小标宋简体" w:cs="方正小标宋简体"/>
          <w:color w:val="000000"/>
          <w:sz w:val="44"/>
          <w:szCs w:val="44"/>
          <w:bdr w:val="none" w:color="auto" w:sz="0" w:space="0"/>
        </w:rPr>
        <w:t>电子缴款书管理流程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电子缴款书的数据规范、技术标准和版式文件样式由财政部统一制定，具体参见《财政部关于开展电子非税收入一般缴款书试点的通知》（财库〔</w:t>
      </w:r>
      <w:r>
        <w:rPr>
          <w:rFonts w:hint="default" w:ascii="Times New Roman" w:hAnsi="Times New Roman" w:cs="Times New Roman"/>
          <w:color w:val="000000"/>
          <w:sz w:val="32"/>
          <w:szCs w:val="32"/>
          <w:bdr w:val="none" w:color="auto" w:sz="0" w:space="0"/>
        </w:rPr>
        <w:t>2021</w:t>
      </w:r>
      <w:r>
        <w:rPr>
          <w:rFonts w:hint="default" w:ascii="monospace" w:eastAsia="monospace" w:cs="monospace"/>
          <w:color w:val="000000"/>
          <w:sz w:val="32"/>
          <w:szCs w:val="32"/>
          <w:bdr w:val="none" w:color="auto" w:sz="0" w:space="0"/>
        </w:rPr>
        <w:t>〕</w:t>
      </w:r>
      <w:r>
        <w:rPr>
          <w:rFonts w:hint="default" w:ascii="Times New Roman" w:hAnsi="Times New Roman" w:cs="Times New Roman"/>
          <w:color w:val="000000"/>
          <w:sz w:val="32"/>
          <w:szCs w:val="32"/>
          <w:bdr w:val="none" w:color="auto" w:sz="0" w:space="0"/>
        </w:rPr>
        <w:t>31</w:t>
      </w:r>
      <w:r>
        <w:rPr>
          <w:rFonts w:hint="default" w:ascii="monospace" w:eastAsia="monospace" w:cs="monospace"/>
          <w:color w:val="000000"/>
          <w:sz w:val="32"/>
          <w:szCs w:val="32"/>
          <w:bdr w:val="none" w:color="auto" w:sz="0" w:space="0"/>
        </w:rPr>
        <w:t>号）、《财政部办公厅关于印发电子非税收入一般缴款书有关业务规范和技术标准（试行）的通知》（财办发〔</w:t>
      </w:r>
      <w:r>
        <w:rPr>
          <w:rFonts w:hint="default" w:ascii="Times New Roman" w:hAnsi="Times New Roman" w:cs="Times New Roman"/>
          <w:color w:val="000000"/>
          <w:sz w:val="32"/>
          <w:szCs w:val="32"/>
          <w:bdr w:val="none" w:color="auto" w:sz="0" w:space="0"/>
        </w:rPr>
        <w:t>2021</w:t>
      </w:r>
      <w:r>
        <w:rPr>
          <w:rFonts w:hint="default" w:ascii="monospace" w:eastAsia="monospace" w:cs="monospace"/>
          <w:color w:val="000000"/>
          <w:sz w:val="32"/>
          <w:szCs w:val="32"/>
          <w:bdr w:val="none" w:color="auto" w:sz="0" w:space="0"/>
        </w:rPr>
        <w:t>〕</w:t>
      </w:r>
      <w:r>
        <w:rPr>
          <w:rFonts w:hint="default" w:ascii="Times New Roman" w:hAnsi="Times New Roman" w:cs="Times New Roman"/>
          <w:color w:val="000000"/>
          <w:sz w:val="32"/>
          <w:szCs w:val="32"/>
          <w:bdr w:val="none" w:color="auto" w:sz="0" w:space="0"/>
        </w:rPr>
        <w:t>97</w:t>
      </w:r>
      <w:r>
        <w:rPr>
          <w:rFonts w:hint="default" w:ascii="monospace" w:eastAsia="monospace" w:cs="monospace"/>
          <w:color w:val="000000"/>
          <w:sz w:val="32"/>
          <w:szCs w:val="32"/>
          <w:bdr w:val="none" w:color="auto" w:sz="0" w:space="0"/>
        </w:rPr>
        <w:t>号）。我市电子缴款书按照全市统建、分级使用模式，统一规范管理流程，具体如下：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一、赋码。财政部门向执收单位发放电子缴款书票号，保证票号唯一性。赋码模式原则上为执收单位开票时由非税系统按照财政部门设定规则自动分配。对确有需要的执收单位，由执收单位向财政部门申请后，财政部门向执收单位预发票号，执收单位按顺序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二、生成。执收单位通过非税系统开具电子缴款书（仅有缴款通知功能，不含财政监制电子签名），包含单位电子签名。缴款人持电子缴款书上携带的缴款码，通过代理机构向财政缴纳款项后，财政端验证电子票号唯一性、执收单位签名有效性，追加财政监制电子签名，生成完整的电子缴款书。执收单位具有业务系统的，可与非税系统对接，通过其业务系统开具电子缴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三、传输。执收单位可使用非税系统自带的通知方式将电子缴款书提供缴款人，也可将电子缴款书下载后，通过短信、电子邮件等多种方式发送至缴款人。传输过程中发生的形式变化不得影响电子缴款书内容的真实性和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四、查验。财政部门建立健全电子缴款书服务体系，通过财政电子票据公共服务平台等多种服务渠道，方便缴款人和用票单位自主、及时查验电子缴款书真伪，获取票据及使用信息。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五、核销。通过代理机构收缴款项的电子缴款书，经代理机构与非税系统对账核对无误后，由财政部门自动核销。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firstLine="641"/>
        <w:jc w:val="both"/>
        <w:rPr>
          <w:sz w:val="24"/>
          <w:szCs w:val="24"/>
        </w:rPr>
      </w:pPr>
      <w:r>
        <w:rPr>
          <w:rFonts w:hint="default" w:ascii="monospace" w:eastAsia="monospace" w:cs="monospace"/>
          <w:color w:val="000000"/>
          <w:sz w:val="32"/>
          <w:szCs w:val="32"/>
          <w:bdr w:val="none" w:color="auto" w:sz="0" w:space="0"/>
        </w:rPr>
        <w:t>六、报销、入账和归档。根据《会计档案管理办法》（财政部国家档案局令第</w:t>
      </w:r>
      <w:r>
        <w:rPr>
          <w:rFonts w:hint="default" w:ascii="Times New Roman" w:hAnsi="Times New Roman" w:cs="Times New Roman"/>
          <w:color w:val="000000"/>
          <w:sz w:val="32"/>
          <w:szCs w:val="32"/>
          <w:bdr w:val="none" w:color="auto" w:sz="0" w:space="0"/>
        </w:rPr>
        <w:t>79</w:t>
      </w:r>
      <w:r>
        <w:rPr>
          <w:rFonts w:hint="default" w:ascii="monospace" w:eastAsia="monospace" w:cs="monospace"/>
          <w:color w:val="000000"/>
          <w:sz w:val="32"/>
          <w:szCs w:val="32"/>
          <w:bdr w:val="none" w:color="auto" w:sz="0" w:space="0"/>
        </w:rPr>
        <w:t>号）和《财政部国家档案局关于规范电子会计凭证报销入账归档的通知》（财会〔</w:t>
      </w:r>
      <w:r>
        <w:rPr>
          <w:rFonts w:hint="default" w:ascii="Times New Roman" w:hAnsi="Times New Roman" w:cs="Times New Roman"/>
          <w:color w:val="000000"/>
          <w:sz w:val="32"/>
          <w:szCs w:val="32"/>
          <w:bdr w:val="none" w:color="auto" w:sz="0" w:space="0"/>
        </w:rPr>
        <w:t>2020</w:t>
      </w:r>
      <w:r>
        <w:rPr>
          <w:rFonts w:hint="default" w:ascii="monospace" w:eastAsia="monospace" w:cs="monospace"/>
          <w:color w:val="000000"/>
          <w:sz w:val="32"/>
          <w:szCs w:val="32"/>
          <w:bdr w:val="none" w:color="auto" w:sz="0" w:space="0"/>
        </w:rPr>
        <w:t>〕</w:t>
      </w:r>
      <w:r>
        <w:rPr>
          <w:rFonts w:hint="default" w:ascii="Times New Roman" w:hAnsi="Times New Roman" w:cs="Times New Roman"/>
          <w:color w:val="000000"/>
          <w:sz w:val="32"/>
          <w:szCs w:val="32"/>
          <w:bdr w:val="none" w:color="auto" w:sz="0" w:space="0"/>
        </w:rPr>
        <w:t>6</w:t>
      </w:r>
      <w:r>
        <w:rPr>
          <w:rFonts w:hint="default" w:ascii="monospace" w:eastAsia="monospace" w:cs="monospace"/>
          <w:color w:val="000000"/>
          <w:sz w:val="32"/>
          <w:szCs w:val="32"/>
          <w:bdr w:val="none" w:color="auto" w:sz="0" w:space="0"/>
        </w:rPr>
        <w:t>号）等规定，对于执收单位和用票单位使用的会计核算系统能够准确、完整、有效接收和读取电子会计凭证及其元数据的，应直接使用电子缴款书进行报销、入账和归档；对于执收单位和用票单位使用的会计核算系统无法使用电子缴款书数据文件入账的，可以电子缴款书的纸质打印件作为报销、入账和归档依据，同时保存电子缴款书的数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0"/>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YTVmNzcyMTM3NTg4Mzc1NDZjYWQ1YjBlZGU5MDMifQ=="/>
  </w:docVars>
  <w:rsids>
    <w:rsidRoot w:val="206C13C0"/>
    <w:rsid w:val="206C13C0"/>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2022-12-26T09:06:00Z</dcterms:created>
  <dc:creator>www.shuiwu114.com</dc:creator>
  <cp:lastModifiedBy>www.shuiwu114.com</cp:lastModifiedBy>
  <dcterms:modified xsi:type="dcterms:W3CDTF">2022-12-26T09:07:03Z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171D61E7DFDB4F668579E8BE98835FB9</vt:lpwstr>
  </property>
</Properties>
</file>