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附件1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广西壮族自治区财政票据名称对照表</w:t>
      </w:r>
    </w:p>
    <w:tbl>
      <w:tblPr>
        <w:tblW w:w="0" w:type="auto"/>
        <w:jc w:val="center"/>
        <w:tblBorders>
          <w:top w:val="single" w:color="333333" w:sz="6" w:space="0"/>
          <w:left w:val="single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66"/>
        <w:gridCol w:w="3405"/>
        <w:gridCol w:w="3945"/>
      </w:tblGrid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ascii="Arial" w:hAnsi="Arial" w:cs="Arial"/>
                <w:color w:val="000000"/>
                <w:sz w:val="24"/>
                <w:szCs w:val="24"/>
                <w:bdr w:val="none" w:color="auto" w:sz="0" w:space="0"/>
              </w:rPr>
              <w:t>序号</w:t>
            </w:r>
          </w:p>
        </w:tc>
        <w:tc>
          <w:tcPr>
            <w:tcW w:w="370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重新明确的现行财政票据名称</w:t>
            </w:r>
          </w:p>
        </w:tc>
        <w:tc>
          <w:tcPr>
            <w:tcW w:w="429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原财政票据名称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 w:hRule="atLeast"/>
          <w:jc w:val="center"/>
        </w:trPr>
        <w:tc>
          <w:tcPr>
            <w:tcW w:w="4935" w:type="dxa"/>
            <w:gridSpan w:val="2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一、非税收入类票据（3种）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1</w:t>
            </w: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广西壮族自治区非税收入一般缴款书（三联、五联）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（1）广西壮族自治区非税收入一般缴款书（三联、五联）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2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 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广西壮族自治区政府非税收入票据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 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（2）广西壮族自治区政府非税收入定额收据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（3）广西壮族自治区政府非税收入专用收据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（4）广西壮族自治区政府非税收入专用收据(法院专用）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（5）广西壮族自治区罚没款收据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（6）广西壮族自治区罚没物资收据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（7）代收罚款收据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（8）代收罚款收据（公安）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（9）广西壮族自治区车辆通行费收据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（10）广西壮族自治区车辆通行费（定额）收据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（11）广西壮族自治区公路车辆通行费月票收据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（12）人民法院诉讼收费专用票据（预收）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（13）人民法院诉讼收费专用票据（退费）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3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广西壮族自治区车辆通行费（非定额）收据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（14）广西壮族自治区车辆通行费收据（非定额）（高速公路）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（15）广西壮族自治区车辆通行费收据（非定额）（公路）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（16）广西壮族自治区车辆通行费收据（非定额）（吴圩机场专用）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（17）广西壮族自治区车辆通行费收据（非定额）（路桥公司专用）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  <w:jc w:val="center"/>
        </w:trPr>
        <w:tc>
          <w:tcPr>
            <w:tcW w:w="4935" w:type="dxa"/>
            <w:gridSpan w:val="2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二、结算类票据（1种）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4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广西壮族自治区行政事业单位资金往来结算票据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（18）广西壮族自治区行政事业单位资金往来结算票据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（19）广西壮族自治区行政事业单位资金往来结算票据（法院专用）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（20）广西壮族自治区公安取保候审保证金（扣押款）专用票据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（21）广西壮族自治区公安取保候审保证金（扣押款）退款票据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  <w:jc w:val="center"/>
        </w:trPr>
        <w:tc>
          <w:tcPr>
            <w:tcW w:w="4935" w:type="dxa"/>
            <w:gridSpan w:val="2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三、其他财政票据（8种）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5</w:t>
            </w: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广西壮族自治区公益事业捐赠统一票据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（22）公益事业捐赠统一票据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24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6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广西壮族自治区医疗门诊收费票据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（23）广西壮族自治区区直医疗单位门诊诊疗费收据（定额）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（24）广西壮族自治区医疗门诊收费票据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（25）广西壮族自治区新型农村合作医疗村级定点医疗票据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7</w:t>
            </w: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广西壮族自治区医疗住院收费票据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（26）广西壮族自治区医疗住院收费票据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8</w:t>
            </w: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广西壮族自治区社会团体会费统一票据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（27）广西壮族自治区社会团体会费统一票据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9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广西壮族自治区住宅专项维修资金专用票据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（28）广西壮族自治区住宅专项维修资金专用收据（出售公房单位使用）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（29）广西壮族自治区住宅专项维修资金专用收据（业主使用）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10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广西壮族自治区暂时扣留（或冻结）财物专用票据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 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（30）广西壮族自治区暂时扣留（或冻结）财物收据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（31）广西壮族自治区检察机关暂扣押款专用票据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（32）广西壮族自治区检察机关暂扣押款退款票据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11</w:t>
            </w: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广西壮族自治区村级组织专用票据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（33）广西壮族自治区村级组织专用票据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center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12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广西壮族自治区建筑安装工程劳动保险费统一票据</w:t>
            </w: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（34）广西壮族自治区建筑安装工程劳动保险费统一票据（地方基本部分）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4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705" w:type="dxa"/>
            <w:vMerge w:val="continue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（35）广西壮族自治区建筑安装工程劳动保险费统一票据（自治区调剂部分）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（36）广西壮族自治区社会保险基金专用收款收据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（37）广西壮族自治区新型墙体材料专项基金专用收据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124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370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429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95" w:beforeAutospacing="0" w:after="195" w:afterAutospacing="0"/>
              <w:ind w:left="0" w:right="0"/>
              <w:jc w:val="left"/>
              <w:textAlignment w:val="center"/>
            </w:pPr>
            <w:r>
              <w:rPr>
                <w:rFonts w:hint="default" w:ascii="Arial" w:hAnsi="Arial" w:cs="Arial"/>
                <w:color w:val="000000"/>
                <w:sz w:val="24"/>
                <w:szCs w:val="24"/>
                <w:bdr w:val="none" w:color="auto" w:sz="0" w:space="0"/>
              </w:rPr>
              <w:t>（38）广西壮族自治区新型农村合作医疗基金收款收据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附件2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广西壮族自治区财政票据式样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一、广西壮族自治区财政电子票据通用式样。适用于：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（一）《广西壮族自治区政府非税收入票据》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（二）《广西壮族自治区行政事业单位资金往来结算票据》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（三）《广西壮族自治区公益事业捐赠统一票据》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（四）《广西壮族自治区社会团体会费统一票据》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（五）《广西壮族自治区住宅专项维修资金专用票据》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（六）《广西壮族自治区暂时扣留（或冻结）财物专用票据》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（七）《广西壮族自治区村级组织专用票据》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（八）《广西壮族自治区建筑安装工程劳动保险费统一票据》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4371975"/>
            <wp:effectExtent l="0" t="0" r="0" b="9525"/>
            <wp:docPr id="8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二、广西壮族自治区财政机打票据通用式样。适用于：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（一）《广西壮族自治区政府非税收入票据》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（二）《广西壮族自治区行政事业单位资金往来结算票据》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（三）《广西壮族自治区公益事业捐赠统一票据》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（四）《广西壮族自治区社会团体会费统一票据》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（五）《广西壮族自治区暂时扣留（或冻结）财物专用票据》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4010025"/>
            <wp:effectExtent l="0" t="0" r="0" b="9525"/>
            <wp:docPr id="11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三、广西壮族自治区财政手写票据通用式样。适用于：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（一）《广西壮族自治区政府非税收入票据》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（二）《广西壮族自治区村级组织专用票据》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4419600"/>
            <wp:effectExtent l="0" t="0" r="0" b="0"/>
            <wp:docPr id="9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四、广西壮族自治区非税收入一般缴款书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（一）《广西壮族自治区非税收入一般缴款书》（三联）（机打票据）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295650"/>
            <wp:effectExtent l="0" t="0" r="0" b="0"/>
            <wp:docPr id="10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（二）《广西壮族自治区非税收入一般缴款书》（五联）（机打票据）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314700"/>
            <wp:effectExtent l="0" t="0" r="0" b="0"/>
            <wp:docPr id="12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（三）《广西壮族自治区非税收入一般缴款书》（电子票据）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448050"/>
            <wp:effectExtent l="0" t="0" r="0" b="0"/>
            <wp:docPr id="7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五、广西壮族自治区车辆通行费（非定额）收据（机打票据）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248025" cy="3362325"/>
            <wp:effectExtent l="0" t="0" r="9525" b="9525"/>
            <wp:docPr id="13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238500" cy="3343275"/>
            <wp:effectExtent l="0" t="0" r="0" b="9525"/>
            <wp:docPr id="1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六、广西壮族自治区医疗门诊收费票据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（一）《广西壮族自治区医疗门诊收费票据》（手写票据）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562350"/>
            <wp:effectExtent l="0" t="0" r="0" b="0"/>
            <wp:docPr id="5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（二）《广西壮族自治区医疗门诊收费票据》（机打票据）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4038600"/>
            <wp:effectExtent l="0" t="0" r="0" b="0"/>
            <wp:docPr id="2" name="图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（三）《广西壮族自治区医疗门诊收费票据》（电子票据）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4457700"/>
            <wp:effectExtent l="0" t="0" r="0" b="0"/>
            <wp:docPr id="3" name="图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七、广西壮族自治区医疗住院收费票据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（一）《广西壮族自治区医疗住院收费票据》（机打票据）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4029075"/>
            <wp:effectExtent l="0" t="0" r="0" b="9525"/>
            <wp:docPr id="6" name="图片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（二）《广西壮族自治区医疗住院收费票据》（电子票据）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5" w:beforeAutospacing="0" w:after="19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4457700"/>
            <wp:effectExtent l="0" t="0" r="0" b="0"/>
            <wp:docPr id="4" name="图片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0MGNkMTU3OWQzNDA3NjVmODJmMjIxMTIxOTBhNjUifQ=="/>
  </w:docVars>
  <w:rsids>
    <w:rsidRoot w:val="12926DCE"/>
    <w:rsid w:val="12926DCE"/>
    <w:rsid w:val="4CFC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文件"/>
    <w:basedOn w:val="1"/>
    <w:uiPriority w:val="0"/>
    <w:pPr>
      <w:spacing w:line="540" w:lineRule="atLeast"/>
      <w:ind w:firstLine="480" w:firstLineChars="200"/>
      <w:jc w:val="left"/>
    </w:pPr>
    <w:rPr>
      <w:rFonts w:hint="default" w:ascii="宋体" w:hAnsi="宋体" w:eastAsiaTheme="majorEastAsia" w:cstheme="major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2023-05-25T09:29:00Z</dcterms:created>
  <dc:creator>www.shuiwu114.com</dc:creator>
  <cp:lastModifiedBy>www.shuiwu114.com</cp:lastModifiedBy>
  <dcterms:modified xsi:type="dcterms:W3CDTF">2023-05-25T09:30:50Z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B66F14DDA691410EA17BA26B2FEEA124_11</vt:lpwstr>
  </property>
</Properties>
</file>