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857C4">
      <w:pPr>
        <w:spacing w:before="91" w:line="387" w:lineRule="exact"/>
        <w:ind w:left="297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position w:val="2"/>
          <w:sz w:val="28"/>
          <w:szCs w:val="28"/>
        </w:rPr>
        <w:t>A202000</w:t>
      </w:r>
      <w:r>
        <w:rPr>
          <w:rFonts w:hint="eastAsia" w:ascii="宋体" w:hAnsi="宋体" w:eastAsia="宋体" w:cs="宋体"/>
          <w:b/>
          <w:bCs/>
          <w:spacing w:val="-1"/>
          <w:position w:val="2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1"/>
          <w:position w:val="2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pacing w:val="-1"/>
          <w:position w:val="2"/>
          <w:sz w:val="28"/>
          <w:szCs w:val="28"/>
        </w:rPr>
        <w:t>企业所得税汇总纳税分支机构所得税分配表</w:t>
      </w:r>
    </w:p>
    <w:p w14:paraId="3ECDDBCD">
      <w:pPr>
        <w:spacing w:before="247" w:line="228" w:lineRule="auto"/>
        <w:ind w:left="558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税款所属期间：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日至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年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月</w:t>
      </w:r>
      <w:r>
        <w:rPr>
          <w:rFonts w:hint="eastAsia" w:ascii="宋体" w:hAnsi="宋体" w:eastAsia="宋体" w:cs="宋体"/>
          <w:spacing w:val="3"/>
          <w:sz w:val="20"/>
          <w:szCs w:val="20"/>
          <w:lang w:val="en-US" w:eastAsia="zh-CN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</w:rPr>
        <w:t>日</w:t>
      </w:r>
    </w:p>
    <w:p w14:paraId="5AE92567">
      <w:pPr>
        <w:spacing w:before="214" w:line="192" w:lineRule="auto"/>
        <w:ind w:left="13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19"/>
          <w:szCs w:val="19"/>
        </w:rPr>
        <w:t>总机构名称（盖章）</w:t>
      </w:r>
      <w:r>
        <w:rPr>
          <w:rFonts w:ascii="宋体" w:hAnsi="宋体" w:eastAsia="宋体" w:cs="宋体"/>
          <w:spacing w:val="6"/>
          <w:sz w:val="24"/>
          <w:szCs w:val="24"/>
        </w:rPr>
        <w:t>:</w:t>
      </w:r>
    </w:p>
    <w:p w14:paraId="0B8B4B06">
      <w:pPr>
        <w:spacing w:before="77" w:line="228" w:lineRule="auto"/>
        <w:ind w:left="1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9"/>
          <w:sz w:val="19"/>
          <w:szCs w:val="19"/>
        </w:rPr>
        <w:t>总机构纳税人识别号（统一社会信用代码</w:t>
      </w:r>
      <w:r>
        <w:rPr>
          <w:rFonts w:ascii="宋体" w:hAnsi="宋体" w:eastAsia="宋体" w:cs="宋体"/>
          <w:spacing w:val="6"/>
          <w:sz w:val="19"/>
          <w:szCs w:val="19"/>
        </w:rPr>
        <w:t>）：</w:t>
      </w:r>
      <w:r>
        <w:rPr>
          <w:rFonts w:ascii="宋体" w:hAnsi="宋体" w:eastAsia="宋体" w:cs="宋体"/>
          <w:spacing w:val="9"/>
          <w:sz w:val="19"/>
          <w:szCs w:val="19"/>
        </w:rPr>
        <w:t>金</w:t>
      </w:r>
      <w:r>
        <w:rPr>
          <w:rFonts w:ascii="宋体" w:hAnsi="宋体" w:eastAsia="宋体" w:cs="宋体"/>
          <w:spacing w:val="8"/>
          <w:sz w:val="19"/>
          <w:szCs w:val="19"/>
        </w:rPr>
        <w:t>额单位:元（列至角分）</w:t>
      </w:r>
    </w:p>
    <w:p w14:paraId="1AEF52AC">
      <w:pPr>
        <w:spacing w:line="34" w:lineRule="exact"/>
      </w:pPr>
    </w:p>
    <w:tbl>
      <w:tblPr>
        <w:tblStyle w:val="7"/>
        <w:tblW w:w="500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2731"/>
        <w:gridCol w:w="2728"/>
        <w:gridCol w:w="1764"/>
        <w:gridCol w:w="1764"/>
        <w:gridCol w:w="1770"/>
        <w:gridCol w:w="1063"/>
        <w:gridCol w:w="2123"/>
      </w:tblGrid>
      <w:tr w14:paraId="63D23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59" w:type="pct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5D4ABAF">
            <w:pPr>
              <w:pStyle w:val="6"/>
              <w:spacing w:before="75" w:line="229" w:lineRule="auto"/>
              <w:ind w:left="1077"/>
            </w:pPr>
            <w:r>
              <w:rPr>
                <w:spacing w:val="8"/>
              </w:rPr>
              <w:t>应纳所得税额</w:t>
            </w:r>
          </w:p>
        </w:tc>
        <w:tc>
          <w:tcPr>
            <w:tcW w:w="934" w:type="pct"/>
            <w:tcBorders>
              <w:top w:val="single" w:color="000000" w:sz="10" w:space="0"/>
            </w:tcBorders>
            <w:vAlign w:val="top"/>
          </w:tcPr>
          <w:p w14:paraId="74E8E24E">
            <w:pPr>
              <w:pStyle w:val="6"/>
              <w:spacing w:before="75" w:line="228" w:lineRule="auto"/>
              <w:ind w:left="460"/>
            </w:pPr>
            <w:r>
              <w:rPr>
                <w:spacing w:val="8"/>
              </w:rPr>
              <w:t>总机构分摊所得税额</w:t>
            </w:r>
          </w:p>
        </w:tc>
        <w:tc>
          <w:tcPr>
            <w:tcW w:w="1814" w:type="pct"/>
            <w:gridSpan w:val="3"/>
            <w:tcBorders>
              <w:top w:val="single" w:color="000000" w:sz="10" w:space="0"/>
            </w:tcBorders>
            <w:vAlign w:val="top"/>
          </w:tcPr>
          <w:p w14:paraId="1351313C">
            <w:pPr>
              <w:pStyle w:val="6"/>
              <w:spacing w:before="75" w:line="228" w:lineRule="auto"/>
              <w:ind w:left="1345"/>
            </w:pPr>
            <w:r>
              <w:rPr>
                <w:spacing w:val="9"/>
              </w:rPr>
              <w:t>总机构财政集中分配所得税额</w:t>
            </w:r>
          </w:p>
        </w:tc>
        <w:tc>
          <w:tcPr>
            <w:tcW w:w="1091" w:type="pct"/>
            <w:gridSpan w:val="2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F561938">
            <w:pPr>
              <w:pStyle w:val="6"/>
              <w:spacing w:before="75" w:line="228" w:lineRule="auto"/>
              <w:ind w:left="593"/>
            </w:pPr>
            <w:r>
              <w:rPr>
                <w:spacing w:val="8"/>
              </w:rPr>
              <w:t>分支机构分摊所得税额</w:t>
            </w:r>
          </w:p>
        </w:tc>
      </w:tr>
      <w:tr w14:paraId="7A995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159" w:type="pct"/>
            <w:gridSpan w:val="2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36C21D3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tcBorders>
              <w:bottom w:val="single" w:color="000000" w:sz="10" w:space="0"/>
            </w:tcBorders>
            <w:vAlign w:val="top"/>
          </w:tcPr>
          <w:p w14:paraId="5B166A23">
            <w:pPr>
              <w:rPr>
                <w:rFonts w:ascii="Arial"/>
                <w:sz w:val="21"/>
              </w:rPr>
            </w:pPr>
          </w:p>
        </w:tc>
        <w:tc>
          <w:tcPr>
            <w:tcW w:w="1814" w:type="pct"/>
            <w:gridSpan w:val="3"/>
            <w:tcBorders>
              <w:bottom w:val="single" w:color="000000" w:sz="10" w:space="0"/>
            </w:tcBorders>
            <w:vAlign w:val="top"/>
          </w:tcPr>
          <w:p w14:paraId="3A06AAB1">
            <w:pPr>
              <w:rPr>
                <w:rFonts w:ascii="Arial"/>
                <w:sz w:val="21"/>
              </w:rPr>
            </w:pPr>
          </w:p>
        </w:tc>
        <w:tc>
          <w:tcPr>
            <w:tcW w:w="1091" w:type="pct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E08C6FC">
            <w:pPr>
              <w:rPr>
                <w:rFonts w:ascii="Arial"/>
                <w:sz w:val="21"/>
              </w:rPr>
            </w:pPr>
          </w:p>
        </w:tc>
      </w:tr>
      <w:tr w14:paraId="77054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24" w:type="pct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textDirection w:val="tbRlV"/>
            <w:vAlign w:val="top"/>
          </w:tcPr>
          <w:p w14:paraId="680732C3">
            <w:pPr>
              <w:pStyle w:val="6"/>
              <w:spacing w:before="228" w:line="209" w:lineRule="auto"/>
              <w:ind w:left="2226"/>
            </w:pPr>
            <w:r>
              <w:rPr>
                <w:spacing w:val="9"/>
              </w:rPr>
              <w:t>分支机构情况</w:t>
            </w:r>
          </w:p>
        </w:tc>
        <w:tc>
          <w:tcPr>
            <w:tcW w:w="935" w:type="pct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10E89632">
            <w:pPr>
              <w:pStyle w:val="6"/>
              <w:spacing w:before="111"/>
              <w:ind w:right="361"/>
              <w:jc w:val="center"/>
              <w:rPr>
                <w:spacing w:val="8"/>
              </w:rPr>
            </w:pPr>
            <w:r>
              <w:rPr>
                <w:spacing w:val="8"/>
              </w:rPr>
              <w:t>分支机构纳税人识别号</w:t>
            </w:r>
          </w:p>
          <w:p w14:paraId="64A400B5">
            <w:pPr>
              <w:pStyle w:val="6"/>
              <w:spacing w:before="111"/>
              <w:ind w:right="361"/>
              <w:jc w:val="center"/>
            </w:pPr>
            <w:r>
              <w:rPr>
                <w:rFonts w:hint="eastAsia"/>
                <w:spacing w:val="8"/>
                <w:lang w:eastAsia="zh-CN"/>
              </w:rPr>
              <w:t>（</w:t>
            </w:r>
            <w:r>
              <w:rPr>
                <w:spacing w:val="7"/>
              </w:rPr>
              <w:t>统一社会信用代码）</w:t>
            </w:r>
          </w:p>
        </w:tc>
        <w:tc>
          <w:tcPr>
            <w:tcW w:w="934" w:type="pct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7FFA49D5">
            <w:pPr>
              <w:pStyle w:val="6"/>
              <w:spacing w:before="240" w:line="228" w:lineRule="auto"/>
              <w:ind w:left="760"/>
            </w:pPr>
            <w:r>
              <w:rPr>
                <w:spacing w:val="8"/>
              </w:rPr>
              <w:t>分支机构名称</w:t>
            </w:r>
          </w:p>
        </w:tc>
        <w:tc>
          <w:tcPr>
            <w:tcW w:w="1814" w:type="pct"/>
            <w:gridSpan w:val="3"/>
            <w:tcBorders>
              <w:top w:val="single" w:color="000000" w:sz="10" w:space="0"/>
            </w:tcBorders>
            <w:vAlign w:val="top"/>
          </w:tcPr>
          <w:p w14:paraId="7C3D8310">
            <w:pPr>
              <w:pStyle w:val="6"/>
              <w:spacing w:before="62" w:line="229" w:lineRule="auto"/>
              <w:ind w:left="2242"/>
            </w:pPr>
            <w:r>
              <w:rPr>
                <w:spacing w:val="7"/>
              </w:rPr>
              <w:t>三项因素</w:t>
            </w:r>
          </w:p>
        </w:tc>
        <w:tc>
          <w:tcPr>
            <w:tcW w:w="364" w:type="pct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 w14:paraId="53C11C8B">
            <w:pPr>
              <w:pStyle w:val="6"/>
              <w:spacing w:before="111" w:line="241" w:lineRule="auto"/>
              <w:ind w:right="316"/>
              <w:jc w:val="center"/>
              <w:rPr>
                <w:spacing w:val="4"/>
              </w:rPr>
            </w:pPr>
            <w:r>
              <w:rPr>
                <w:spacing w:val="4"/>
              </w:rPr>
              <w:t>分配</w:t>
            </w:r>
          </w:p>
          <w:p w14:paraId="364B74B0">
            <w:pPr>
              <w:pStyle w:val="6"/>
              <w:spacing w:before="111" w:line="241" w:lineRule="auto"/>
              <w:ind w:right="316"/>
              <w:jc w:val="center"/>
            </w:pPr>
            <w:r>
              <w:rPr>
                <w:spacing w:val="-6"/>
              </w:rPr>
              <w:t>比例</w:t>
            </w:r>
          </w:p>
        </w:tc>
        <w:tc>
          <w:tcPr>
            <w:tcW w:w="727" w:type="pct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 w14:paraId="659FA2BD">
            <w:pPr>
              <w:pStyle w:val="6"/>
              <w:spacing w:before="240" w:line="229" w:lineRule="auto"/>
              <w:ind w:left="464"/>
            </w:pPr>
            <w:r>
              <w:rPr>
                <w:spacing w:val="8"/>
              </w:rPr>
              <w:t>分配所得税额</w:t>
            </w:r>
          </w:p>
        </w:tc>
      </w:tr>
      <w:tr w14:paraId="5C56B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6631D336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Merge w:val="continue"/>
            <w:tcBorders>
              <w:top w:val="nil"/>
            </w:tcBorders>
            <w:vAlign w:val="top"/>
          </w:tcPr>
          <w:p w14:paraId="62406807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Merge w:val="continue"/>
            <w:tcBorders>
              <w:top w:val="nil"/>
            </w:tcBorders>
            <w:vAlign w:val="top"/>
          </w:tcPr>
          <w:p w14:paraId="2D6405BC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01034300">
            <w:pPr>
              <w:pStyle w:val="6"/>
              <w:spacing w:before="72" w:line="229" w:lineRule="auto"/>
              <w:ind w:left="487"/>
            </w:pPr>
            <w:r>
              <w:rPr>
                <w:spacing w:val="6"/>
              </w:rPr>
              <w:t>营业收入</w:t>
            </w:r>
          </w:p>
        </w:tc>
        <w:tc>
          <w:tcPr>
            <w:tcW w:w="604" w:type="pct"/>
            <w:vAlign w:val="top"/>
          </w:tcPr>
          <w:p w14:paraId="6C783258">
            <w:pPr>
              <w:pStyle w:val="6"/>
              <w:spacing w:before="72" w:line="229" w:lineRule="auto"/>
              <w:ind w:left="486"/>
            </w:pPr>
            <w:r>
              <w:rPr>
                <w:spacing w:val="7"/>
              </w:rPr>
              <w:t>职工薪酬</w:t>
            </w:r>
          </w:p>
        </w:tc>
        <w:tc>
          <w:tcPr>
            <w:tcW w:w="606" w:type="pct"/>
            <w:vAlign w:val="top"/>
          </w:tcPr>
          <w:p w14:paraId="7C1EC7F6">
            <w:pPr>
              <w:pStyle w:val="6"/>
              <w:spacing w:before="72" w:line="229" w:lineRule="auto"/>
              <w:ind w:left="496"/>
            </w:pPr>
            <w:r>
              <w:rPr>
                <w:spacing w:val="5"/>
              </w:rPr>
              <w:t>资产总额</w:t>
            </w:r>
          </w:p>
        </w:tc>
        <w:tc>
          <w:tcPr>
            <w:tcW w:w="364" w:type="pct"/>
            <w:vMerge w:val="continue"/>
            <w:tcBorders>
              <w:top w:val="nil"/>
            </w:tcBorders>
            <w:vAlign w:val="top"/>
          </w:tcPr>
          <w:p w14:paraId="3ED7E22A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 w14:paraId="3D208A6D">
            <w:pPr>
              <w:rPr>
                <w:rFonts w:ascii="Arial"/>
                <w:sz w:val="21"/>
              </w:rPr>
            </w:pPr>
          </w:p>
        </w:tc>
      </w:tr>
      <w:tr w14:paraId="460A5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84CEF34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29A42B4F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2CD24C35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6E6F9B2A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290688A1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4030CB1C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2C516120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6868C08B">
            <w:pPr>
              <w:rPr>
                <w:rFonts w:ascii="Arial"/>
                <w:sz w:val="21"/>
              </w:rPr>
            </w:pPr>
          </w:p>
        </w:tc>
      </w:tr>
      <w:tr w14:paraId="3D779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4D7D4F6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2D066DAB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2B34C617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39D9C89D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407DCA14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39E7D000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4970E079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3518F7EB">
            <w:pPr>
              <w:rPr>
                <w:rFonts w:ascii="Arial"/>
                <w:sz w:val="21"/>
              </w:rPr>
            </w:pPr>
          </w:p>
        </w:tc>
      </w:tr>
      <w:tr w14:paraId="0052C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D5986A9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21D6F3EC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73B737F4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2F49DCD8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19921EBC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4F5B70BA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5C8798EF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3CDE1FB5">
            <w:pPr>
              <w:rPr>
                <w:rFonts w:ascii="Arial"/>
                <w:sz w:val="21"/>
              </w:rPr>
            </w:pPr>
          </w:p>
        </w:tc>
      </w:tr>
      <w:tr w14:paraId="42FE3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01D1555E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4E64CEB7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19C99D43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20902425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4A6DE9D5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06164089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29B5E552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1DAF4453">
            <w:pPr>
              <w:rPr>
                <w:rFonts w:ascii="Arial"/>
                <w:sz w:val="21"/>
              </w:rPr>
            </w:pPr>
          </w:p>
        </w:tc>
      </w:tr>
      <w:tr w14:paraId="10AC2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3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0F951F8C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715DA543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47D7F96E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707EB22A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02E627F8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6E9CB313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2D1C4FF7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6BD059ED">
            <w:pPr>
              <w:rPr>
                <w:rFonts w:ascii="Arial"/>
                <w:sz w:val="21"/>
              </w:rPr>
            </w:pPr>
          </w:p>
        </w:tc>
      </w:tr>
      <w:tr w14:paraId="1F366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FFB3DC4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45EB1E0E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04739A67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4EF19049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275FEA7E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087889EF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033175B9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47EDA262">
            <w:pPr>
              <w:rPr>
                <w:rFonts w:ascii="Arial"/>
                <w:sz w:val="21"/>
              </w:rPr>
            </w:pPr>
          </w:p>
        </w:tc>
      </w:tr>
      <w:tr w14:paraId="448E0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3B22159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2A4A73C2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07F63004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1089A89F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6034B762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14BAA1DC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517D9A3A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46D1CBC0">
            <w:pPr>
              <w:rPr>
                <w:rFonts w:ascii="Arial"/>
                <w:sz w:val="21"/>
              </w:rPr>
            </w:pPr>
          </w:p>
        </w:tc>
      </w:tr>
      <w:tr w14:paraId="38862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24A9604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53110AAE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3E418604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66ABDF06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0FEE7413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2E3C7FDD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67A54099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32F7A260">
            <w:pPr>
              <w:rPr>
                <w:rFonts w:ascii="Arial"/>
                <w:sz w:val="21"/>
              </w:rPr>
            </w:pPr>
          </w:p>
        </w:tc>
      </w:tr>
      <w:tr w14:paraId="2F259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30EE6976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6324B89D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085232B8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1DB3C2F6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3D6B78B7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1A1B0CF1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2A3F2AC6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58B97BD5">
            <w:pPr>
              <w:rPr>
                <w:rFonts w:ascii="Arial"/>
                <w:sz w:val="21"/>
              </w:rPr>
            </w:pPr>
          </w:p>
        </w:tc>
      </w:tr>
      <w:tr w14:paraId="4394C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C4842F6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4F068B07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767FEF54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234BF002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2764C15A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0105CBFB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69AE9EB8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257886AB">
            <w:pPr>
              <w:rPr>
                <w:rFonts w:ascii="Arial"/>
                <w:sz w:val="21"/>
              </w:rPr>
            </w:pPr>
          </w:p>
        </w:tc>
      </w:tr>
      <w:tr w14:paraId="37BEC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59D8FF6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67863522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3CB4E425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7E8E58F5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0E57A086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211C04FC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6EC27AE3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2D20E2E5">
            <w:pPr>
              <w:rPr>
                <w:rFonts w:ascii="Arial"/>
                <w:sz w:val="21"/>
              </w:rPr>
            </w:pPr>
          </w:p>
        </w:tc>
      </w:tr>
      <w:tr w14:paraId="37ED2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4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6A97CA48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6B249FD1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5886A37F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608B17B5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6D51CA51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1855C78B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40F7A309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7CCBADE2">
            <w:pPr>
              <w:rPr>
                <w:rFonts w:ascii="Arial"/>
                <w:sz w:val="21"/>
              </w:rPr>
            </w:pPr>
          </w:p>
        </w:tc>
      </w:tr>
      <w:tr w14:paraId="02C79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061E7554">
            <w:pPr>
              <w:rPr>
                <w:rFonts w:ascii="Arial"/>
                <w:sz w:val="21"/>
              </w:rPr>
            </w:pPr>
          </w:p>
        </w:tc>
        <w:tc>
          <w:tcPr>
            <w:tcW w:w="935" w:type="pct"/>
            <w:vAlign w:val="top"/>
          </w:tcPr>
          <w:p w14:paraId="3813829D">
            <w:pPr>
              <w:rPr>
                <w:rFonts w:ascii="Arial"/>
                <w:sz w:val="21"/>
              </w:rPr>
            </w:pPr>
          </w:p>
        </w:tc>
        <w:tc>
          <w:tcPr>
            <w:tcW w:w="934" w:type="pct"/>
            <w:vAlign w:val="top"/>
          </w:tcPr>
          <w:p w14:paraId="4B59AB14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727D4CCD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vAlign w:val="top"/>
          </w:tcPr>
          <w:p w14:paraId="27632AFA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vAlign w:val="top"/>
          </w:tcPr>
          <w:p w14:paraId="41F339BF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vAlign w:val="top"/>
          </w:tcPr>
          <w:p w14:paraId="2C55E539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right w:val="single" w:color="000000" w:sz="10" w:space="0"/>
            </w:tcBorders>
            <w:vAlign w:val="top"/>
          </w:tcPr>
          <w:p w14:paraId="6C7E842D">
            <w:pPr>
              <w:rPr>
                <w:rFonts w:ascii="Arial"/>
                <w:sz w:val="21"/>
              </w:rPr>
            </w:pPr>
          </w:p>
        </w:tc>
      </w:tr>
      <w:tr w14:paraId="0CB3A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4" w:type="pct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 w14:paraId="2DFD2C86">
            <w:pPr>
              <w:rPr>
                <w:rFonts w:ascii="Arial"/>
                <w:sz w:val="21"/>
              </w:rPr>
            </w:pPr>
          </w:p>
        </w:tc>
        <w:tc>
          <w:tcPr>
            <w:tcW w:w="1869" w:type="pct"/>
            <w:gridSpan w:val="2"/>
            <w:tcBorders>
              <w:bottom w:val="single" w:color="000000" w:sz="10" w:space="0"/>
            </w:tcBorders>
            <w:vAlign w:val="top"/>
          </w:tcPr>
          <w:p w14:paraId="692D9783">
            <w:pPr>
              <w:pStyle w:val="6"/>
              <w:spacing w:before="92" w:line="230" w:lineRule="auto"/>
              <w:ind w:left="2513"/>
            </w:pPr>
            <w:r>
              <w:rPr>
                <w:spacing w:val="4"/>
              </w:rPr>
              <w:t>合计</w:t>
            </w:r>
          </w:p>
        </w:tc>
        <w:tc>
          <w:tcPr>
            <w:tcW w:w="604" w:type="pct"/>
            <w:tcBorders>
              <w:bottom w:val="single" w:color="000000" w:sz="10" w:space="0"/>
            </w:tcBorders>
            <w:vAlign w:val="top"/>
          </w:tcPr>
          <w:p w14:paraId="51C15538">
            <w:pPr>
              <w:rPr>
                <w:rFonts w:ascii="Arial"/>
                <w:sz w:val="21"/>
              </w:rPr>
            </w:pPr>
          </w:p>
        </w:tc>
        <w:tc>
          <w:tcPr>
            <w:tcW w:w="604" w:type="pct"/>
            <w:tcBorders>
              <w:bottom w:val="single" w:color="000000" w:sz="10" w:space="0"/>
            </w:tcBorders>
            <w:vAlign w:val="top"/>
          </w:tcPr>
          <w:p w14:paraId="5CE4351B">
            <w:pPr>
              <w:rPr>
                <w:rFonts w:ascii="Arial"/>
                <w:sz w:val="21"/>
              </w:rPr>
            </w:pPr>
          </w:p>
        </w:tc>
        <w:tc>
          <w:tcPr>
            <w:tcW w:w="606" w:type="pct"/>
            <w:tcBorders>
              <w:bottom w:val="single" w:color="000000" w:sz="10" w:space="0"/>
            </w:tcBorders>
            <w:vAlign w:val="top"/>
          </w:tcPr>
          <w:p w14:paraId="3D34B20B">
            <w:pPr>
              <w:rPr>
                <w:rFonts w:ascii="Arial"/>
                <w:sz w:val="21"/>
              </w:rPr>
            </w:pPr>
          </w:p>
        </w:tc>
        <w:tc>
          <w:tcPr>
            <w:tcW w:w="364" w:type="pct"/>
            <w:tcBorders>
              <w:bottom w:val="single" w:color="000000" w:sz="10" w:space="0"/>
            </w:tcBorders>
            <w:vAlign w:val="top"/>
          </w:tcPr>
          <w:p w14:paraId="48F37B85">
            <w:pPr>
              <w:rPr>
                <w:rFonts w:ascii="Arial"/>
                <w:sz w:val="21"/>
              </w:rPr>
            </w:pPr>
          </w:p>
        </w:tc>
        <w:tc>
          <w:tcPr>
            <w:tcW w:w="727" w:type="pct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759276F">
            <w:pPr>
              <w:rPr>
                <w:rFonts w:ascii="Arial"/>
                <w:sz w:val="21"/>
              </w:rPr>
            </w:pPr>
          </w:p>
        </w:tc>
      </w:tr>
    </w:tbl>
    <w:p w14:paraId="5C7B7FFF">
      <w:pPr>
        <w:pStyle w:val="2"/>
      </w:pPr>
    </w:p>
    <w:p w14:paraId="3767BE9D">
      <w:pPr>
        <w:sectPr>
          <w:footerReference r:id="rId5" w:type="default"/>
          <w:pgSz w:w="16839" w:h="11905"/>
          <w:pgMar w:top="1011" w:right="1144" w:bottom="911" w:left="1144" w:header="0" w:footer="687" w:gutter="0"/>
          <w:cols w:space="720" w:num="1"/>
        </w:sectPr>
      </w:pPr>
    </w:p>
    <w:p w14:paraId="4C85DAEB">
      <w:pPr>
        <w:spacing w:before="66" w:line="387" w:lineRule="exact"/>
        <w:ind w:left="368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position w:val="2"/>
          <w:sz w:val="28"/>
          <w:szCs w:val="28"/>
        </w:rPr>
        <w:t>A202000《企业所得税汇总纳税分支机构所得税分配表》填</w:t>
      </w:r>
      <w:r>
        <w:rPr>
          <w:rFonts w:ascii="宋体" w:hAnsi="宋体" w:eastAsia="宋体" w:cs="宋体"/>
          <w:b/>
          <w:bCs/>
          <w:spacing w:val="-2"/>
          <w:position w:val="2"/>
          <w:sz w:val="28"/>
          <w:szCs w:val="28"/>
        </w:rPr>
        <w:t>报说明</w:t>
      </w:r>
    </w:p>
    <w:p w14:paraId="1B078FCF">
      <w:pPr>
        <w:pStyle w:val="2"/>
        <w:spacing w:line="355" w:lineRule="auto"/>
      </w:pPr>
    </w:p>
    <w:p w14:paraId="5C024EB1">
      <w:pPr>
        <w:pStyle w:val="2"/>
        <w:spacing w:line="356" w:lineRule="auto"/>
      </w:pPr>
    </w:p>
    <w:p w14:paraId="020B557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88"/>
        <w:textAlignment w:val="baseline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一、适用范围及报送要求</w:t>
      </w:r>
    </w:p>
    <w:p w14:paraId="73E01AF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07" w:firstLine="481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</w:rPr>
        <w:t>本表为《中华人民共和国企业所得税月（季）度预缴纳税申报表（A类）》（A200000）</w:t>
      </w:r>
      <w:r>
        <w:rPr>
          <w:rFonts w:ascii="宋体" w:hAnsi="宋体" w:eastAsia="宋体" w:cs="宋体"/>
          <w:spacing w:val="-1"/>
          <w:sz w:val="24"/>
          <w:szCs w:val="24"/>
        </w:rPr>
        <w:t>附表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适用于跨地区经营汇总纳税企业的总机构填报。纳税人应根据《财政部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国家</w:t>
      </w:r>
      <w:r>
        <w:rPr>
          <w:rFonts w:ascii="宋体" w:hAnsi="宋体" w:eastAsia="宋体" w:cs="宋体"/>
          <w:spacing w:val="-4"/>
          <w:sz w:val="24"/>
          <w:szCs w:val="24"/>
        </w:rPr>
        <w:t>税务总局中国人民银行关于印发〈跨省市总分机构企业所得税分配及预</w:t>
      </w:r>
      <w:r>
        <w:rPr>
          <w:rFonts w:ascii="宋体" w:hAnsi="宋体" w:eastAsia="宋体" w:cs="宋体"/>
          <w:spacing w:val="-5"/>
          <w:sz w:val="24"/>
          <w:szCs w:val="24"/>
        </w:rPr>
        <w:t>算管理办法〉</w:t>
      </w:r>
      <w:r>
        <w:rPr>
          <w:rFonts w:ascii="宋体" w:hAnsi="宋体" w:eastAsia="宋体" w:cs="宋体"/>
          <w:spacing w:val="-16"/>
          <w:sz w:val="24"/>
          <w:szCs w:val="24"/>
        </w:rPr>
        <w:t>的通知》（财预〔2012〕40号）、《跨地区经营汇总纳税企业所得税征收管理办法》（国</w:t>
      </w:r>
      <w:r>
        <w:rPr>
          <w:rFonts w:ascii="宋体" w:hAnsi="宋体" w:eastAsia="宋体" w:cs="宋体"/>
          <w:spacing w:val="-3"/>
          <w:sz w:val="24"/>
          <w:szCs w:val="24"/>
        </w:rPr>
        <w:t>家税务总局公告2012年第57号发布，2018年第31号修改）</w:t>
      </w:r>
      <w:r>
        <w:rPr>
          <w:rFonts w:ascii="宋体" w:hAnsi="宋体" w:eastAsia="宋体" w:cs="宋体"/>
          <w:spacing w:val="-4"/>
          <w:sz w:val="24"/>
          <w:szCs w:val="24"/>
        </w:rPr>
        <w:t>规定，计算总分机构每</w:t>
      </w:r>
      <w:r>
        <w:rPr>
          <w:rFonts w:ascii="宋体" w:hAnsi="宋体" w:eastAsia="宋体" w:cs="宋体"/>
          <w:spacing w:val="-3"/>
          <w:sz w:val="24"/>
          <w:szCs w:val="24"/>
        </w:rPr>
        <w:t>一预缴期应纳的企业所得税额、总机构和分支机构应分摊的企业所得税额。对于仅在同一省（自治区、直辖市和计划单列市）内设立不具有法人资格分支机构的企业，本省（自治区、直辖市和计划单列市）参照上述文件规定制定企业所得税分配管理办法</w:t>
      </w:r>
      <w:r>
        <w:rPr>
          <w:rFonts w:ascii="宋体" w:hAnsi="宋体" w:eastAsia="宋体" w:cs="宋体"/>
          <w:spacing w:val="-1"/>
          <w:sz w:val="24"/>
          <w:szCs w:val="24"/>
        </w:rPr>
        <w:t>的，按照其规定填报本表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 w14:paraId="4F3F2EF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87"/>
        <w:textAlignment w:val="baseline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二、具体项目填报说明</w:t>
      </w:r>
    </w:p>
    <w:p w14:paraId="469A3E1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98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1.“税款所属时期”：填报税款所属期月（季）度第一日</w:t>
      </w:r>
      <w:r>
        <w:rPr>
          <w:rFonts w:ascii="宋体" w:hAnsi="宋体" w:eastAsia="宋体" w:cs="宋体"/>
          <w:spacing w:val="-5"/>
          <w:sz w:val="24"/>
          <w:szCs w:val="24"/>
        </w:rPr>
        <w:t>至税款所属期月（季）</w:t>
      </w:r>
    </w:p>
    <w:p w14:paraId="5204269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" w:hanging="2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度最后一日。如：按季度预缴纳税申报的纳税人，第二季度申报时“税款所属期间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pacing w:val="-15"/>
          <w:sz w:val="24"/>
          <w:szCs w:val="24"/>
        </w:rPr>
        <w:t>填报“××年4月1日至××年6月30日”。</w:t>
      </w:r>
    </w:p>
    <w:p w14:paraId="20EB4654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206" w:firstLine="483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2.“总机构名称”“分支机构名称”：填报营业执照、税务登记证等证件</w:t>
      </w:r>
      <w:r>
        <w:rPr>
          <w:rFonts w:ascii="宋体" w:hAnsi="宋体" w:eastAsia="宋体" w:cs="宋体"/>
          <w:spacing w:val="-12"/>
          <w:sz w:val="24"/>
          <w:szCs w:val="24"/>
        </w:rPr>
        <w:t>载明的纳</w:t>
      </w:r>
      <w:r>
        <w:rPr>
          <w:rFonts w:ascii="宋体" w:hAnsi="宋体" w:eastAsia="宋体" w:cs="宋体"/>
          <w:spacing w:val="-2"/>
          <w:sz w:val="24"/>
          <w:szCs w:val="24"/>
        </w:rPr>
        <w:t>税人名称。</w:t>
      </w:r>
    </w:p>
    <w:p w14:paraId="02A7E9C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206" w:firstLine="485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3.“总机构纳税人识别号（统一社会信用代码）”</w:t>
      </w:r>
      <w:r>
        <w:rPr>
          <w:rFonts w:ascii="宋体" w:hAnsi="宋体" w:eastAsia="宋体" w:cs="宋体"/>
          <w:spacing w:val="-10"/>
          <w:sz w:val="24"/>
          <w:szCs w:val="24"/>
        </w:rPr>
        <w:t>“分支机构纳税人识别号（统一</w:t>
      </w:r>
      <w:r>
        <w:rPr>
          <w:rFonts w:ascii="宋体" w:hAnsi="宋体" w:eastAsia="宋体" w:cs="宋体"/>
          <w:spacing w:val="-9"/>
          <w:sz w:val="24"/>
          <w:szCs w:val="24"/>
        </w:rPr>
        <w:t>社会信用代码）”：填报税务机关核发的纳税人识别号或有关部门核发的统一社会信用</w:t>
      </w:r>
      <w:r>
        <w:rPr>
          <w:rFonts w:ascii="宋体" w:hAnsi="宋体" w:eastAsia="宋体" w:cs="宋体"/>
          <w:spacing w:val="-3"/>
          <w:sz w:val="24"/>
          <w:szCs w:val="24"/>
        </w:rPr>
        <w:t>代码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</w:p>
    <w:p w14:paraId="171500D8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208" w:firstLine="48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4.“应纳所得税额”：填报本税款所属期企业汇总计算的本期应补（退）的所得</w:t>
      </w:r>
      <w:r>
        <w:rPr>
          <w:rFonts w:ascii="宋体" w:hAnsi="宋体" w:eastAsia="宋体" w:cs="宋体"/>
          <w:spacing w:val="-3"/>
          <w:sz w:val="24"/>
          <w:szCs w:val="24"/>
        </w:rPr>
        <w:t>税额。</w:t>
      </w:r>
    </w:p>
    <w:p w14:paraId="7AE4F05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07" w:firstLine="484"/>
        <w:jc w:val="both"/>
        <w:textAlignment w:val="baseline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5.“总机构分摊所得税额”：对于跨省（自治区、直辖市和计划单列市）经营汇</w:t>
      </w:r>
      <w:r>
        <w:rPr>
          <w:rFonts w:ascii="宋体" w:hAnsi="宋体" w:eastAsia="宋体" w:cs="宋体"/>
          <w:sz w:val="24"/>
          <w:szCs w:val="24"/>
        </w:rPr>
        <w:t>总纳税企业，填报本期《中华人民共和国企业所得税月（季</w:t>
      </w:r>
      <w:r>
        <w:rPr>
          <w:rFonts w:ascii="宋体" w:hAnsi="宋体" w:eastAsia="宋体" w:cs="宋体"/>
          <w:spacing w:val="-1"/>
          <w:sz w:val="24"/>
          <w:szCs w:val="24"/>
        </w:rPr>
        <w:t>）度预缴纳税申报表（A</w:t>
      </w:r>
      <w:r>
        <w:rPr>
          <w:rFonts w:ascii="宋体" w:hAnsi="宋体" w:eastAsia="宋体" w:cs="宋体"/>
          <w:spacing w:val="-9"/>
          <w:sz w:val="24"/>
          <w:szCs w:val="24"/>
        </w:rPr>
        <w:t>类）》（A200000）第16行×25%的金额；对于同一省（自治区、直辖市</w:t>
      </w:r>
      <w:r>
        <w:rPr>
          <w:rFonts w:ascii="宋体" w:hAnsi="宋体" w:eastAsia="宋体" w:cs="宋体"/>
          <w:spacing w:val="-10"/>
          <w:sz w:val="24"/>
          <w:szCs w:val="24"/>
        </w:rPr>
        <w:t>、计划单列市）</w:t>
      </w:r>
      <w:r>
        <w:rPr>
          <w:rFonts w:ascii="宋体" w:hAnsi="宋体" w:eastAsia="宋体" w:cs="宋体"/>
          <w:spacing w:val="-3"/>
          <w:sz w:val="24"/>
          <w:szCs w:val="24"/>
        </w:rPr>
        <w:t>内跨地区经营汇总纳税企业，填报本期《中华人民共和国企业所得税月（季）度预缴</w:t>
      </w:r>
      <w:r>
        <w:rPr>
          <w:rFonts w:ascii="宋体" w:hAnsi="宋体" w:eastAsia="宋体" w:cs="宋体"/>
          <w:spacing w:val="-8"/>
          <w:sz w:val="24"/>
          <w:szCs w:val="24"/>
        </w:rPr>
        <w:t>纳税申报表（A类）》（A200000）第16行×各省（自治区、直辖市和计划单列市）确</w:t>
      </w:r>
      <w:r>
        <w:rPr>
          <w:rFonts w:ascii="宋体" w:hAnsi="宋体" w:eastAsia="宋体" w:cs="宋体"/>
          <w:spacing w:val="-2"/>
          <w:sz w:val="24"/>
          <w:szCs w:val="24"/>
        </w:rPr>
        <w:t>定的总机构分摊比例的金额。</w:t>
      </w:r>
    </w:p>
    <w:p w14:paraId="6D2E0DD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07" w:firstLine="484"/>
        <w:jc w:val="both"/>
        <w:textAlignment w:val="baseline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6.“总机构财政集中分配所得税额”：对</w:t>
      </w:r>
      <w:r>
        <w:rPr>
          <w:rFonts w:ascii="宋体" w:hAnsi="宋体" w:eastAsia="宋体" w:cs="宋体"/>
          <w:spacing w:val="-8"/>
          <w:sz w:val="24"/>
          <w:szCs w:val="24"/>
        </w:rPr>
        <w:t>于跨省（自治区、直辖市和计划单列市）</w:t>
      </w:r>
      <w:r>
        <w:rPr>
          <w:rFonts w:ascii="宋体" w:hAnsi="宋体" w:eastAsia="宋体" w:cs="宋体"/>
          <w:spacing w:val="-3"/>
          <w:sz w:val="24"/>
          <w:szCs w:val="24"/>
        </w:rPr>
        <w:t>经营汇总纳税企业，填报本期《中华人民共和国企业所得税月（季）度预缴纳税申报</w:t>
      </w:r>
      <w:r>
        <w:rPr>
          <w:rFonts w:ascii="宋体" w:hAnsi="宋体" w:eastAsia="宋体" w:cs="宋体"/>
          <w:spacing w:val="-5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-5"/>
          <w:sz w:val="24"/>
          <w:szCs w:val="24"/>
        </w:rPr>
        <w:t>A类）》（A200000）第16行×25%的金额；对于同一省（自治区、</w:t>
      </w:r>
      <w:r>
        <w:rPr>
          <w:rFonts w:ascii="宋体" w:hAnsi="宋体" w:eastAsia="宋体" w:cs="宋体"/>
          <w:spacing w:val="-6"/>
          <w:sz w:val="24"/>
          <w:szCs w:val="24"/>
        </w:rPr>
        <w:t>直辖市、计划单列市）内跨地区经营汇总纳税企业，填报本期《中华人民</w:t>
      </w:r>
      <w:r>
        <w:rPr>
          <w:rFonts w:ascii="宋体" w:hAnsi="宋体" w:eastAsia="宋体" w:cs="宋体"/>
          <w:spacing w:val="-7"/>
          <w:sz w:val="24"/>
          <w:szCs w:val="24"/>
        </w:rPr>
        <w:t>共和国企业所得税月（季）</w:t>
      </w:r>
      <w:r>
        <w:rPr>
          <w:rFonts w:ascii="宋体" w:hAnsi="宋体" w:eastAsia="宋体" w:cs="宋体"/>
          <w:spacing w:val="-8"/>
          <w:sz w:val="24"/>
          <w:szCs w:val="24"/>
        </w:rPr>
        <w:t>度预缴纳税申报表（A类）》（A200000）第16行×各省（自治区、直辖市和计划单列</w:t>
      </w:r>
      <w:r>
        <w:rPr>
          <w:rFonts w:ascii="宋体" w:hAnsi="宋体" w:eastAsia="宋体" w:cs="宋体"/>
          <w:spacing w:val="-1"/>
          <w:sz w:val="24"/>
          <w:szCs w:val="24"/>
        </w:rPr>
        <w:t>市）确定的财政集中分配比例的金额。</w:t>
      </w:r>
    </w:p>
    <w:p w14:paraId="45C7F45D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07" w:firstLine="484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7.“分支机构分摊所得税额”：对于跨省（自治区、直辖市和计划单列市）经营</w:t>
      </w:r>
      <w:r>
        <w:rPr>
          <w:rFonts w:ascii="宋体" w:hAnsi="宋体" w:eastAsia="宋体" w:cs="宋体"/>
          <w:spacing w:val="-6"/>
          <w:sz w:val="24"/>
          <w:szCs w:val="24"/>
        </w:rPr>
        <w:t>汇总纳税企业，填报本期《中华人民共和国企业所得税月（季）度预缴纳税申报表（A</w:t>
      </w:r>
      <w:r>
        <w:rPr>
          <w:rFonts w:ascii="宋体" w:hAnsi="宋体" w:eastAsia="宋体" w:cs="宋体"/>
          <w:spacing w:val="-9"/>
          <w:sz w:val="24"/>
          <w:szCs w:val="24"/>
        </w:rPr>
        <w:t>类）》（A200000）第16行×50%的金额；对于同一省（自治区、直辖市</w:t>
      </w:r>
      <w:r>
        <w:rPr>
          <w:rFonts w:ascii="宋体" w:hAnsi="宋体" w:eastAsia="宋体" w:cs="宋体"/>
          <w:spacing w:val="-10"/>
          <w:sz w:val="24"/>
          <w:szCs w:val="24"/>
        </w:rPr>
        <w:t>、计划单列市）</w:t>
      </w:r>
      <w:r>
        <w:rPr>
          <w:rFonts w:ascii="宋体" w:hAnsi="宋体" w:eastAsia="宋体" w:cs="宋体"/>
          <w:spacing w:val="-3"/>
          <w:sz w:val="24"/>
          <w:szCs w:val="24"/>
        </w:rPr>
        <w:t>内跨地区经营汇总纳税企业，填报本期《中华人民共和国企业所得税月（季）度预缴</w:t>
      </w:r>
      <w:r>
        <w:rPr>
          <w:rFonts w:ascii="宋体" w:hAnsi="宋体" w:eastAsia="宋体" w:cs="宋体"/>
          <w:spacing w:val="-8"/>
          <w:sz w:val="24"/>
          <w:szCs w:val="24"/>
        </w:rPr>
        <w:t>纳税申报表（A类）》（A200000）第16行×各省（自治区、直辖市和计划单列市）确</w:t>
      </w:r>
      <w:r>
        <w:rPr>
          <w:rFonts w:ascii="宋体" w:hAnsi="宋体" w:eastAsia="宋体" w:cs="宋体"/>
          <w:spacing w:val="-1"/>
          <w:sz w:val="24"/>
          <w:szCs w:val="24"/>
        </w:rPr>
        <w:t>定的全部分支机构分摊比例的金额。</w:t>
      </w:r>
    </w:p>
    <w:p w14:paraId="0874412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04" w:firstLine="481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8.“营业收入”：填报上一年度各分支机构销售商品、提供劳务、让渡资产使用</w:t>
      </w:r>
      <w:r>
        <w:rPr>
          <w:rFonts w:ascii="宋体" w:hAnsi="宋体" w:eastAsia="宋体" w:cs="宋体"/>
          <w:spacing w:val="-1"/>
          <w:sz w:val="24"/>
          <w:szCs w:val="24"/>
        </w:rPr>
        <w:t>权等日常经营活动实现的全部收入的合计额。</w:t>
      </w:r>
    </w:p>
    <w:p w14:paraId="3C4C197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5" w:right="104" w:firstLine="47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9.“职工薪酬”：填报上一年度各分支机构为获得职工提供的服务而给予各种形</w:t>
      </w:r>
      <w:r>
        <w:rPr>
          <w:rFonts w:ascii="宋体" w:hAnsi="宋体" w:eastAsia="宋体" w:cs="宋体"/>
          <w:spacing w:val="-1"/>
          <w:sz w:val="24"/>
          <w:szCs w:val="24"/>
        </w:rPr>
        <w:t>式的报酬以及其他相关支出的合计额。</w:t>
      </w:r>
    </w:p>
    <w:p w14:paraId="5AB79AB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3" w:right="101" w:firstLine="494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10.“资产总额”：填报上一年度各分支机构在经营</w:t>
      </w:r>
      <w:r>
        <w:rPr>
          <w:rFonts w:ascii="宋体" w:hAnsi="宋体" w:eastAsia="宋体" w:cs="宋体"/>
          <w:spacing w:val="-8"/>
          <w:sz w:val="24"/>
          <w:szCs w:val="24"/>
        </w:rPr>
        <w:t>活动中实际使用的应归属于该</w:t>
      </w:r>
      <w:r>
        <w:rPr>
          <w:rFonts w:ascii="宋体" w:hAnsi="宋体" w:eastAsia="宋体" w:cs="宋体"/>
          <w:spacing w:val="-2"/>
          <w:sz w:val="24"/>
          <w:szCs w:val="24"/>
        </w:rPr>
        <w:t>分支机构的资产合计额。</w:t>
      </w:r>
    </w:p>
    <w:p w14:paraId="00F3816C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7" w:right="101" w:firstLine="471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11.“分配比例”：填报经总机构所在地主管税务机</w:t>
      </w:r>
      <w:r>
        <w:rPr>
          <w:rFonts w:ascii="宋体" w:hAnsi="宋体" w:eastAsia="宋体" w:cs="宋体"/>
          <w:spacing w:val="-8"/>
          <w:sz w:val="24"/>
          <w:szCs w:val="24"/>
        </w:rPr>
        <w:t>关审核确认的各分支机构分配</w:t>
      </w:r>
      <w:r>
        <w:rPr>
          <w:rFonts w:ascii="宋体" w:hAnsi="宋体" w:eastAsia="宋体" w:cs="宋体"/>
          <w:spacing w:val="-3"/>
          <w:sz w:val="24"/>
          <w:szCs w:val="24"/>
        </w:rPr>
        <w:t>比例，分配比例应保留小数点后十位。</w:t>
      </w:r>
    </w:p>
    <w:p w14:paraId="5D669165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27" w:right="101" w:firstLine="471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12.“分配所得税额”：填报分支机构按照分支机构</w:t>
      </w:r>
      <w:r>
        <w:rPr>
          <w:rFonts w:ascii="宋体" w:hAnsi="宋体" w:eastAsia="宋体" w:cs="宋体"/>
          <w:spacing w:val="-8"/>
          <w:sz w:val="24"/>
          <w:szCs w:val="24"/>
        </w:rPr>
        <w:t>分摊所得税额乘以相应的分配</w:t>
      </w:r>
      <w:r>
        <w:rPr>
          <w:rFonts w:ascii="宋体" w:hAnsi="宋体" w:eastAsia="宋体" w:cs="宋体"/>
          <w:spacing w:val="-6"/>
          <w:sz w:val="24"/>
          <w:szCs w:val="24"/>
        </w:rPr>
        <w:t>比例的金额。</w:t>
      </w:r>
    </w:p>
    <w:p w14:paraId="3D371A7B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right="101" w:firstLine="497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13.“合计”：填报上一年度各分支机构的营业收入</w:t>
      </w:r>
      <w:r>
        <w:rPr>
          <w:rFonts w:ascii="宋体" w:hAnsi="宋体" w:eastAsia="宋体" w:cs="宋体"/>
          <w:spacing w:val="-8"/>
          <w:sz w:val="24"/>
          <w:szCs w:val="24"/>
        </w:rPr>
        <w:t>总额、职工薪酬总额和资产总</w:t>
      </w:r>
      <w:r>
        <w:rPr>
          <w:rFonts w:ascii="宋体" w:hAnsi="宋体" w:eastAsia="宋体" w:cs="宋体"/>
          <w:sz w:val="24"/>
          <w:szCs w:val="24"/>
        </w:rPr>
        <w:t>额三项因素的合计金额及本年各分支机构分配比例</w:t>
      </w:r>
      <w:r>
        <w:rPr>
          <w:rFonts w:ascii="宋体" w:hAnsi="宋体" w:eastAsia="宋体" w:cs="宋体"/>
          <w:spacing w:val="-1"/>
          <w:sz w:val="24"/>
          <w:szCs w:val="24"/>
        </w:rPr>
        <w:t>和分配税额的合计金额。</w:t>
      </w:r>
    </w:p>
    <w:p w14:paraId="4AE90BE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89"/>
        <w:textAlignment w:val="baseline"/>
        <w:outlineLvl w:val="1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3"/>
          <w:sz w:val="24"/>
          <w:szCs w:val="24"/>
        </w:rPr>
        <w:t>三、表间关系</w:t>
      </w:r>
    </w:p>
    <w:p w14:paraId="154E4F9E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98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1.“应纳所得税额”栏次＝表A200000第16行。</w:t>
      </w:r>
    </w:p>
    <w:p w14:paraId="7F419BB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83"/>
        <w:textAlignment w:val="baseline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2.“总机构分摊所得税额”栏次＝表A2</w:t>
      </w:r>
      <w:r>
        <w:rPr>
          <w:rFonts w:ascii="宋体" w:hAnsi="宋体" w:eastAsia="宋体" w:cs="宋体"/>
          <w:spacing w:val="-4"/>
          <w:sz w:val="24"/>
          <w:szCs w:val="24"/>
        </w:rPr>
        <w:t>00000第18行。</w:t>
      </w:r>
    </w:p>
    <w:p w14:paraId="2C21171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left="478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3.“总机构财政集中分配所得税额”栏次＝表A200000第19行。</w:t>
      </w:r>
    </w:p>
    <w:p w14:paraId="295DED2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ind w:firstLine="472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4.“分支机构情况”中对应总机构独立生产经营部门行次的“分配所得税额”栏</w:t>
      </w:r>
      <w:r>
        <w:rPr>
          <w:rFonts w:ascii="宋体" w:hAnsi="宋体" w:eastAsia="宋体" w:cs="宋体"/>
          <w:spacing w:val="-4"/>
          <w:sz w:val="24"/>
          <w:szCs w:val="24"/>
        </w:rPr>
        <w:t>次＝表A200000第20行。</w:t>
      </w:r>
    </w:p>
    <w:p w14:paraId="4C68B9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atLeast"/>
        <w:textAlignment w:val="baseline"/>
      </w:pPr>
    </w:p>
    <w:sectPr>
      <w:footerReference r:id="rId6" w:type="default"/>
      <w:pgSz w:w="11905" w:h="16839"/>
      <w:pgMar w:top="1426" w:right="1700" w:bottom="910" w:left="1431" w:header="0" w:footer="6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25D84">
    <w:pPr>
      <w:spacing w:line="166" w:lineRule="auto"/>
      <w:ind w:left="7184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A7684">
    <w:pPr>
      <w:spacing w:line="166" w:lineRule="auto"/>
      <w:ind w:left="428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FF549C7"/>
    <w:rsid w:val="1FF549C7"/>
    <w:rsid w:val="4CFC467E"/>
    <w:rsid w:val="73E4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2024-08-07T09:57:00Z</dcterms:created>
  <dc:creator>www.shuiwu114.com</dc:creator>
  <cp:lastModifiedBy>www.shuiwu114.com</cp:lastModifiedBy>
  <dcterms:modified xsi:type="dcterms:W3CDTF">2024-08-07T10:04:04Z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7D47DE35BC4F414A8F563F114FE9171F_11</vt:lpwstr>
  </property>
</Properties>
</file>