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93CB9">
      <w:pPr>
        <w:pStyle w:val="7"/>
        <w:rPr>
          <w:rFonts w:hint="eastAsia"/>
        </w:rPr>
      </w:pPr>
      <w:bookmarkStart w:id="0" w:name="_Toc24965003"/>
      <w:r>
        <w:rPr>
          <w:rFonts w:hint="eastAsia"/>
        </w:rPr>
        <w:t>A000000</w:t>
      </w:r>
      <w:r>
        <w:rPr>
          <w:rFonts w:hint="eastAsia"/>
        </w:rPr>
        <w:tab/>
      </w:r>
      <w:r>
        <w:rPr>
          <w:rFonts w:hint="eastAsia"/>
        </w:rPr>
        <w:t>企业所得税年度纳税申报基础信息表</w:t>
      </w:r>
      <w:bookmarkEnd w:id="0"/>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9"/>
        <w:gridCol w:w="945"/>
        <w:gridCol w:w="1038"/>
        <w:gridCol w:w="155"/>
        <w:gridCol w:w="697"/>
        <w:gridCol w:w="438"/>
        <w:gridCol w:w="755"/>
        <w:gridCol w:w="1129"/>
        <w:gridCol w:w="1181"/>
        <w:gridCol w:w="630"/>
        <w:gridCol w:w="1628"/>
        <w:gridCol w:w="1050"/>
      </w:tblGrid>
      <w:tr w14:paraId="67DFE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0795" w:type="dxa"/>
            <w:gridSpan w:val="12"/>
            <w:tcBorders>
              <w:top w:val="single" w:color="auto" w:sz="12" w:space="0"/>
              <w:left w:val="single" w:color="auto" w:sz="12" w:space="0"/>
              <w:bottom w:val="single" w:color="auto" w:sz="6" w:space="0"/>
              <w:right w:val="single" w:color="auto" w:sz="12" w:space="0"/>
            </w:tcBorders>
            <w:noWrap w:val="0"/>
            <w:vAlign w:val="center"/>
          </w:tcPr>
          <w:p w14:paraId="1052742C">
            <w:pPr>
              <w:widowControl/>
              <w:spacing w:line="360" w:lineRule="exact"/>
              <w:jc w:val="center"/>
              <w:rPr>
                <w:rFonts w:ascii="宋体"/>
                <w:b/>
                <w:bCs/>
                <w:kern w:val="0"/>
                <w:sz w:val="20"/>
                <w:szCs w:val="20"/>
              </w:rPr>
            </w:pPr>
            <w:r>
              <w:rPr>
                <w:rFonts w:hint="eastAsia" w:ascii="宋体" w:hAnsi="宋体" w:cs="宋体"/>
                <w:b/>
                <w:bCs/>
                <w:kern w:val="0"/>
                <w:sz w:val="20"/>
                <w:szCs w:val="20"/>
              </w:rPr>
              <w:t>基本经营情况（必填项目）</w:t>
            </w:r>
          </w:p>
        </w:tc>
      </w:tr>
      <w:tr w14:paraId="44407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4F2958A4">
            <w:pPr>
              <w:widowControl/>
              <w:spacing w:line="360" w:lineRule="exact"/>
              <w:jc w:val="left"/>
              <w:rPr>
                <w:rFonts w:ascii="宋体" w:cs="宋体"/>
                <w:kern w:val="0"/>
                <w:sz w:val="20"/>
                <w:szCs w:val="20"/>
              </w:rPr>
            </w:pPr>
            <w:r>
              <w:rPr>
                <w:rFonts w:hint="eastAsia" w:ascii="宋体" w:cs="宋体"/>
                <w:kern w:val="0"/>
                <w:sz w:val="20"/>
                <w:szCs w:val="20"/>
              </w:rPr>
              <w:t>1</w:t>
            </w:r>
            <w:r>
              <w:rPr>
                <w:rFonts w:hint="eastAsia" w:ascii="宋体" w:hAnsi="宋体" w:cs="宋体"/>
                <w:kern w:val="0"/>
                <w:sz w:val="20"/>
                <w:szCs w:val="20"/>
              </w:rPr>
              <w:t>01纳税申报企业类型（填写代码）</w:t>
            </w:r>
          </w:p>
        </w:tc>
        <w:tc>
          <w:tcPr>
            <w:tcW w:w="1193" w:type="dxa"/>
            <w:gridSpan w:val="2"/>
            <w:tcBorders>
              <w:top w:val="single" w:color="auto" w:sz="6" w:space="0"/>
              <w:left w:val="single" w:color="auto" w:sz="6" w:space="0"/>
              <w:bottom w:val="single" w:color="auto" w:sz="6" w:space="0"/>
              <w:right w:val="single" w:color="auto" w:sz="6" w:space="0"/>
            </w:tcBorders>
            <w:noWrap w:val="0"/>
            <w:vAlign w:val="center"/>
          </w:tcPr>
          <w:p w14:paraId="36D702DB">
            <w:pPr>
              <w:widowControl/>
              <w:spacing w:line="360" w:lineRule="exact"/>
              <w:rPr>
                <w:rFonts w:ascii="宋体"/>
                <w:kern w:val="0"/>
                <w:sz w:val="20"/>
                <w:szCs w:val="20"/>
              </w:rPr>
            </w:pPr>
          </w:p>
        </w:tc>
        <w:tc>
          <w:tcPr>
            <w:tcW w:w="4568" w:type="dxa"/>
            <w:gridSpan w:val="4"/>
            <w:tcBorders>
              <w:top w:val="single" w:color="auto" w:sz="6" w:space="0"/>
              <w:left w:val="single" w:color="auto" w:sz="6" w:space="0"/>
              <w:bottom w:val="single" w:color="auto" w:sz="6" w:space="0"/>
              <w:right w:val="single" w:color="auto" w:sz="6" w:space="0"/>
            </w:tcBorders>
            <w:noWrap w:val="0"/>
            <w:vAlign w:val="center"/>
          </w:tcPr>
          <w:p w14:paraId="239C0B52">
            <w:pPr>
              <w:widowControl/>
              <w:spacing w:line="360" w:lineRule="exact"/>
              <w:jc w:val="left"/>
              <w:rPr>
                <w:rFonts w:ascii="宋体" w:cs="宋体"/>
                <w:kern w:val="0"/>
                <w:sz w:val="20"/>
                <w:szCs w:val="20"/>
              </w:rPr>
            </w:pPr>
            <w:r>
              <w:rPr>
                <w:rFonts w:hint="eastAsia" w:ascii="宋体" w:cs="宋体"/>
                <w:kern w:val="0"/>
                <w:sz w:val="20"/>
                <w:szCs w:val="20"/>
              </w:rPr>
              <w:t>102分支机构就地纳税比例（%）</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03433B5D">
            <w:pPr>
              <w:widowControl/>
              <w:spacing w:line="360" w:lineRule="exact"/>
              <w:rPr>
                <w:rFonts w:ascii="宋体" w:hAnsi="宋体" w:cs="宋体"/>
                <w:kern w:val="0"/>
                <w:sz w:val="20"/>
                <w:szCs w:val="20"/>
              </w:rPr>
            </w:pPr>
          </w:p>
        </w:tc>
      </w:tr>
      <w:tr w14:paraId="15BC5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53CF8BFF">
            <w:pPr>
              <w:widowControl/>
              <w:spacing w:line="360" w:lineRule="exact"/>
              <w:jc w:val="left"/>
              <w:rPr>
                <w:rFonts w:ascii="宋体" w:hAnsi="宋体" w:cs="宋体"/>
                <w:kern w:val="0"/>
                <w:sz w:val="20"/>
                <w:szCs w:val="20"/>
              </w:rPr>
            </w:pPr>
            <w:r>
              <w:rPr>
                <w:rFonts w:hint="eastAsia" w:ascii="宋体" w:hAnsi="宋体" w:cs="宋体"/>
                <w:kern w:val="0"/>
                <w:sz w:val="20"/>
                <w:szCs w:val="20"/>
              </w:rPr>
              <w:t>103资产总额（填写平均值</w:t>
            </w:r>
            <w:r>
              <w:rPr>
                <w:rFonts w:hint="eastAsia" w:ascii="宋体" w:cs="宋体"/>
                <w:kern w:val="0"/>
                <w:sz w:val="20"/>
                <w:szCs w:val="20"/>
              </w:rPr>
              <w:t>，单位：</w:t>
            </w:r>
            <w:r>
              <w:rPr>
                <w:rFonts w:hint="eastAsia" w:ascii="宋体" w:hAnsi="宋体" w:cs="宋体"/>
                <w:kern w:val="0"/>
                <w:sz w:val="20"/>
                <w:szCs w:val="20"/>
              </w:rPr>
              <w:t>万元）</w:t>
            </w:r>
          </w:p>
        </w:tc>
        <w:tc>
          <w:tcPr>
            <w:tcW w:w="1193" w:type="dxa"/>
            <w:gridSpan w:val="2"/>
            <w:tcBorders>
              <w:top w:val="single" w:color="auto" w:sz="6" w:space="0"/>
              <w:left w:val="single" w:color="auto" w:sz="6" w:space="0"/>
              <w:bottom w:val="single" w:color="auto" w:sz="6" w:space="0"/>
              <w:right w:val="single" w:color="auto" w:sz="6" w:space="0"/>
            </w:tcBorders>
            <w:noWrap w:val="0"/>
            <w:vAlign w:val="center"/>
          </w:tcPr>
          <w:p w14:paraId="20CBFC2B">
            <w:pPr>
              <w:widowControl/>
              <w:spacing w:line="360" w:lineRule="exact"/>
              <w:rPr>
                <w:rFonts w:ascii="宋体"/>
                <w:kern w:val="0"/>
                <w:sz w:val="20"/>
                <w:szCs w:val="20"/>
              </w:rPr>
            </w:pPr>
          </w:p>
        </w:tc>
        <w:tc>
          <w:tcPr>
            <w:tcW w:w="4568" w:type="dxa"/>
            <w:gridSpan w:val="4"/>
            <w:tcBorders>
              <w:top w:val="single" w:color="auto" w:sz="6" w:space="0"/>
              <w:left w:val="single" w:color="auto" w:sz="6" w:space="0"/>
              <w:bottom w:val="single" w:color="auto" w:sz="6" w:space="0"/>
              <w:right w:val="single" w:color="auto" w:sz="6" w:space="0"/>
            </w:tcBorders>
            <w:noWrap w:val="0"/>
            <w:vAlign w:val="center"/>
          </w:tcPr>
          <w:p w14:paraId="680F4ABA">
            <w:pPr>
              <w:widowControl/>
              <w:spacing w:line="360" w:lineRule="exact"/>
              <w:jc w:val="left"/>
              <w:rPr>
                <w:rFonts w:ascii="宋体" w:hAnsi="宋体" w:cs="宋体"/>
                <w:kern w:val="0"/>
                <w:sz w:val="20"/>
                <w:szCs w:val="20"/>
              </w:rPr>
            </w:pPr>
            <w:r>
              <w:rPr>
                <w:rFonts w:hint="eastAsia" w:ascii="宋体" w:hAnsi="宋体" w:cs="宋体"/>
                <w:kern w:val="0"/>
                <w:sz w:val="20"/>
                <w:szCs w:val="20"/>
              </w:rPr>
              <w:t>104从业人数（填写平均值，单位：人）</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23DC48C0">
            <w:pPr>
              <w:widowControl/>
              <w:spacing w:line="360" w:lineRule="exact"/>
              <w:rPr>
                <w:rFonts w:ascii="宋体" w:hAnsi="宋体" w:cs="宋体"/>
                <w:kern w:val="0"/>
                <w:sz w:val="20"/>
                <w:szCs w:val="20"/>
              </w:rPr>
            </w:pPr>
          </w:p>
        </w:tc>
      </w:tr>
      <w:tr w14:paraId="1935E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5DA7B8E6">
            <w:pPr>
              <w:widowControl/>
              <w:spacing w:line="360" w:lineRule="exact"/>
              <w:rPr>
                <w:rFonts w:ascii="宋体"/>
                <w:kern w:val="0"/>
                <w:sz w:val="20"/>
                <w:szCs w:val="20"/>
              </w:rPr>
            </w:pPr>
            <w:r>
              <w:rPr>
                <w:rFonts w:hint="eastAsia" w:ascii="宋体" w:cs="宋体"/>
                <w:kern w:val="0"/>
                <w:sz w:val="20"/>
                <w:szCs w:val="20"/>
              </w:rPr>
              <w:t>1</w:t>
            </w:r>
            <w:r>
              <w:rPr>
                <w:rFonts w:hint="eastAsia" w:ascii="宋体" w:hAnsi="宋体" w:cs="宋体"/>
                <w:kern w:val="0"/>
                <w:sz w:val="20"/>
                <w:szCs w:val="20"/>
              </w:rPr>
              <w:t>05所属国民经济行业（填写代码）</w:t>
            </w:r>
          </w:p>
        </w:tc>
        <w:tc>
          <w:tcPr>
            <w:tcW w:w="1193" w:type="dxa"/>
            <w:gridSpan w:val="2"/>
            <w:tcBorders>
              <w:top w:val="single" w:color="auto" w:sz="6" w:space="0"/>
              <w:left w:val="single" w:color="auto" w:sz="6" w:space="0"/>
              <w:bottom w:val="single" w:color="auto" w:sz="6" w:space="0"/>
              <w:right w:val="single" w:color="auto" w:sz="6" w:space="0"/>
            </w:tcBorders>
            <w:noWrap w:val="0"/>
            <w:vAlign w:val="center"/>
          </w:tcPr>
          <w:p w14:paraId="75EA2A73">
            <w:pPr>
              <w:widowControl/>
              <w:spacing w:line="360" w:lineRule="exact"/>
              <w:rPr>
                <w:rFonts w:ascii="宋体"/>
                <w:kern w:val="0"/>
                <w:sz w:val="20"/>
                <w:szCs w:val="20"/>
              </w:rPr>
            </w:pPr>
          </w:p>
        </w:tc>
        <w:tc>
          <w:tcPr>
            <w:tcW w:w="4568" w:type="dxa"/>
            <w:gridSpan w:val="4"/>
            <w:tcBorders>
              <w:top w:val="single" w:color="auto" w:sz="6" w:space="0"/>
              <w:left w:val="single" w:color="auto" w:sz="6" w:space="0"/>
              <w:bottom w:val="single" w:color="auto" w:sz="6" w:space="0"/>
              <w:right w:val="single" w:color="auto" w:sz="6" w:space="0"/>
            </w:tcBorders>
            <w:noWrap w:val="0"/>
            <w:vAlign w:val="center"/>
          </w:tcPr>
          <w:p w14:paraId="1F3747D3">
            <w:pPr>
              <w:widowControl/>
              <w:spacing w:line="360" w:lineRule="exact"/>
              <w:jc w:val="left"/>
              <w:rPr>
                <w:rFonts w:ascii="宋体"/>
                <w:kern w:val="0"/>
                <w:sz w:val="20"/>
                <w:szCs w:val="20"/>
              </w:rPr>
            </w:pPr>
            <w:r>
              <w:rPr>
                <w:rFonts w:hint="eastAsia" w:ascii="宋体" w:cs="宋体"/>
                <w:kern w:val="0"/>
                <w:sz w:val="20"/>
                <w:szCs w:val="20"/>
              </w:rPr>
              <w:t>10</w:t>
            </w:r>
            <w:r>
              <w:rPr>
                <w:rFonts w:hint="eastAsia" w:ascii="宋体" w:hAnsi="宋体" w:cs="宋体"/>
                <w:kern w:val="0"/>
                <w:sz w:val="20"/>
                <w:szCs w:val="20"/>
              </w:rPr>
              <w:t>6从事国家限制或禁止行业</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6B25C215">
            <w:pPr>
              <w:widowControl/>
              <w:spacing w:line="360" w:lineRule="exact"/>
              <w:rPr>
                <w:rFonts w:ascii="宋体"/>
                <w:kern w:val="0"/>
                <w:sz w:val="20"/>
                <w:szCs w:val="20"/>
              </w:rPr>
            </w:pPr>
            <w:r>
              <w:rPr>
                <w:rFonts w:hint="eastAsia" w:ascii="宋体" w:hAnsi="宋体" w:cs="宋体"/>
                <w:kern w:val="0"/>
                <w:sz w:val="20"/>
                <w:szCs w:val="20"/>
              </w:rPr>
              <w:t>□是□否</w:t>
            </w:r>
          </w:p>
        </w:tc>
      </w:tr>
      <w:tr w14:paraId="1A411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2F88388D">
            <w:pPr>
              <w:widowControl/>
              <w:spacing w:line="360" w:lineRule="exact"/>
              <w:jc w:val="left"/>
              <w:rPr>
                <w:rFonts w:ascii="宋体" w:hAnsi="宋体" w:cs="宋体"/>
                <w:kern w:val="0"/>
                <w:sz w:val="20"/>
                <w:szCs w:val="20"/>
              </w:rPr>
            </w:pPr>
            <w:r>
              <w:rPr>
                <w:rFonts w:hint="eastAsia" w:ascii="宋体" w:hAnsi="宋体" w:cs="宋体"/>
                <w:kern w:val="0"/>
                <w:sz w:val="20"/>
                <w:szCs w:val="20"/>
              </w:rPr>
              <w:t>107适用会计准则或会计制度（填写代码）</w:t>
            </w:r>
          </w:p>
        </w:tc>
        <w:tc>
          <w:tcPr>
            <w:tcW w:w="1193" w:type="dxa"/>
            <w:gridSpan w:val="2"/>
            <w:tcBorders>
              <w:top w:val="single" w:color="auto" w:sz="6" w:space="0"/>
              <w:left w:val="single" w:color="auto" w:sz="6" w:space="0"/>
              <w:bottom w:val="single" w:color="auto" w:sz="6" w:space="0"/>
              <w:right w:val="single" w:color="auto" w:sz="6" w:space="0"/>
            </w:tcBorders>
            <w:noWrap w:val="0"/>
            <w:vAlign w:val="center"/>
          </w:tcPr>
          <w:p w14:paraId="7D432849">
            <w:pPr>
              <w:widowControl/>
              <w:spacing w:line="360" w:lineRule="exact"/>
              <w:rPr>
                <w:rFonts w:ascii="宋体" w:hAnsi="宋体" w:cs="宋体"/>
                <w:kern w:val="0"/>
                <w:sz w:val="20"/>
                <w:szCs w:val="20"/>
              </w:rPr>
            </w:pPr>
          </w:p>
        </w:tc>
        <w:tc>
          <w:tcPr>
            <w:tcW w:w="4568" w:type="dxa"/>
            <w:gridSpan w:val="4"/>
            <w:tcBorders>
              <w:top w:val="single" w:color="auto" w:sz="6" w:space="0"/>
              <w:left w:val="single" w:color="auto" w:sz="6" w:space="0"/>
              <w:bottom w:val="single" w:color="auto" w:sz="6" w:space="0"/>
              <w:right w:val="single" w:color="auto" w:sz="6" w:space="0"/>
            </w:tcBorders>
            <w:noWrap w:val="0"/>
            <w:vAlign w:val="center"/>
          </w:tcPr>
          <w:p w14:paraId="28CB3B80">
            <w:pPr>
              <w:widowControl/>
              <w:spacing w:line="360" w:lineRule="exact"/>
              <w:jc w:val="left"/>
              <w:rPr>
                <w:rFonts w:ascii="宋体" w:hAnsi="宋体" w:cs="宋体"/>
                <w:kern w:val="0"/>
                <w:sz w:val="20"/>
                <w:szCs w:val="20"/>
              </w:rPr>
            </w:pPr>
            <w:r>
              <w:rPr>
                <w:rFonts w:hint="eastAsia" w:ascii="宋体" w:hAnsi="宋体" w:cs="宋体"/>
                <w:kern w:val="0"/>
                <w:sz w:val="20"/>
                <w:szCs w:val="20"/>
              </w:rPr>
              <w:t>108采用一般企业财务报表格式（2019年版）</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29F3999C">
            <w:pPr>
              <w:widowControl/>
              <w:spacing w:line="360" w:lineRule="exact"/>
              <w:rPr>
                <w:rFonts w:ascii="宋体" w:hAnsi="宋体" w:cs="宋体"/>
                <w:kern w:val="0"/>
                <w:sz w:val="20"/>
                <w:szCs w:val="20"/>
              </w:rPr>
            </w:pPr>
            <w:r>
              <w:rPr>
                <w:rFonts w:hint="eastAsia" w:ascii="宋体" w:hAnsi="宋体" w:cs="宋体"/>
                <w:kern w:val="0"/>
                <w:sz w:val="20"/>
                <w:szCs w:val="20"/>
              </w:rPr>
              <w:t>□是□否</w:t>
            </w:r>
          </w:p>
        </w:tc>
      </w:tr>
      <w:tr w14:paraId="094AE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72E22891">
            <w:pPr>
              <w:widowControl/>
              <w:spacing w:line="360" w:lineRule="exact"/>
              <w:jc w:val="left"/>
              <w:rPr>
                <w:rFonts w:ascii="宋体" w:hAnsi="宋体" w:cs="宋体"/>
                <w:kern w:val="0"/>
                <w:sz w:val="20"/>
                <w:szCs w:val="20"/>
              </w:rPr>
            </w:pPr>
            <w:r>
              <w:rPr>
                <w:rFonts w:hint="eastAsia" w:ascii="宋体" w:hAnsi="宋体" w:cs="宋体"/>
                <w:kern w:val="0"/>
                <w:sz w:val="20"/>
                <w:szCs w:val="20"/>
              </w:rPr>
              <w:t>109小型微利企业</w:t>
            </w:r>
          </w:p>
        </w:tc>
        <w:tc>
          <w:tcPr>
            <w:tcW w:w="1193" w:type="dxa"/>
            <w:gridSpan w:val="2"/>
            <w:tcBorders>
              <w:top w:val="single" w:color="auto" w:sz="6" w:space="0"/>
              <w:left w:val="single" w:color="auto" w:sz="6" w:space="0"/>
              <w:bottom w:val="single" w:color="auto" w:sz="6" w:space="0"/>
              <w:right w:val="single" w:color="auto" w:sz="6" w:space="0"/>
            </w:tcBorders>
            <w:noWrap w:val="0"/>
            <w:vAlign w:val="center"/>
          </w:tcPr>
          <w:p w14:paraId="28446E1E">
            <w:pPr>
              <w:widowControl/>
              <w:spacing w:line="360" w:lineRule="exact"/>
              <w:rPr>
                <w:rFonts w:ascii="宋体" w:hAnsi="宋体" w:cs="宋体"/>
                <w:kern w:val="0"/>
                <w:sz w:val="20"/>
                <w:szCs w:val="20"/>
              </w:rPr>
            </w:pPr>
            <w:r>
              <w:rPr>
                <w:rFonts w:hint="eastAsia" w:ascii="宋体" w:hAnsi="宋体" w:cs="宋体"/>
                <w:kern w:val="0"/>
                <w:sz w:val="20"/>
                <w:szCs w:val="20"/>
              </w:rPr>
              <w:t>□是□否</w:t>
            </w:r>
          </w:p>
        </w:tc>
        <w:tc>
          <w:tcPr>
            <w:tcW w:w="2310" w:type="dxa"/>
            <w:gridSpan w:val="2"/>
            <w:tcBorders>
              <w:top w:val="single" w:color="auto" w:sz="6" w:space="0"/>
              <w:left w:val="single" w:color="auto" w:sz="6" w:space="0"/>
              <w:bottom w:val="single" w:color="auto" w:sz="6" w:space="0"/>
              <w:right w:val="single" w:color="auto" w:sz="6" w:space="0"/>
            </w:tcBorders>
            <w:noWrap w:val="0"/>
            <w:vAlign w:val="center"/>
          </w:tcPr>
          <w:p w14:paraId="61C80DFA">
            <w:pPr>
              <w:widowControl/>
              <w:spacing w:line="360" w:lineRule="exact"/>
              <w:jc w:val="left"/>
              <w:rPr>
                <w:rFonts w:ascii="宋体" w:hAnsi="宋体" w:cs="宋体"/>
                <w:kern w:val="0"/>
                <w:sz w:val="20"/>
                <w:szCs w:val="20"/>
              </w:rPr>
            </w:pPr>
            <w:r>
              <w:rPr>
                <w:rFonts w:hint="eastAsia" w:ascii="宋体" w:hAnsi="宋体" w:cs="宋体"/>
                <w:kern w:val="0"/>
                <w:sz w:val="20"/>
                <w:szCs w:val="20"/>
              </w:rPr>
              <w:t>110上市公司</w:t>
            </w:r>
          </w:p>
        </w:tc>
        <w:tc>
          <w:tcPr>
            <w:tcW w:w="3308" w:type="dxa"/>
            <w:gridSpan w:val="3"/>
            <w:tcBorders>
              <w:top w:val="single" w:color="auto" w:sz="6" w:space="0"/>
              <w:left w:val="single" w:color="auto" w:sz="6" w:space="0"/>
              <w:bottom w:val="single" w:color="auto" w:sz="6" w:space="0"/>
              <w:right w:val="single" w:color="auto" w:sz="12" w:space="0"/>
            </w:tcBorders>
            <w:noWrap w:val="0"/>
            <w:vAlign w:val="center"/>
          </w:tcPr>
          <w:p w14:paraId="5A72DFC7">
            <w:pPr>
              <w:widowControl/>
              <w:spacing w:line="360" w:lineRule="exact"/>
              <w:rPr>
                <w:rFonts w:ascii="宋体" w:hAnsi="宋体" w:cs="宋体"/>
                <w:kern w:val="0"/>
                <w:sz w:val="20"/>
                <w:szCs w:val="20"/>
              </w:rPr>
            </w:pPr>
            <w:r>
              <w:rPr>
                <w:rFonts w:hint="eastAsia" w:ascii="宋体" w:hAnsi="宋体" w:cs="宋体"/>
                <w:kern w:val="0"/>
                <w:sz w:val="20"/>
                <w:szCs w:val="20"/>
              </w:rPr>
              <w:t>是（□境内□境外）□否</w:t>
            </w:r>
          </w:p>
        </w:tc>
      </w:tr>
      <w:tr w14:paraId="2F23F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795" w:type="dxa"/>
            <w:gridSpan w:val="12"/>
            <w:tcBorders>
              <w:top w:val="single" w:color="auto" w:sz="6" w:space="0"/>
              <w:left w:val="single" w:color="auto" w:sz="12" w:space="0"/>
              <w:bottom w:val="single" w:color="auto" w:sz="6" w:space="0"/>
              <w:right w:val="single" w:color="auto" w:sz="12" w:space="0"/>
            </w:tcBorders>
            <w:noWrap w:val="0"/>
            <w:vAlign w:val="center"/>
          </w:tcPr>
          <w:p w14:paraId="2469B0CA">
            <w:pPr>
              <w:widowControl/>
              <w:spacing w:line="360" w:lineRule="exact"/>
              <w:jc w:val="center"/>
              <w:rPr>
                <w:rFonts w:ascii="宋体"/>
                <w:b/>
                <w:bCs/>
                <w:kern w:val="0"/>
                <w:sz w:val="20"/>
                <w:szCs w:val="20"/>
              </w:rPr>
            </w:pPr>
            <w:r>
              <w:rPr>
                <w:rFonts w:hint="eastAsia" w:ascii="宋体" w:hAnsi="宋体" w:cs="宋体"/>
                <w:b/>
                <w:bCs/>
                <w:kern w:val="0"/>
                <w:sz w:val="20"/>
                <w:szCs w:val="20"/>
              </w:rPr>
              <w:t>有关</w:t>
            </w:r>
            <w:r>
              <w:rPr>
                <w:rFonts w:hint="eastAsia" w:ascii="宋体" w:cs="宋体"/>
                <w:b/>
                <w:bCs/>
                <w:kern w:val="0"/>
                <w:sz w:val="20"/>
                <w:szCs w:val="20"/>
              </w:rPr>
              <w:t>涉税</w:t>
            </w:r>
            <w:r>
              <w:rPr>
                <w:rFonts w:hint="eastAsia" w:ascii="宋体" w:hAnsi="宋体" w:cs="宋体"/>
                <w:b/>
                <w:bCs/>
                <w:kern w:val="0"/>
                <w:sz w:val="20"/>
                <w:szCs w:val="20"/>
              </w:rPr>
              <w:t>事项情况（存在或者发生下列事项时必填）</w:t>
            </w:r>
          </w:p>
        </w:tc>
      </w:tr>
      <w:tr w14:paraId="10074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491C3E66">
            <w:pPr>
              <w:widowControl/>
              <w:spacing w:line="360" w:lineRule="exact"/>
              <w:jc w:val="left"/>
              <w:rPr>
                <w:rFonts w:ascii="宋体"/>
                <w:kern w:val="0"/>
                <w:sz w:val="20"/>
                <w:szCs w:val="20"/>
              </w:rPr>
            </w:pPr>
            <w:r>
              <w:rPr>
                <w:rFonts w:hint="eastAsia" w:ascii="宋体" w:hAnsi="宋体" w:cs="宋体"/>
                <w:kern w:val="0"/>
                <w:sz w:val="20"/>
                <w:szCs w:val="20"/>
              </w:rPr>
              <w:t>201从事股权投资业务</w:t>
            </w:r>
          </w:p>
        </w:tc>
        <w:tc>
          <w:tcPr>
            <w:tcW w:w="1193" w:type="dxa"/>
            <w:gridSpan w:val="2"/>
            <w:tcBorders>
              <w:top w:val="single" w:color="auto" w:sz="6" w:space="0"/>
              <w:left w:val="single" w:color="auto" w:sz="6" w:space="0"/>
              <w:bottom w:val="single" w:color="auto" w:sz="6" w:space="0"/>
              <w:right w:val="single" w:color="auto" w:sz="6" w:space="0"/>
            </w:tcBorders>
            <w:noWrap w:val="0"/>
            <w:vAlign w:val="center"/>
          </w:tcPr>
          <w:p w14:paraId="52C13DFB">
            <w:pPr>
              <w:widowControl/>
              <w:spacing w:line="360" w:lineRule="exact"/>
              <w:rPr>
                <w:rFonts w:ascii="宋体"/>
                <w:kern w:val="0"/>
                <w:sz w:val="20"/>
                <w:szCs w:val="20"/>
              </w:rPr>
            </w:pPr>
            <w:r>
              <w:rPr>
                <w:rFonts w:hint="eastAsia" w:ascii="宋体" w:hAnsi="宋体" w:cs="宋体"/>
                <w:kern w:val="0"/>
                <w:sz w:val="20"/>
                <w:szCs w:val="20"/>
              </w:rPr>
              <w:t>□是</w:t>
            </w:r>
          </w:p>
        </w:tc>
        <w:tc>
          <w:tcPr>
            <w:tcW w:w="4568" w:type="dxa"/>
            <w:gridSpan w:val="4"/>
            <w:tcBorders>
              <w:top w:val="single" w:color="auto" w:sz="6" w:space="0"/>
              <w:left w:val="single" w:color="auto" w:sz="6" w:space="0"/>
              <w:bottom w:val="single" w:color="auto" w:sz="6" w:space="0"/>
              <w:right w:val="single" w:color="auto" w:sz="6" w:space="0"/>
            </w:tcBorders>
            <w:noWrap w:val="0"/>
            <w:vAlign w:val="center"/>
          </w:tcPr>
          <w:p w14:paraId="305F53A6">
            <w:pPr>
              <w:widowControl/>
              <w:spacing w:line="360" w:lineRule="exact"/>
              <w:jc w:val="left"/>
              <w:rPr>
                <w:rFonts w:ascii="宋体"/>
                <w:kern w:val="0"/>
                <w:sz w:val="20"/>
                <w:szCs w:val="20"/>
              </w:rPr>
            </w:pPr>
            <w:r>
              <w:rPr>
                <w:rFonts w:hint="eastAsia" w:ascii="宋体" w:hAnsi="宋体" w:cs="宋体"/>
                <w:kern w:val="0"/>
                <w:sz w:val="20"/>
                <w:szCs w:val="20"/>
              </w:rPr>
              <w:t>202存在境外关联交易</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2F07D21B">
            <w:pPr>
              <w:widowControl/>
              <w:spacing w:line="360" w:lineRule="exact"/>
              <w:rPr>
                <w:rFonts w:ascii="宋体"/>
                <w:kern w:val="0"/>
                <w:sz w:val="20"/>
                <w:szCs w:val="20"/>
              </w:rPr>
            </w:pPr>
            <w:r>
              <w:rPr>
                <w:rFonts w:hint="eastAsia" w:ascii="宋体" w:hAnsi="宋体" w:cs="宋体"/>
                <w:kern w:val="0"/>
                <w:sz w:val="20"/>
                <w:szCs w:val="20"/>
              </w:rPr>
              <w:t>□是</w:t>
            </w:r>
          </w:p>
        </w:tc>
      </w:tr>
      <w:tr w14:paraId="75208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06DBF6B1">
            <w:pPr>
              <w:widowControl/>
              <w:spacing w:line="360" w:lineRule="exact"/>
              <w:jc w:val="left"/>
              <w:rPr>
                <w:rFonts w:ascii="宋体"/>
                <w:kern w:val="0"/>
                <w:sz w:val="20"/>
                <w:szCs w:val="20"/>
              </w:rPr>
            </w:pPr>
            <w:r>
              <w:rPr>
                <w:rFonts w:hint="eastAsia" w:ascii="宋体" w:hAnsi="宋体" w:cs="宋体"/>
                <w:kern w:val="0"/>
                <w:sz w:val="20"/>
                <w:szCs w:val="20"/>
              </w:rPr>
              <w:t>203选择采用的境外所得抵免方式</w:t>
            </w:r>
          </w:p>
        </w:tc>
        <w:tc>
          <w:tcPr>
            <w:tcW w:w="6811" w:type="dxa"/>
            <w:gridSpan w:val="7"/>
            <w:tcBorders>
              <w:top w:val="single" w:color="auto" w:sz="6" w:space="0"/>
              <w:left w:val="single" w:color="auto" w:sz="6" w:space="0"/>
              <w:bottom w:val="single" w:color="auto" w:sz="6" w:space="0"/>
              <w:right w:val="single" w:color="auto" w:sz="12" w:space="0"/>
            </w:tcBorders>
            <w:noWrap w:val="0"/>
            <w:vAlign w:val="center"/>
          </w:tcPr>
          <w:p w14:paraId="2D3D3510">
            <w:pPr>
              <w:widowControl/>
              <w:spacing w:line="360" w:lineRule="exact"/>
              <w:rPr>
                <w:rFonts w:ascii="宋体"/>
                <w:kern w:val="0"/>
                <w:sz w:val="20"/>
                <w:szCs w:val="20"/>
              </w:rPr>
            </w:pPr>
            <w:r>
              <w:rPr>
                <w:rFonts w:hint="eastAsia" w:ascii="宋体" w:hAnsi="宋体" w:cs="宋体"/>
                <w:kern w:val="0"/>
                <w:sz w:val="20"/>
                <w:szCs w:val="20"/>
              </w:rPr>
              <w:t>□分国（地区）不分项  □不分国（地区）不分项</w:t>
            </w:r>
          </w:p>
        </w:tc>
      </w:tr>
      <w:tr w14:paraId="19FE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351D99E6">
            <w:pPr>
              <w:widowControl/>
              <w:spacing w:line="360" w:lineRule="exact"/>
              <w:jc w:val="left"/>
              <w:rPr>
                <w:rFonts w:ascii="宋体"/>
                <w:kern w:val="0"/>
                <w:sz w:val="20"/>
                <w:szCs w:val="20"/>
              </w:rPr>
            </w:pPr>
            <w:r>
              <w:rPr>
                <w:rFonts w:hint="eastAsia" w:ascii="宋体" w:hAnsi="宋体" w:cs="宋体"/>
                <w:kern w:val="0"/>
                <w:sz w:val="20"/>
                <w:szCs w:val="20"/>
              </w:rPr>
              <w:t>204有限合伙制创业投资企业的法人合伙人</w:t>
            </w:r>
          </w:p>
        </w:tc>
        <w:tc>
          <w:tcPr>
            <w:tcW w:w="1193" w:type="dxa"/>
            <w:gridSpan w:val="2"/>
            <w:tcBorders>
              <w:top w:val="single" w:color="auto" w:sz="6" w:space="0"/>
              <w:left w:val="single" w:color="auto" w:sz="6" w:space="0"/>
              <w:bottom w:val="single" w:color="auto" w:sz="6" w:space="0"/>
              <w:right w:val="single" w:color="auto" w:sz="4" w:space="0"/>
            </w:tcBorders>
            <w:noWrap w:val="0"/>
            <w:vAlign w:val="center"/>
          </w:tcPr>
          <w:p w14:paraId="2678A616">
            <w:pPr>
              <w:widowControl/>
              <w:spacing w:line="360" w:lineRule="exact"/>
              <w:rPr>
                <w:rFonts w:ascii="宋体"/>
                <w:kern w:val="0"/>
                <w:sz w:val="20"/>
                <w:szCs w:val="20"/>
              </w:rPr>
            </w:pPr>
            <w:r>
              <w:rPr>
                <w:rFonts w:hint="eastAsia" w:ascii="宋体" w:hAnsi="宋体" w:cs="宋体"/>
                <w:kern w:val="0"/>
                <w:sz w:val="20"/>
                <w:szCs w:val="20"/>
              </w:rPr>
              <w:t>□是</w:t>
            </w:r>
          </w:p>
        </w:tc>
        <w:tc>
          <w:tcPr>
            <w:tcW w:w="4568" w:type="dxa"/>
            <w:gridSpan w:val="4"/>
            <w:tcBorders>
              <w:top w:val="single" w:color="auto" w:sz="6" w:space="0"/>
              <w:left w:val="single" w:color="auto" w:sz="4" w:space="0"/>
              <w:bottom w:val="single" w:color="auto" w:sz="6" w:space="0"/>
              <w:right w:val="single" w:color="auto" w:sz="6" w:space="0"/>
            </w:tcBorders>
            <w:noWrap w:val="0"/>
            <w:vAlign w:val="center"/>
          </w:tcPr>
          <w:p w14:paraId="76CBB801">
            <w:pPr>
              <w:widowControl/>
              <w:spacing w:line="360" w:lineRule="exact"/>
              <w:jc w:val="left"/>
              <w:rPr>
                <w:rFonts w:ascii="宋体"/>
                <w:kern w:val="0"/>
                <w:sz w:val="20"/>
                <w:szCs w:val="20"/>
              </w:rPr>
            </w:pPr>
            <w:r>
              <w:rPr>
                <w:rFonts w:hint="eastAsia" w:ascii="宋体" w:hAnsi="宋体" w:cs="宋体"/>
                <w:kern w:val="0"/>
                <w:sz w:val="20"/>
                <w:szCs w:val="20"/>
              </w:rPr>
              <w:t>205创业投资企业</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3D126DDA">
            <w:pPr>
              <w:widowControl/>
              <w:spacing w:line="360" w:lineRule="exact"/>
              <w:rPr>
                <w:rFonts w:ascii="宋体"/>
                <w:kern w:val="0"/>
                <w:sz w:val="20"/>
                <w:szCs w:val="20"/>
              </w:rPr>
            </w:pPr>
            <w:r>
              <w:rPr>
                <w:rFonts w:hint="eastAsia" w:ascii="宋体" w:hAnsi="宋体" w:cs="宋体"/>
                <w:kern w:val="0"/>
                <w:sz w:val="20"/>
                <w:szCs w:val="20"/>
              </w:rPr>
              <w:t>□是</w:t>
            </w:r>
          </w:p>
        </w:tc>
      </w:tr>
      <w:tr w14:paraId="69BC9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center"/>
          </w:tcPr>
          <w:p w14:paraId="1AA13D6D">
            <w:pPr>
              <w:widowControl/>
              <w:spacing w:line="360" w:lineRule="exact"/>
              <w:jc w:val="left"/>
              <w:rPr>
                <w:rFonts w:ascii="宋体"/>
                <w:kern w:val="0"/>
                <w:sz w:val="20"/>
                <w:szCs w:val="20"/>
              </w:rPr>
            </w:pPr>
            <w:r>
              <w:rPr>
                <w:rFonts w:hint="eastAsia" w:ascii="宋体" w:hAnsi="宋体" w:cs="宋体"/>
                <w:kern w:val="0"/>
                <w:sz w:val="20"/>
                <w:szCs w:val="20"/>
              </w:rPr>
              <w:t>206技术先进型服务企业类型（填写代码）</w:t>
            </w:r>
          </w:p>
        </w:tc>
        <w:tc>
          <w:tcPr>
            <w:tcW w:w="1193" w:type="dxa"/>
            <w:gridSpan w:val="2"/>
            <w:tcBorders>
              <w:top w:val="single" w:color="auto" w:sz="6" w:space="0"/>
              <w:left w:val="single" w:color="auto" w:sz="6" w:space="0"/>
              <w:bottom w:val="single" w:color="auto" w:sz="6" w:space="0"/>
              <w:right w:val="single" w:color="auto" w:sz="4" w:space="0"/>
            </w:tcBorders>
            <w:noWrap w:val="0"/>
            <w:vAlign w:val="center"/>
          </w:tcPr>
          <w:p w14:paraId="6F83F4A3">
            <w:pPr>
              <w:widowControl/>
              <w:spacing w:line="360" w:lineRule="exact"/>
              <w:jc w:val="left"/>
              <w:rPr>
                <w:rFonts w:ascii="宋体"/>
                <w:kern w:val="0"/>
                <w:sz w:val="20"/>
                <w:szCs w:val="20"/>
              </w:rPr>
            </w:pPr>
          </w:p>
        </w:tc>
        <w:tc>
          <w:tcPr>
            <w:tcW w:w="4568" w:type="dxa"/>
            <w:gridSpan w:val="4"/>
            <w:tcBorders>
              <w:top w:val="single" w:color="auto" w:sz="6" w:space="0"/>
              <w:left w:val="single" w:color="auto" w:sz="4" w:space="0"/>
              <w:bottom w:val="single" w:color="auto" w:sz="6" w:space="0"/>
              <w:right w:val="single" w:color="auto" w:sz="4" w:space="0"/>
            </w:tcBorders>
            <w:noWrap w:val="0"/>
            <w:vAlign w:val="center"/>
          </w:tcPr>
          <w:p w14:paraId="7F0A3FE2">
            <w:pPr>
              <w:widowControl/>
              <w:spacing w:line="360" w:lineRule="exact"/>
              <w:jc w:val="left"/>
              <w:rPr>
                <w:rFonts w:ascii="宋体"/>
                <w:kern w:val="0"/>
                <w:sz w:val="20"/>
                <w:szCs w:val="20"/>
              </w:rPr>
            </w:pPr>
            <w:r>
              <w:rPr>
                <w:rFonts w:hint="eastAsia" w:ascii="宋体" w:hAnsi="宋体" w:cs="宋体"/>
                <w:kern w:val="0"/>
                <w:sz w:val="20"/>
                <w:szCs w:val="20"/>
              </w:rPr>
              <w:t>207非营利组织</w:t>
            </w:r>
          </w:p>
        </w:tc>
        <w:tc>
          <w:tcPr>
            <w:tcW w:w="1050" w:type="dxa"/>
            <w:tcBorders>
              <w:top w:val="single" w:color="auto" w:sz="6" w:space="0"/>
              <w:left w:val="single" w:color="auto" w:sz="4" w:space="0"/>
              <w:bottom w:val="single" w:color="auto" w:sz="6" w:space="0"/>
              <w:right w:val="single" w:color="auto" w:sz="12" w:space="0"/>
            </w:tcBorders>
            <w:noWrap w:val="0"/>
            <w:vAlign w:val="center"/>
          </w:tcPr>
          <w:p w14:paraId="09C87F22">
            <w:pPr>
              <w:widowControl/>
              <w:spacing w:line="360" w:lineRule="exact"/>
              <w:rPr>
                <w:rFonts w:ascii="宋体"/>
                <w:kern w:val="0"/>
                <w:sz w:val="20"/>
                <w:szCs w:val="20"/>
              </w:rPr>
            </w:pPr>
            <w:r>
              <w:rPr>
                <w:rFonts w:hint="eastAsia" w:ascii="宋体" w:hAnsi="宋体" w:cs="宋体"/>
                <w:kern w:val="0"/>
                <w:sz w:val="20"/>
                <w:szCs w:val="20"/>
              </w:rPr>
              <w:t>□是</w:t>
            </w:r>
          </w:p>
        </w:tc>
      </w:tr>
      <w:tr w14:paraId="44849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4" w:type="dxa"/>
            <w:gridSpan w:val="5"/>
            <w:tcBorders>
              <w:top w:val="single" w:color="auto" w:sz="6" w:space="0"/>
              <w:left w:val="single" w:color="auto" w:sz="12" w:space="0"/>
              <w:bottom w:val="single" w:color="auto" w:sz="6" w:space="0"/>
              <w:right w:val="single" w:color="auto" w:sz="6" w:space="0"/>
            </w:tcBorders>
            <w:noWrap w:val="0"/>
            <w:vAlign w:val="top"/>
          </w:tcPr>
          <w:p w14:paraId="0378A35C">
            <w:pPr>
              <w:widowControl/>
              <w:spacing w:line="360" w:lineRule="exact"/>
              <w:jc w:val="left"/>
              <w:rPr>
                <w:rFonts w:ascii="宋体"/>
                <w:kern w:val="0"/>
                <w:sz w:val="20"/>
                <w:szCs w:val="20"/>
              </w:rPr>
            </w:pPr>
            <w:r>
              <w:rPr>
                <w:rFonts w:hint="eastAsia" w:ascii="宋体" w:hAnsi="宋体" w:cs="宋体"/>
                <w:kern w:val="0"/>
                <w:sz w:val="20"/>
                <w:szCs w:val="20"/>
              </w:rPr>
              <w:t>208软件、集成电路企业类型（填写代码）</w:t>
            </w:r>
          </w:p>
        </w:tc>
        <w:tc>
          <w:tcPr>
            <w:tcW w:w="1193" w:type="dxa"/>
            <w:gridSpan w:val="2"/>
            <w:tcBorders>
              <w:top w:val="single" w:color="auto" w:sz="6" w:space="0"/>
              <w:left w:val="single" w:color="auto" w:sz="6" w:space="0"/>
              <w:bottom w:val="single" w:color="auto" w:sz="6" w:space="0"/>
              <w:right w:val="single" w:color="auto" w:sz="4" w:space="0"/>
            </w:tcBorders>
            <w:noWrap w:val="0"/>
            <w:vAlign w:val="top"/>
          </w:tcPr>
          <w:p w14:paraId="7F7082AE">
            <w:pPr>
              <w:widowControl/>
              <w:spacing w:line="360" w:lineRule="exact"/>
              <w:rPr>
                <w:rFonts w:ascii="宋体"/>
                <w:kern w:val="0"/>
                <w:sz w:val="20"/>
                <w:szCs w:val="20"/>
              </w:rPr>
            </w:pPr>
          </w:p>
        </w:tc>
        <w:tc>
          <w:tcPr>
            <w:tcW w:w="2940" w:type="dxa"/>
            <w:gridSpan w:val="3"/>
            <w:tcBorders>
              <w:top w:val="single" w:color="auto" w:sz="6" w:space="0"/>
              <w:left w:val="single" w:color="auto" w:sz="4" w:space="0"/>
              <w:bottom w:val="single" w:color="auto" w:sz="6" w:space="0"/>
              <w:right w:val="single" w:color="auto" w:sz="4" w:space="0"/>
            </w:tcBorders>
            <w:noWrap w:val="0"/>
            <w:vAlign w:val="top"/>
          </w:tcPr>
          <w:p w14:paraId="00E9F34A">
            <w:pPr>
              <w:widowControl/>
              <w:spacing w:line="360" w:lineRule="exact"/>
              <w:ind w:right="-210" w:rightChars="-100"/>
              <w:rPr>
                <w:rFonts w:ascii="宋体"/>
                <w:kern w:val="0"/>
                <w:sz w:val="20"/>
                <w:szCs w:val="20"/>
              </w:rPr>
            </w:pPr>
            <w:r>
              <w:rPr>
                <w:rFonts w:hint="eastAsia" w:ascii="宋体" w:hAnsi="宋体" w:cs="宋体"/>
                <w:kern w:val="0"/>
                <w:sz w:val="20"/>
                <w:szCs w:val="20"/>
              </w:rPr>
              <w:t>209集成电路生产项目类型</w:t>
            </w:r>
          </w:p>
        </w:tc>
        <w:tc>
          <w:tcPr>
            <w:tcW w:w="2678" w:type="dxa"/>
            <w:gridSpan w:val="2"/>
            <w:tcBorders>
              <w:top w:val="single" w:color="auto" w:sz="6" w:space="0"/>
              <w:left w:val="single" w:color="auto" w:sz="4" w:space="0"/>
              <w:bottom w:val="single" w:color="auto" w:sz="6" w:space="0"/>
              <w:right w:val="single" w:color="auto" w:sz="12" w:space="0"/>
            </w:tcBorders>
            <w:noWrap w:val="0"/>
            <w:vAlign w:val="top"/>
          </w:tcPr>
          <w:p w14:paraId="48A83840">
            <w:pPr>
              <w:widowControl/>
              <w:spacing w:line="360" w:lineRule="exact"/>
              <w:rPr>
                <w:rFonts w:ascii="宋体" w:cs="宋体"/>
                <w:kern w:val="0"/>
                <w:sz w:val="20"/>
                <w:szCs w:val="20"/>
              </w:rPr>
            </w:pPr>
            <w:r>
              <w:rPr>
                <w:rFonts w:hint="eastAsia" w:ascii="宋体" w:hAnsi="宋体" w:cs="宋体"/>
                <w:kern w:val="0"/>
                <w:sz w:val="20"/>
                <w:szCs w:val="20"/>
              </w:rPr>
              <w:t>□130纳米 □65纳米</w:t>
            </w:r>
          </w:p>
        </w:tc>
      </w:tr>
      <w:tr w14:paraId="067BF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14:paraId="5179EE02">
            <w:pPr>
              <w:widowControl/>
              <w:spacing w:line="360" w:lineRule="exact"/>
              <w:jc w:val="left"/>
              <w:rPr>
                <w:rFonts w:ascii="宋体"/>
                <w:kern w:val="0"/>
                <w:sz w:val="20"/>
                <w:szCs w:val="20"/>
              </w:rPr>
            </w:pPr>
            <w:r>
              <w:rPr>
                <w:rFonts w:hint="eastAsia" w:ascii="宋体" w:hAnsi="宋体" w:cs="宋体"/>
                <w:kern w:val="0"/>
                <w:sz w:val="20"/>
                <w:szCs w:val="20"/>
              </w:rPr>
              <w:t>210科技型中小企业</w:t>
            </w:r>
          </w:p>
        </w:tc>
        <w:tc>
          <w:tcPr>
            <w:tcW w:w="4028" w:type="dxa"/>
            <w:gridSpan w:val="6"/>
            <w:tcBorders>
              <w:top w:val="single" w:color="auto" w:sz="6" w:space="0"/>
              <w:left w:val="single" w:color="auto" w:sz="6" w:space="0"/>
              <w:bottom w:val="single" w:color="auto" w:sz="6" w:space="0"/>
              <w:right w:val="single" w:color="auto" w:sz="6" w:space="0"/>
            </w:tcBorders>
            <w:noWrap w:val="0"/>
            <w:vAlign w:val="center"/>
          </w:tcPr>
          <w:p w14:paraId="4E32E8A5">
            <w:pPr>
              <w:widowControl/>
              <w:spacing w:line="360" w:lineRule="exact"/>
              <w:rPr>
                <w:rFonts w:ascii="宋体"/>
                <w:kern w:val="0"/>
                <w:sz w:val="20"/>
                <w:szCs w:val="20"/>
              </w:rPr>
            </w:pPr>
            <w:r>
              <w:rPr>
                <w:rFonts w:hint="eastAsia" w:ascii="宋体" w:hAnsi="宋体" w:cs="宋体"/>
                <w:kern w:val="0"/>
                <w:sz w:val="20"/>
                <w:szCs w:val="20"/>
              </w:rPr>
              <w:t>210-1</w:t>
            </w:r>
            <w:r>
              <w:rPr>
                <w:rFonts w:hint="eastAsia" w:ascii="宋体" w:hAnsi="宋体" w:cs="宋体"/>
                <w:kern w:val="0"/>
                <w:sz w:val="20"/>
                <w:szCs w:val="20"/>
                <w:u w:val="single"/>
              </w:rPr>
              <w:t xml:space="preserve">    </w:t>
            </w:r>
            <w:r>
              <w:rPr>
                <w:rFonts w:hint="eastAsia" w:ascii="宋体" w:hAnsi="宋体" w:cs="宋体"/>
                <w:kern w:val="0"/>
                <w:sz w:val="20"/>
                <w:szCs w:val="20"/>
              </w:rPr>
              <w:t>年（申报所属期年度）入库编号1</w:t>
            </w:r>
          </w:p>
        </w:tc>
        <w:tc>
          <w:tcPr>
            <w:tcW w:w="2310" w:type="dxa"/>
            <w:gridSpan w:val="2"/>
            <w:tcBorders>
              <w:top w:val="single" w:color="auto" w:sz="6" w:space="0"/>
              <w:left w:val="single" w:color="auto" w:sz="6" w:space="0"/>
              <w:bottom w:val="single" w:color="auto" w:sz="6" w:space="0"/>
              <w:right w:val="single" w:color="auto" w:sz="6" w:space="0"/>
            </w:tcBorders>
            <w:noWrap w:val="0"/>
            <w:vAlign w:val="center"/>
          </w:tcPr>
          <w:p w14:paraId="63BE50A3">
            <w:pPr>
              <w:widowControl/>
              <w:spacing w:line="360" w:lineRule="exact"/>
              <w:rPr>
                <w:rFonts w:ascii="宋体"/>
                <w:kern w:val="0"/>
                <w:sz w:val="20"/>
                <w:szCs w:val="20"/>
              </w:rPr>
            </w:pPr>
          </w:p>
        </w:tc>
        <w:tc>
          <w:tcPr>
            <w:tcW w:w="2258" w:type="dxa"/>
            <w:gridSpan w:val="2"/>
            <w:tcBorders>
              <w:top w:val="single" w:color="auto" w:sz="6" w:space="0"/>
              <w:left w:val="single" w:color="auto" w:sz="6" w:space="0"/>
              <w:bottom w:val="single" w:color="auto" w:sz="6" w:space="0"/>
              <w:right w:val="single" w:color="auto" w:sz="4" w:space="0"/>
            </w:tcBorders>
            <w:noWrap w:val="0"/>
            <w:vAlign w:val="center"/>
          </w:tcPr>
          <w:p w14:paraId="49CCA1E8">
            <w:pPr>
              <w:widowControl/>
              <w:spacing w:line="360" w:lineRule="exact"/>
              <w:rPr>
                <w:rFonts w:ascii="宋体"/>
                <w:kern w:val="0"/>
                <w:sz w:val="20"/>
                <w:szCs w:val="20"/>
              </w:rPr>
            </w:pPr>
            <w:r>
              <w:rPr>
                <w:rFonts w:hint="eastAsia" w:ascii="宋体" w:hAnsi="宋体" w:cs="宋体"/>
                <w:kern w:val="0"/>
                <w:sz w:val="20"/>
                <w:szCs w:val="20"/>
              </w:rPr>
              <w:t>210-2入库时间1</w:t>
            </w:r>
          </w:p>
        </w:tc>
        <w:tc>
          <w:tcPr>
            <w:tcW w:w="1050" w:type="dxa"/>
            <w:tcBorders>
              <w:top w:val="single" w:color="auto" w:sz="6" w:space="0"/>
              <w:left w:val="single" w:color="auto" w:sz="4" w:space="0"/>
              <w:bottom w:val="single" w:color="auto" w:sz="6" w:space="0"/>
              <w:right w:val="single" w:color="auto" w:sz="12" w:space="0"/>
            </w:tcBorders>
            <w:noWrap w:val="0"/>
            <w:vAlign w:val="center"/>
          </w:tcPr>
          <w:p w14:paraId="6DF6263B">
            <w:pPr>
              <w:widowControl/>
              <w:spacing w:line="360" w:lineRule="exact"/>
              <w:rPr>
                <w:rFonts w:ascii="宋体"/>
                <w:kern w:val="0"/>
                <w:sz w:val="20"/>
                <w:szCs w:val="20"/>
              </w:rPr>
            </w:pPr>
          </w:p>
        </w:tc>
      </w:tr>
      <w:tr w14:paraId="44A7A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14:paraId="3A235996">
            <w:pPr>
              <w:widowControl/>
              <w:jc w:val="left"/>
              <w:rPr>
                <w:rFonts w:ascii="宋体"/>
                <w:kern w:val="0"/>
                <w:sz w:val="20"/>
                <w:szCs w:val="20"/>
              </w:rPr>
            </w:pPr>
          </w:p>
        </w:tc>
        <w:tc>
          <w:tcPr>
            <w:tcW w:w="4028" w:type="dxa"/>
            <w:gridSpan w:val="6"/>
            <w:tcBorders>
              <w:top w:val="single" w:color="auto" w:sz="6" w:space="0"/>
              <w:left w:val="single" w:color="auto" w:sz="6" w:space="0"/>
              <w:bottom w:val="single" w:color="auto" w:sz="6" w:space="0"/>
              <w:right w:val="single" w:color="auto" w:sz="6" w:space="0"/>
            </w:tcBorders>
            <w:noWrap w:val="0"/>
            <w:vAlign w:val="center"/>
          </w:tcPr>
          <w:p w14:paraId="7B99D873">
            <w:pPr>
              <w:widowControl/>
              <w:spacing w:line="360" w:lineRule="exact"/>
              <w:rPr>
                <w:rFonts w:ascii="宋体"/>
                <w:kern w:val="0"/>
                <w:sz w:val="20"/>
                <w:szCs w:val="20"/>
              </w:rPr>
            </w:pPr>
            <w:r>
              <w:rPr>
                <w:rFonts w:hint="eastAsia" w:ascii="宋体" w:hAnsi="宋体" w:cs="宋体"/>
                <w:kern w:val="0"/>
                <w:sz w:val="20"/>
                <w:szCs w:val="20"/>
              </w:rPr>
              <w:t>210-3</w:t>
            </w:r>
            <w:r>
              <w:rPr>
                <w:rFonts w:hint="eastAsia" w:ascii="宋体" w:hAnsi="宋体" w:cs="宋体"/>
                <w:kern w:val="0"/>
                <w:sz w:val="20"/>
                <w:szCs w:val="20"/>
                <w:u w:val="single"/>
              </w:rPr>
              <w:t xml:space="preserve">    </w:t>
            </w:r>
            <w:r>
              <w:rPr>
                <w:rFonts w:hint="eastAsia" w:ascii="宋体" w:hAnsi="宋体" w:cs="宋体"/>
                <w:kern w:val="0"/>
                <w:sz w:val="20"/>
                <w:szCs w:val="20"/>
              </w:rPr>
              <w:t>年（所属期下一年度）入库编号2</w:t>
            </w:r>
          </w:p>
        </w:tc>
        <w:tc>
          <w:tcPr>
            <w:tcW w:w="2310" w:type="dxa"/>
            <w:gridSpan w:val="2"/>
            <w:tcBorders>
              <w:top w:val="single" w:color="auto" w:sz="6" w:space="0"/>
              <w:left w:val="single" w:color="auto" w:sz="6" w:space="0"/>
              <w:bottom w:val="single" w:color="auto" w:sz="6" w:space="0"/>
              <w:right w:val="single" w:color="auto" w:sz="6" w:space="0"/>
            </w:tcBorders>
            <w:noWrap w:val="0"/>
            <w:vAlign w:val="center"/>
          </w:tcPr>
          <w:p w14:paraId="277B7D11">
            <w:pPr>
              <w:widowControl/>
              <w:spacing w:line="360" w:lineRule="exact"/>
              <w:rPr>
                <w:rFonts w:ascii="宋体"/>
                <w:kern w:val="0"/>
                <w:sz w:val="20"/>
                <w:szCs w:val="20"/>
              </w:rPr>
            </w:pPr>
          </w:p>
        </w:tc>
        <w:tc>
          <w:tcPr>
            <w:tcW w:w="2258" w:type="dxa"/>
            <w:gridSpan w:val="2"/>
            <w:tcBorders>
              <w:top w:val="single" w:color="auto" w:sz="6" w:space="0"/>
              <w:left w:val="single" w:color="auto" w:sz="6" w:space="0"/>
              <w:bottom w:val="single" w:color="auto" w:sz="6" w:space="0"/>
              <w:right w:val="single" w:color="auto" w:sz="6" w:space="0"/>
            </w:tcBorders>
            <w:noWrap w:val="0"/>
            <w:vAlign w:val="center"/>
          </w:tcPr>
          <w:p w14:paraId="5DE64868">
            <w:pPr>
              <w:widowControl/>
              <w:spacing w:line="360" w:lineRule="exact"/>
              <w:rPr>
                <w:rFonts w:ascii="宋体"/>
                <w:kern w:val="0"/>
                <w:sz w:val="20"/>
                <w:szCs w:val="20"/>
              </w:rPr>
            </w:pPr>
            <w:r>
              <w:rPr>
                <w:rFonts w:hint="eastAsia" w:ascii="宋体" w:hAnsi="宋体" w:cs="宋体"/>
                <w:kern w:val="0"/>
                <w:sz w:val="20"/>
                <w:szCs w:val="20"/>
              </w:rPr>
              <w:t>210-4入库时间2</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06EC0992">
            <w:pPr>
              <w:widowControl/>
              <w:spacing w:line="360" w:lineRule="exact"/>
              <w:rPr>
                <w:rFonts w:ascii="宋体"/>
                <w:kern w:val="0"/>
                <w:sz w:val="20"/>
                <w:szCs w:val="20"/>
              </w:rPr>
            </w:pPr>
          </w:p>
        </w:tc>
      </w:tr>
      <w:tr w14:paraId="3618D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287" w:type="dxa"/>
            <w:gridSpan w:val="4"/>
            <w:vMerge w:val="restart"/>
            <w:tcBorders>
              <w:top w:val="single" w:color="auto" w:sz="6" w:space="0"/>
              <w:left w:val="single" w:color="auto" w:sz="12" w:space="0"/>
              <w:bottom w:val="single" w:color="auto" w:sz="6" w:space="0"/>
              <w:right w:val="single" w:color="auto" w:sz="4" w:space="0"/>
            </w:tcBorders>
            <w:noWrap w:val="0"/>
            <w:vAlign w:val="center"/>
          </w:tcPr>
          <w:p w14:paraId="3EB0C800">
            <w:pPr>
              <w:widowControl/>
              <w:spacing w:line="280" w:lineRule="exact"/>
              <w:jc w:val="left"/>
              <w:rPr>
                <w:rFonts w:ascii="宋体"/>
                <w:kern w:val="0"/>
                <w:sz w:val="20"/>
                <w:szCs w:val="20"/>
              </w:rPr>
            </w:pPr>
            <w:r>
              <w:rPr>
                <w:rFonts w:hint="eastAsia" w:ascii="宋体" w:hAnsi="宋体" w:cs="宋体"/>
                <w:kern w:val="0"/>
                <w:sz w:val="20"/>
                <w:szCs w:val="20"/>
              </w:rPr>
              <w:t>211高新技术企业申报所属期年度有效的高新技术企业证书</w:t>
            </w:r>
          </w:p>
        </w:tc>
        <w:tc>
          <w:tcPr>
            <w:tcW w:w="1890" w:type="dxa"/>
            <w:gridSpan w:val="3"/>
            <w:tcBorders>
              <w:top w:val="single" w:color="auto" w:sz="6" w:space="0"/>
              <w:left w:val="single" w:color="auto" w:sz="4" w:space="0"/>
              <w:bottom w:val="single" w:color="auto" w:sz="4" w:space="0"/>
              <w:right w:val="single" w:color="auto" w:sz="6" w:space="0"/>
            </w:tcBorders>
            <w:noWrap w:val="0"/>
            <w:vAlign w:val="center"/>
          </w:tcPr>
          <w:p w14:paraId="7663AAD3">
            <w:pPr>
              <w:spacing w:line="360" w:lineRule="exact"/>
              <w:jc w:val="left"/>
              <w:rPr>
                <w:rFonts w:ascii="宋体"/>
                <w:kern w:val="0"/>
                <w:sz w:val="20"/>
                <w:szCs w:val="20"/>
              </w:rPr>
            </w:pPr>
            <w:r>
              <w:rPr>
                <w:rFonts w:hint="eastAsia" w:ascii="宋体" w:hAnsi="宋体" w:cs="宋体"/>
                <w:kern w:val="0"/>
                <w:sz w:val="20"/>
                <w:szCs w:val="20"/>
              </w:rPr>
              <w:t xml:space="preserve"> 211-1 证书编号1</w:t>
            </w:r>
          </w:p>
        </w:tc>
        <w:tc>
          <w:tcPr>
            <w:tcW w:w="2310" w:type="dxa"/>
            <w:gridSpan w:val="2"/>
            <w:tcBorders>
              <w:top w:val="single" w:color="auto" w:sz="6" w:space="0"/>
              <w:left w:val="single" w:color="auto" w:sz="6" w:space="0"/>
              <w:bottom w:val="single" w:color="auto" w:sz="6" w:space="0"/>
              <w:right w:val="single" w:color="auto" w:sz="6" w:space="0"/>
            </w:tcBorders>
            <w:noWrap w:val="0"/>
            <w:vAlign w:val="center"/>
          </w:tcPr>
          <w:p w14:paraId="3D22A72F">
            <w:pPr>
              <w:widowControl/>
              <w:spacing w:line="360" w:lineRule="exact"/>
              <w:jc w:val="left"/>
              <w:rPr>
                <w:rFonts w:ascii="宋体"/>
                <w:kern w:val="0"/>
                <w:sz w:val="20"/>
                <w:szCs w:val="20"/>
              </w:rPr>
            </w:pPr>
          </w:p>
        </w:tc>
        <w:tc>
          <w:tcPr>
            <w:tcW w:w="2258" w:type="dxa"/>
            <w:gridSpan w:val="2"/>
            <w:tcBorders>
              <w:top w:val="single" w:color="auto" w:sz="6" w:space="0"/>
              <w:left w:val="single" w:color="auto" w:sz="6" w:space="0"/>
              <w:bottom w:val="single" w:color="auto" w:sz="6" w:space="0"/>
              <w:right w:val="single" w:color="auto" w:sz="6" w:space="0"/>
            </w:tcBorders>
            <w:noWrap w:val="0"/>
            <w:vAlign w:val="center"/>
          </w:tcPr>
          <w:p w14:paraId="00749805">
            <w:pPr>
              <w:widowControl/>
              <w:spacing w:line="360" w:lineRule="exact"/>
              <w:rPr>
                <w:rFonts w:ascii="宋体"/>
                <w:kern w:val="0"/>
                <w:sz w:val="20"/>
                <w:szCs w:val="20"/>
              </w:rPr>
            </w:pPr>
            <w:r>
              <w:rPr>
                <w:rFonts w:hint="eastAsia" w:ascii="宋体" w:hAnsi="宋体" w:cs="宋体"/>
                <w:kern w:val="0"/>
                <w:sz w:val="20"/>
                <w:szCs w:val="20"/>
              </w:rPr>
              <w:t>211-2发证时间1</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25D8B66C">
            <w:pPr>
              <w:widowControl/>
              <w:spacing w:line="360" w:lineRule="exact"/>
              <w:rPr>
                <w:rFonts w:ascii="宋体"/>
                <w:kern w:val="0"/>
                <w:sz w:val="20"/>
                <w:szCs w:val="20"/>
              </w:rPr>
            </w:pPr>
          </w:p>
        </w:tc>
      </w:tr>
      <w:tr w14:paraId="64F02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287" w:type="dxa"/>
            <w:gridSpan w:val="4"/>
            <w:vMerge w:val="continue"/>
            <w:tcBorders>
              <w:top w:val="single" w:color="auto" w:sz="6" w:space="0"/>
              <w:left w:val="single" w:color="auto" w:sz="12" w:space="0"/>
              <w:bottom w:val="single" w:color="auto" w:sz="6" w:space="0"/>
              <w:right w:val="single" w:color="auto" w:sz="4" w:space="0"/>
            </w:tcBorders>
            <w:noWrap w:val="0"/>
            <w:vAlign w:val="center"/>
          </w:tcPr>
          <w:p w14:paraId="21DA093E">
            <w:pPr>
              <w:widowControl/>
              <w:jc w:val="left"/>
              <w:rPr>
                <w:rFonts w:ascii="宋体"/>
                <w:kern w:val="0"/>
                <w:sz w:val="20"/>
                <w:szCs w:val="20"/>
              </w:rPr>
            </w:pPr>
          </w:p>
        </w:tc>
        <w:tc>
          <w:tcPr>
            <w:tcW w:w="1890" w:type="dxa"/>
            <w:gridSpan w:val="3"/>
            <w:tcBorders>
              <w:top w:val="single" w:color="auto" w:sz="4" w:space="0"/>
              <w:left w:val="single" w:color="auto" w:sz="4" w:space="0"/>
              <w:bottom w:val="single" w:color="auto" w:sz="6" w:space="0"/>
              <w:right w:val="single" w:color="auto" w:sz="6" w:space="0"/>
            </w:tcBorders>
            <w:noWrap w:val="0"/>
            <w:vAlign w:val="center"/>
          </w:tcPr>
          <w:p w14:paraId="4A4E7E41">
            <w:pPr>
              <w:widowControl/>
              <w:spacing w:line="360" w:lineRule="exact"/>
              <w:jc w:val="left"/>
              <w:rPr>
                <w:rFonts w:ascii="宋体"/>
                <w:kern w:val="0"/>
                <w:sz w:val="20"/>
                <w:szCs w:val="20"/>
              </w:rPr>
            </w:pPr>
            <w:r>
              <w:rPr>
                <w:rFonts w:hint="eastAsia" w:ascii="宋体" w:hAnsi="宋体" w:cs="宋体"/>
                <w:kern w:val="0"/>
                <w:sz w:val="20"/>
                <w:szCs w:val="20"/>
              </w:rPr>
              <w:t xml:space="preserve"> 211-3 证书编号2</w:t>
            </w:r>
          </w:p>
        </w:tc>
        <w:tc>
          <w:tcPr>
            <w:tcW w:w="2310" w:type="dxa"/>
            <w:gridSpan w:val="2"/>
            <w:tcBorders>
              <w:top w:val="single" w:color="auto" w:sz="6" w:space="0"/>
              <w:left w:val="single" w:color="auto" w:sz="6" w:space="0"/>
              <w:bottom w:val="single" w:color="auto" w:sz="6" w:space="0"/>
              <w:right w:val="single" w:color="auto" w:sz="6" w:space="0"/>
            </w:tcBorders>
            <w:noWrap w:val="0"/>
            <w:vAlign w:val="center"/>
          </w:tcPr>
          <w:p w14:paraId="5B9E0184">
            <w:pPr>
              <w:widowControl/>
              <w:spacing w:line="360" w:lineRule="exact"/>
              <w:jc w:val="left"/>
              <w:rPr>
                <w:rFonts w:ascii="宋体"/>
                <w:kern w:val="0"/>
                <w:sz w:val="20"/>
                <w:szCs w:val="20"/>
              </w:rPr>
            </w:pPr>
          </w:p>
        </w:tc>
        <w:tc>
          <w:tcPr>
            <w:tcW w:w="2258" w:type="dxa"/>
            <w:gridSpan w:val="2"/>
            <w:tcBorders>
              <w:top w:val="single" w:color="auto" w:sz="6" w:space="0"/>
              <w:left w:val="single" w:color="auto" w:sz="6" w:space="0"/>
              <w:bottom w:val="single" w:color="auto" w:sz="6" w:space="0"/>
              <w:right w:val="single" w:color="auto" w:sz="6" w:space="0"/>
            </w:tcBorders>
            <w:noWrap w:val="0"/>
            <w:vAlign w:val="center"/>
          </w:tcPr>
          <w:p w14:paraId="1E501382">
            <w:pPr>
              <w:widowControl/>
              <w:spacing w:line="360" w:lineRule="exact"/>
              <w:rPr>
                <w:rFonts w:ascii="宋体"/>
                <w:kern w:val="0"/>
                <w:sz w:val="20"/>
                <w:szCs w:val="20"/>
              </w:rPr>
            </w:pPr>
            <w:r>
              <w:rPr>
                <w:rFonts w:hint="eastAsia" w:ascii="宋体" w:hAnsi="宋体" w:cs="宋体"/>
                <w:kern w:val="0"/>
                <w:sz w:val="20"/>
                <w:szCs w:val="20"/>
              </w:rPr>
              <w:t>211-4发证时间2</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22E9B659">
            <w:pPr>
              <w:widowControl/>
              <w:spacing w:line="360" w:lineRule="exact"/>
              <w:rPr>
                <w:rFonts w:ascii="宋体"/>
                <w:kern w:val="0"/>
                <w:sz w:val="20"/>
                <w:szCs w:val="20"/>
              </w:rPr>
            </w:pPr>
          </w:p>
        </w:tc>
      </w:tr>
      <w:tr w14:paraId="5C183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287" w:type="dxa"/>
            <w:gridSpan w:val="4"/>
            <w:tcBorders>
              <w:top w:val="single" w:color="auto" w:sz="6" w:space="0"/>
              <w:left w:val="single" w:color="auto" w:sz="12" w:space="0"/>
              <w:bottom w:val="single" w:color="auto" w:sz="6" w:space="0"/>
              <w:right w:val="single" w:color="auto" w:sz="6" w:space="0"/>
            </w:tcBorders>
            <w:noWrap w:val="0"/>
            <w:vAlign w:val="center"/>
          </w:tcPr>
          <w:p w14:paraId="6E7ADCF7">
            <w:pPr>
              <w:widowControl/>
              <w:spacing w:line="360" w:lineRule="exact"/>
              <w:jc w:val="left"/>
              <w:rPr>
                <w:rFonts w:ascii="宋体"/>
                <w:kern w:val="0"/>
                <w:sz w:val="20"/>
                <w:szCs w:val="20"/>
              </w:rPr>
            </w:pPr>
            <w:r>
              <w:rPr>
                <w:rFonts w:hint="eastAsia" w:ascii="宋体" w:hAnsi="宋体" w:cs="宋体"/>
                <w:kern w:val="0"/>
                <w:sz w:val="20"/>
                <w:szCs w:val="20"/>
              </w:rPr>
              <w:t>212重组事项税务处理方式</w:t>
            </w:r>
          </w:p>
        </w:tc>
        <w:tc>
          <w:tcPr>
            <w:tcW w:w="1890" w:type="dxa"/>
            <w:gridSpan w:val="3"/>
            <w:tcBorders>
              <w:top w:val="single" w:color="auto" w:sz="6" w:space="0"/>
              <w:left w:val="single" w:color="auto" w:sz="6" w:space="0"/>
              <w:bottom w:val="single" w:color="auto" w:sz="6" w:space="0"/>
              <w:right w:val="single" w:color="auto" w:sz="4" w:space="0"/>
            </w:tcBorders>
            <w:noWrap w:val="0"/>
            <w:vAlign w:val="center"/>
          </w:tcPr>
          <w:p w14:paraId="64E6F814">
            <w:pPr>
              <w:widowControl/>
              <w:spacing w:line="360" w:lineRule="exact"/>
              <w:rPr>
                <w:rFonts w:ascii="宋体"/>
                <w:kern w:val="0"/>
                <w:sz w:val="20"/>
                <w:szCs w:val="20"/>
              </w:rPr>
            </w:pPr>
            <w:r>
              <w:rPr>
                <w:rFonts w:hint="eastAsia" w:ascii="宋体" w:hAnsi="宋体" w:cs="宋体"/>
                <w:kern w:val="0"/>
                <w:sz w:val="20"/>
                <w:szCs w:val="20"/>
              </w:rPr>
              <w:t>□一般性□特殊性</w:t>
            </w:r>
          </w:p>
        </w:tc>
        <w:tc>
          <w:tcPr>
            <w:tcW w:w="4568" w:type="dxa"/>
            <w:gridSpan w:val="4"/>
            <w:tcBorders>
              <w:top w:val="single" w:color="auto" w:sz="6" w:space="0"/>
              <w:left w:val="single" w:color="auto" w:sz="4" w:space="0"/>
              <w:bottom w:val="single" w:color="auto" w:sz="6" w:space="0"/>
              <w:right w:val="single" w:color="auto" w:sz="6" w:space="0"/>
            </w:tcBorders>
            <w:noWrap w:val="0"/>
            <w:vAlign w:val="center"/>
          </w:tcPr>
          <w:p w14:paraId="64194A57">
            <w:pPr>
              <w:widowControl/>
              <w:spacing w:line="360" w:lineRule="exact"/>
              <w:rPr>
                <w:rFonts w:ascii="宋体"/>
                <w:kern w:val="0"/>
                <w:sz w:val="20"/>
                <w:szCs w:val="20"/>
              </w:rPr>
            </w:pPr>
            <w:r>
              <w:rPr>
                <w:rFonts w:hint="eastAsia" w:ascii="宋体" w:hAnsi="宋体" w:cs="宋体"/>
                <w:kern w:val="0"/>
                <w:sz w:val="20"/>
                <w:szCs w:val="20"/>
              </w:rPr>
              <w:t>213重组交易类型（填写代码）</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17CF9456">
            <w:pPr>
              <w:widowControl/>
              <w:spacing w:line="360" w:lineRule="exact"/>
              <w:rPr>
                <w:rFonts w:ascii="宋体"/>
                <w:kern w:val="0"/>
                <w:sz w:val="20"/>
                <w:szCs w:val="20"/>
              </w:rPr>
            </w:pPr>
          </w:p>
        </w:tc>
      </w:tr>
      <w:tr w14:paraId="303A2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287" w:type="dxa"/>
            <w:gridSpan w:val="4"/>
            <w:tcBorders>
              <w:top w:val="single" w:color="auto" w:sz="6" w:space="0"/>
              <w:left w:val="single" w:color="auto" w:sz="12" w:space="0"/>
              <w:bottom w:val="single" w:color="auto" w:sz="6" w:space="0"/>
              <w:right w:val="single" w:color="auto" w:sz="6" w:space="0"/>
            </w:tcBorders>
            <w:noWrap w:val="0"/>
            <w:vAlign w:val="center"/>
          </w:tcPr>
          <w:p w14:paraId="2A7C743F">
            <w:pPr>
              <w:widowControl/>
              <w:spacing w:line="360" w:lineRule="exact"/>
              <w:jc w:val="left"/>
              <w:rPr>
                <w:rFonts w:ascii="宋体" w:hAnsi="宋体" w:cs="宋体"/>
                <w:kern w:val="0"/>
                <w:sz w:val="20"/>
                <w:szCs w:val="20"/>
              </w:rPr>
            </w:pPr>
            <w:r>
              <w:rPr>
                <w:rFonts w:hint="eastAsia" w:ascii="宋体" w:hAnsi="宋体" w:cs="宋体"/>
                <w:kern w:val="0"/>
                <w:sz w:val="20"/>
                <w:szCs w:val="20"/>
              </w:rPr>
              <w:t>214重组当事方类型（填写代码）</w:t>
            </w:r>
          </w:p>
        </w:tc>
        <w:tc>
          <w:tcPr>
            <w:tcW w:w="1890" w:type="dxa"/>
            <w:gridSpan w:val="3"/>
            <w:tcBorders>
              <w:top w:val="single" w:color="auto" w:sz="6" w:space="0"/>
              <w:left w:val="single" w:color="auto" w:sz="6" w:space="0"/>
              <w:bottom w:val="single" w:color="auto" w:sz="6" w:space="0"/>
              <w:right w:val="single" w:color="auto" w:sz="4" w:space="0"/>
            </w:tcBorders>
            <w:noWrap w:val="0"/>
            <w:vAlign w:val="center"/>
          </w:tcPr>
          <w:p w14:paraId="4F8437DC">
            <w:pPr>
              <w:widowControl/>
              <w:spacing w:line="360" w:lineRule="exact"/>
              <w:rPr>
                <w:rFonts w:ascii="宋体" w:hAnsi="宋体" w:cs="宋体"/>
                <w:kern w:val="0"/>
                <w:sz w:val="20"/>
                <w:szCs w:val="20"/>
              </w:rPr>
            </w:pPr>
          </w:p>
        </w:tc>
        <w:tc>
          <w:tcPr>
            <w:tcW w:w="4568" w:type="dxa"/>
            <w:gridSpan w:val="4"/>
            <w:tcBorders>
              <w:top w:val="single" w:color="auto" w:sz="6" w:space="0"/>
              <w:left w:val="single" w:color="auto" w:sz="4" w:space="0"/>
              <w:bottom w:val="single" w:color="auto" w:sz="6" w:space="0"/>
              <w:right w:val="single" w:color="auto" w:sz="6" w:space="0"/>
            </w:tcBorders>
            <w:noWrap w:val="0"/>
            <w:vAlign w:val="center"/>
          </w:tcPr>
          <w:p w14:paraId="7AACB509">
            <w:pPr>
              <w:widowControl/>
              <w:spacing w:line="360" w:lineRule="exact"/>
              <w:rPr>
                <w:rFonts w:ascii="宋体" w:hAnsi="宋体" w:cs="宋体"/>
                <w:kern w:val="0"/>
                <w:sz w:val="20"/>
                <w:szCs w:val="20"/>
              </w:rPr>
            </w:pPr>
            <w:r>
              <w:rPr>
                <w:rFonts w:hint="eastAsia" w:ascii="宋体" w:hAnsi="宋体" w:cs="宋体"/>
                <w:kern w:val="0"/>
                <w:sz w:val="20"/>
                <w:szCs w:val="20"/>
              </w:rPr>
              <w:t>215政策性搬迁开始时间</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30EC8EAC">
            <w:pPr>
              <w:widowControl/>
              <w:spacing w:line="360" w:lineRule="exact"/>
              <w:rPr>
                <w:rFonts w:ascii="宋体" w:hAnsi="宋体" w:cs="宋体"/>
                <w:kern w:val="0"/>
                <w:sz w:val="20"/>
                <w:szCs w:val="20"/>
                <w:u w:val="single"/>
              </w:rPr>
            </w:pPr>
            <w:r>
              <w:rPr>
                <w:rFonts w:hint="eastAsia" w:ascii="宋体" w:hAnsi="宋体" w:cs="宋体"/>
                <w:kern w:val="0"/>
                <w:sz w:val="20"/>
                <w:szCs w:val="20"/>
                <w:u w:val="single"/>
              </w:rPr>
              <w:t xml:space="preserve">  </w:t>
            </w:r>
            <w:r>
              <w:rPr>
                <w:rFonts w:hint="eastAsia" w:ascii="宋体" w:hAnsi="宋体" w:cs="宋体"/>
                <w:kern w:val="0"/>
                <w:sz w:val="20"/>
                <w:szCs w:val="20"/>
              </w:rPr>
              <w:t>年</w:t>
            </w:r>
            <w:r>
              <w:rPr>
                <w:rFonts w:hint="eastAsia" w:ascii="宋体" w:hAnsi="宋体" w:cs="宋体"/>
                <w:kern w:val="0"/>
                <w:sz w:val="20"/>
                <w:szCs w:val="20"/>
                <w:u w:val="single"/>
              </w:rPr>
              <w:t xml:space="preserve">  </w:t>
            </w:r>
            <w:r>
              <w:rPr>
                <w:rFonts w:hint="eastAsia" w:ascii="宋体" w:hAnsi="宋体" w:cs="宋体"/>
                <w:kern w:val="0"/>
                <w:sz w:val="20"/>
                <w:szCs w:val="20"/>
              </w:rPr>
              <w:t>月</w:t>
            </w:r>
          </w:p>
        </w:tc>
      </w:tr>
      <w:tr w14:paraId="675FA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22" w:type="dxa"/>
            <w:gridSpan w:val="6"/>
            <w:tcBorders>
              <w:top w:val="single" w:color="auto" w:sz="6" w:space="0"/>
              <w:left w:val="single" w:color="auto" w:sz="12" w:space="0"/>
              <w:bottom w:val="single" w:color="auto" w:sz="6" w:space="0"/>
              <w:right w:val="single" w:color="auto" w:sz="6" w:space="0"/>
            </w:tcBorders>
            <w:noWrap w:val="0"/>
            <w:vAlign w:val="center"/>
          </w:tcPr>
          <w:p w14:paraId="315BAB34">
            <w:pPr>
              <w:widowControl/>
              <w:spacing w:line="360" w:lineRule="exact"/>
              <w:jc w:val="left"/>
              <w:rPr>
                <w:rFonts w:ascii="宋体" w:hAnsi="宋体" w:cs="宋体"/>
                <w:kern w:val="0"/>
                <w:sz w:val="20"/>
                <w:szCs w:val="20"/>
              </w:rPr>
            </w:pPr>
            <w:r>
              <w:rPr>
                <w:rFonts w:hint="eastAsia" w:ascii="宋体" w:hAnsi="宋体" w:cs="宋体"/>
                <w:kern w:val="0"/>
                <w:sz w:val="20"/>
                <w:szCs w:val="20"/>
              </w:rPr>
              <w:t>216发生政策性搬迁且停止生产经营无所得年度</w:t>
            </w:r>
          </w:p>
        </w:tc>
        <w:tc>
          <w:tcPr>
            <w:tcW w:w="755" w:type="dxa"/>
            <w:tcBorders>
              <w:top w:val="single" w:color="auto" w:sz="6" w:space="0"/>
              <w:left w:val="single" w:color="auto" w:sz="6" w:space="0"/>
              <w:bottom w:val="single" w:color="auto" w:sz="6" w:space="0"/>
              <w:right w:val="single" w:color="auto" w:sz="4" w:space="0"/>
            </w:tcBorders>
            <w:noWrap w:val="0"/>
            <w:vAlign w:val="center"/>
          </w:tcPr>
          <w:p w14:paraId="7ECBC434">
            <w:pPr>
              <w:widowControl/>
              <w:spacing w:line="360" w:lineRule="exact"/>
              <w:rPr>
                <w:rFonts w:ascii="宋体" w:hAnsi="宋体" w:cs="宋体"/>
                <w:kern w:val="0"/>
                <w:sz w:val="20"/>
                <w:szCs w:val="20"/>
              </w:rPr>
            </w:pPr>
            <w:r>
              <w:rPr>
                <w:rFonts w:hint="eastAsia" w:ascii="宋体" w:hAnsi="宋体" w:cs="宋体"/>
                <w:kern w:val="0"/>
                <w:sz w:val="20"/>
                <w:szCs w:val="20"/>
              </w:rPr>
              <w:t>□是</w:t>
            </w:r>
          </w:p>
        </w:tc>
        <w:tc>
          <w:tcPr>
            <w:tcW w:w="4568" w:type="dxa"/>
            <w:gridSpan w:val="4"/>
            <w:tcBorders>
              <w:top w:val="single" w:color="auto" w:sz="6" w:space="0"/>
              <w:left w:val="single" w:color="auto" w:sz="4" w:space="0"/>
              <w:bottom w:val="single" w:color="auto" w:sz="6" w:space="0"/>
              <w:right w:val="single" w:color="auto" w:sz="6" w:space="0"/>
            </w:tcBorders>
            <w:noWrap w:val="0"/>
            <w:vAlign w:val="center"/>
          </w:tcPr>
          <w:p w14:paraId="5694FB9F">
            <w:pPr>
              <w:widowControl/>
              <w:spacing w:line="360" w:lineRule="exact"/>
              <w:rPr>
                <w:rFonts w:ascii="宋体" w:hAnsi="宋体" w:cs="宋体"/>
                <w:kern w:val="0"/>
                <w:sz w:val="20"/>
                <w:szCs w:val="20"/>
              </w:rPr>
            </w:pPr>
            <w:r>
              <w:rPr>
                <w:rFonts w:hint="eastAsia" w:ascii="宋体" w:hAnsi="宋体" w:cs="宋体"/>
                <w:kern w:val="0"/>
                <w:sz w:val="20"/>
                <w:szCs w:val="20"/>
              </w:rPr>
              <w:t>217政策性搬迁损失分期扣除年度</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052B1C7E">
            <w:pPr>
              <w:widowControl/>
              <w:spacing w:line="360" w:lineRule="exact"/>
              <w:rPr>
                <w:rFonts w:ascii="宋体" w:hAnsi="宋体" w:cs="宋体"/>
                <w:kern w:val="0"/>
                <w:sz w:val="20"/>
                <w:szCs w:val="20"/>
                <w:u w:val="single"/>
              </w:rPr>
            </w:pPr>
            <w:r>
              <w:rPr>
                <w:rFonts w:hint="eastAsia" w:ascii="宋体" w:hAnsi="宋体" w:cs="宋体"/>
                <w:kern w:val="0"/>
                <w:sz w:val="20"/>
                <w:szCs w:val="20"/>
              </w:rPr>
              <w:t>□是</w:t>
            </w:r>
          </w:p>
        </w:tc>
      </w:tr>
      <w:tr w14:paraId="05773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22" w:type="dxa"/>
            <w:gridSpan w:val="6"/>
            <w:tcBorders>
              <w:top w:val="single" w:color="auto" w:sz="6" w:space="0"/>
              <w:left w:val="single" w:color="auto" w:sz="12" w:space="0"/>
              <w:bottom w:val="single" w:color="auto" w:sz="6" w:space="0"/>
              <w:right w:val="single" w:color="auto" w:sz="6" w:space="0"/>
            </w:tcBorders>
            <w:noWrap w:val="0"/>
            <w:vAlign w:val="center"/>
          </w:tcPr>
          <w:p w14:paraId="1BE15E8A">
            <w:pPr>
              <w:widowControl/>
              <w:spacing w:line="360" w:lineRule="exact"/>
              <w:jc w:val="left"/>
              <w:rPr>
                <w:rFonts w:ascii="宋体" w:hAnsi="宋体" w:cs="宋体"/>
                <w:kern w:val="0"/>
                <w:sz w:val="20"/>
                <w:szCs w:val="20"/>
              </w:rPr>
            </w:pPr>
            <w:r>
              <w:rPr>
                <w:rFonts w:hint="eastAsia" w:ascii="宋体" w:hAnsi="宋体" w:cs="宋体"/>
                <w:kern w:val="0"/>
                <w:sz w:val="20"/>
                <w:szCs w:val="20"/>
              </w:rPr>
              <w:t>218发生非货币性资产对外投资递延纳税事项</w:t>
            </w:r>
          </w:p>
        </w:tc>
        <w:tc>
          <w:tcPr>
            <w:tcW w:w="755" w:type="dxa"/>
            <w:tcBorders>
              <w:top w:val="single" w:color="auto" w:sz="6" w:space="0"/>
              <w:left w:val="single" w:color="auto" w:sz="6" w:space="0"/>
              <w:bottom w:val="single" w:color="auto" w:sz="6" w:space="0"/>
              <w:right w:val="single" w:color="auto" w:sz="4" w:space="0"/>
            </w:tcBorders>
            <w:noWrap w:val="0"/>
            <w:vAlign w:val="center"/>
          </w:tcPr>
          <w:p w14:paraId="137EC043">
            <w:pPr>
              <w:widowControl/>
              <w:spacing w:line="360" w:lineRule="exact"/>
              <w:rPr>
                <w:rFonts w:ascii="宋体" w:hAnsi="宋体" w:cs="宋体"/>
                <w:kern w:val="0"/>
                <w:sz w:val="20"/>
                <w:szCs w:val="20"/>
              </w:rPr>
            </w:pPr>
            <w:r>
              <w:rPr>
                <w:rFonts w:hint="eastAsia" w:ascii="宋体" w:hAnsi="宋体" w:cs="宋体"/>
                <w:kern w:val="0"/>
                <w:sz w:val="20"/>
                <w:szCs w:val="20"/>
              </w:rPr>
              <w:t>□是</w:t>
            </w:r>
          </w:p>
        </w:tc>
        <w:tc>
          <w:tcPr>
            <w:tcW w:w="4568" w:type="dxa"/>
            <w:gridSpan w:val="4"/>
            <w:tcBorders>
              <w:top w:val="single" w:color="auto" w:sz="6" w:space="0"/>
              <w:left w:val="single" w:color="auto" w:sz="4" w:space="0"/>
              <w:bottom w:val="single" w:color="auto" w:sz="6" w:space="0"/>
              <w:right w:val="single" w:color="auto" w:sz="6" w:space="0"/>
            </w:tcBorders>
            <w:noWrap w:val="0"/>
            <w:vAlign w:val="center"/>
          </w:tcPr>
          <w:p w14:paraId="0533134E">
            <w:pPr>
              <w:widowControl/>
              <w:spacing w:line="240" w:lineRule="exact"/>
              <w:rPr>
                <w:rFonts w:ascii="宋体" w:hAnsi="宋体" w:cs="宋体"/>
                <w:kern w:val="0"/>
                <w:sz w:val="20"/>
                <w:szCs w:val="20"/>
              </w:rPr>
            </w:pPr>
            <w:r>
              <w:rPr>
                <w:rFonts w:hint="eastAsia" w:ascii="宋体" w:hAnsi="宋体" w:cs="宋体"/>
                <w:kern w:val="0"/>
                <w:sz w:val="20"/>
                <w:szCs w:val="20"/>
              </w:rPr>
              <w:t>219非货币性资产对外投资转让所得递延纳税年度</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511576FB">
            <w:pPr>
              <w:widowControl/>
              <w:spacing w:line="360" w:lineRule="exact"/>
              <w:rPr>
                <w:rFonts w:ascii="宋体" w:hAnsi="宋体" w:cs="宋体"/>
                <w:kern w:val="0"/>
                <w:sz w:val="20"/>
                <w:szCs w:val="20"/>
                <w:u w:val="single"/>
              </w:rPr>
            </w:pPr>
            <w:r>
              <w:rPr>
                <w:rFonts w:hint="eastAsia" w:ascii="宋体" w:hAnsi="宋体" w:cs="宋体"/>
                <w:kern w:val="0"/>
                <w:sz w:val="20"/>
                <w:szCs w:val="20"/>
              </w:rPr>
              <w:t>□是</w:t>
            </w:r>
          </w:p>
        </w:tc>
      </w:tr>
      <w:tr w14:paraId="7C5E4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22" w:type="dxa"/>
            <w:gridSpan w:val="6"/>
            <w:tcBorders>
              <w:top w:val="single" w:color="auto" w:sz="6" w:space="0"/>
              <w:left w:val="single" w:color="auto" w:sz="12" w:space="0"/>
              <w:bottom w:val="single" w:color="auto" w:sz="6" w:space="0"/>
              <w:right w:val="single" w:color="auto" w:sz="6" w:space="0"/>
            </w:tcBorders>
            <w:noWrap w:val="0"/>
            <w:vAlign w:val="center"/>
          </w:tcPr>
          <w:p w14:paraId="18535DE4">
            <w:pPr>
              <w:widowControl/>
              <w:spacing w:line="360" w:lineRule="exact"/>
              <w:jc w:val="left"/>
              <w:rPr>
                <w:rFonts w:ascii="宋体" w:hAnsi="宋体" w:cs="宋体"/>
                <w:kern w:val="0"/>
                <w:sz w:val="20"/>
                <w:szCs w:val="20"/>
              </w:rPr>
            </w:pPr>
            <w:r>
              <w:rPr>
                <w:rFonts w:hint="eastAsia" w:ascii="宋体" w:hAnsi="宋体" w:cs="宋体"/>
                <w:kern w:val="0"/>
                <w:sz w:val="20"/>
                <w:szCs w:val="20"/>
              </w:rPr>
              <w:t>220发生技术成果投资入股递延纳税事项</w:t>
            </w:r>
          </w:p>
        </w:tc>
        <w:tc>
          <w:tcPr>
            <w:tcW w:w="755" w:type="dxa"/>
            <w:tcBorders>
              <w:top w:val="single" w:color="auto" w:sz="6" w:space="0"/>
              <w:left w:val="single" w:color="auto" w:sz="6" w:space="0"/>
              <w:bottom w:val="single" w:color="auto" w:sz="6" w:space="0"/>
              <w:right w:val="single" w:color="auto" w:sz="4" w:space="0"/>
            </w:tcBorders>
            <w:noWrap w:val="0"/>
            <w:vAlign w:val="center"/>
          </w:tcPr>
          <w:p w14:paraId="03C03D96">
            <w:pPr>
              <w:widowControl/>
              <w:spacing w:line="360" w:lineRule="exact"/>
              <w:rPr>
                <w:rFonts w:ascii="宋体" w:hAnsi="宋体" w:cs="宋体"/>
                <w:kern w:val="0"/>
                <w:sz w:val="20"/>
                <w:szCs w:val="20"/>
              </w:rPr>
            </w:pPr>
            <w:r>
              <w:rPr>
                <w:rFonts w:hint="eastAsia" w:ascii="宋体" w:hAnsi="宋体" w:cs="宋体"/>
                <w:kern w:val="0"/>
                <w:sz w:val="20"/>
                <w:szCs w:val="20"/>
              </w:rPr>
              <w:t>□是</w:t>
            </w:r>
          </w:p>
        </w:tc>
        <w:tc>
          <w:tcPr>
            <w:tcW w:w="4568" w:type="dxa"/>
            <w:gridSpan w:val="4"/>
            <w:tcBorders>
              <w:top w:val="single" w:color="auto" w:sz="6" w:space="0"/>
              <w:left w:val="single" w:color="auto" w:sz="4" w:space="0"/>
              <w:bottom w:val="single" w:color="auto" w:sz="6" w:space="0"/>
              <w:right w:val="single" w:color="auto" w:sz="6" w:space="0"/>
            </w:tcBorders>
            <w:noWrap w:val="0"/>
            <w:vAlign w:val="center"/>
          </w:tcPr>
          <w:p w14:paraId="3F9CF8A2">
            <w:pPr>
              <w:widowControl/>
              <w:spacing w:line="360" w:lineRule="exact"/>
              <w:rPr>
                <w:rFonts w:ascii="宋体" w:hAnsi="宋体" w:cs="宋体"/>
                <w:kern w:val="0"/>
                <w:sz w:val="20"/>
                <w:szCs w:val="20"/>
              </w:rPr>
            </w:pPr>
            <w:r>
              <w:rPr>
                <w:rFonts w:hint="eastAsia" w:ascii="宋体" w:hAnsi="宋体" w:cs="宋体"/>
                <w:kern w:val="0"/>
                <w:sz w:val="20"/>
                <w:szCs w:val="20"/>
              </w:rPr>
              <w:t>221技术成果投资入股递延纳税年度</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147DDE71">
            <w:pPr>
              <w:widowControl/>
              <w:spacing w:line="360" w:lineRule="exact"/>
              <w:rPr>
                <w:rFonts w:ascii="宋体" w:hAnsi="宋体" w:cs="宋体"/>
                <w:kern w:val="0"/>
                <w:sz w:val="20"/>
                <w:szCs w:val="20"/>
                <w:u w:val="single"/>
              </w:rPr>
            </w:pPr>
            <w:r>
              <w:rPr>
                <w:rFonts w:hint="eastAsia" w:ascii="宋体" w:hAnsi="宋体" w:cs="宋体"/>
                <w:kern w:val="0"/>
                <w:sz w:val="20"/>
                <w:szCs w:val="20"/>
              </w:rPr>
              <w:t>□是</w:t>
            </w:r>
          </w:p>
        </w:tc>
      </w:tr>
      <w:tr w14:paraId="61064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422" w:type="dxa"/>
            <w:gridSpan w:val="6"/>
            <w:tcBorders>
              <w:top w:val="single" w:color="auto" w:sz="6" w:space="0"/>
              <w:left w:val="single" w:color="auto" w:sz="12" w:space="0"/>
              <w:bottom w:val="single" w:color="auto" w:sz="6" w:space="0"/>
              <w:right w:val="single" w:color="auto" w:sz="6" w:space="0"/>
            </w:tcBorders>
            <w:noWrap w:val="0"/>
            <w:vAlign w:val="center"/>
          </w:tcPr>
          <w:p w14:paraId="31074D1F">
            <w:pPr>
              <w:widowControl/>
              <w:spacing w:line="360" w:lineRule="exact"/>
              <w:jc w:val="left"/>
              <w:rPr>
                <w:rFonts w:ascii="宋体"/>
                <w:kern w:val="0"/>
                <w:sz w:val="20"/>
                <w:szCs w:val="20"/>
              </w:rPr>
            </w:pPr>
            <w:r>
              <w:rPr>
                <w:rFonts w:hint="eastAsia" w:ascii="宋体" w:hAnsi="宋体" w:cs="宋体"/>
                <w:kern w:val="0"/>
                <w:sz w:val="20"/>
                <w:szCs w:val="20"/>
              </w:rPr>
              <w:t>222发生资产（股权）划转特殊性税务处理事项</w:t>
            </w:r>
          </w:p>
        </w:tc>
        <w:tc>
          <w:tcPr>
            <w:tcW w:w="755" w:type="dxa"/>
            <w:tcBorders>
              <w:top w:val="single" w:color="auto" w:sz="6" w:space="0"/>
              <w:left w:val="single" w:color="auto" w:sz="6" w:space="0"/>
              <w:bottom w:val="single" w:color="auto" w:sz="6" w:space="0"/>
              <w:right w:val="single" w:color="auto" w:sz="4" w:space="0"/>
            </w:tcBorders>
            <w:noWrap w:val="0"/>
            <w:vAlign w:val="center"/>
          </w:tcPr>
          <w:p w14:paraId="530BBA5D">
            <w:pPr>
              <w:widowControl/>
              <w:spacing w:line="360" w:lineRule="exact"/>
              <w:rPr>
                <w:rFonts w:ascii="宋体"/>
                <w:kern w:val="0"/>
                <w:sz w:val="20"/>
                <w:szCs w:val="20"/>
              </w:rPr>
            </w:pPr>
            <w:r>
              <w:rPr>
                <w:rFonts w:hint="eastAsia" w:ascii="宋体" w:hAnsi="宋体" w:cs="宋体"/>
                <w:kern w:val="0"/>
                <w:sz w:val="20"/>
                <w:szCs w:val="20"/>
              </w:rPr>
              <w:t>□是</w:t>
            </w:r>
          </w:p>
        </w:tc>
        <w:tc>
          <w:tcPr>
            <w:tcW w:w="4568" w:type="dxa"/>
            <w:gridSpan w:val="4"/>
            <w:tcBorders>
              <w:top w:val="single" w:color="auto" w:sz="6" w:space="0"/>
              <w:left w:val="single" w:color="auto" w:sz="4" w:space="0"/>
              <w:bottom w:val="single" w:color="auto" w:sz="6" w:space="0"/>
              <w:right w:val="single" w:color="auto" w:sz="6" w:space="0"/>
            </w:tcBorders>
            <w:noWrap w:val="0"/>
            <w:vAlign w:val="center"/>
          </w:tcPr>
          <w:p w14:paraId="093B1005">
            <w:pPr>
              <w:widowControl/>
              <w:spacing w:line="360" w:lineRule="exact"/>
              <w:rPr>
                <w:rFonts w:ascii="宋体"/>
                <w:kern w:val="0"/>
                <w:sz w:val="20"/>
                <w:szCs w:val="20"/>
              </w:rPr>
            </w:pPr>
            <w:r>
              <w:rPr>
                <w:rFonts w:hint="eastAsia" w:ascii="宋体" w:hAnsi="宋体" w:cs="宋体"/>
                <w:kern w:val="0"/>
                <w:sz w:val="20"/>
                <w:szCs w:val="20"/>
              </w:rPr>
              <w:t>223债务重组所得递延纳税年度</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754A3561">
            <w:pPr>
              <w:widowControl/>
              <w:spacing w:line="360" w:lineRule="exact"/>
              <w:rPr>
                <w:rFonts w:ascii="宋体"/>
                <w:kern w:val="0"/>
                <w:sz w:val="20"/>
                <w:szCs w:val="20"/>
              </w:rPr>
            </w:pPr>
            <w:r>
              <w:rPr>
                <w:rFonts w:hint="eastAsia" w:ascii="宋体" w:hAnsi="宋体" w:cs="宋体"/>
                <w:kern w:val="0"/>
                <w:sz w:val="20"/>
                <w:szCs w:val="20"/>
              </w:rPr>
              <w:t>□是</w:t>
            </w:r>
          </w:p>
        </w:tc>
      </w:tr>
      <w:tr w14:paraId="384C0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795" w:type="dxa"/>
            <w:gridSpan w:val="12"/>
            <w:tcBorders>
              <w:top w:val="single" w:color="auto" w:sz="12" w:space="0"/>
              <w:left w:val="single" w:color="auto" w:sz="12" w:space="0"/>
              <w:bottom w:val="single" w:color="auto" w:sz="6" w:space="0"/>
              <w:right w:val="single" w:color="auto" w:sz="12" w:space="0"/>
            </w:tcBorders>
            <w:noWrap w:val="0"/>
            <w:vAlign w:val="center"/>
          </w:tcPr>
          <w:p w14:paraId="5C73396C">
            <w:pPr>
              <w:widowControl/>
              <w:spacing w:line="300" w:lineRule="exact"/>
              <w:jc w:val="center"/>
              <w:rPr>
                <w:rFonts w:ascii="宋体"/>
                <w:b/>
                <w:bCs/>
                <w:kern w:val="0"/>
                <w:sz w:val="20"/>
                <w:szCs w:val="20"/>
              </w:rPr>
            </w:pPr>
            <w:r>
              <w:rPr>
                <w:rFonts w:hint="eastAsia" w:ascii="宋体" w:hAnsi="宋体" w:cs="宋体"/>
                <w:b/>
                <w:bCs/>
                <w:kern w:val="0"/>
                <w:sz w:val="20"/>
                <w:szCs w:val="20"/>
              </w:rPr>
              <w:t>主要股东及分红情况（必填项目）</w:t>
            </w:r>
          </w:p>
        </w:tc>
      </w:tr>
      <w:tr w14:paraId="40880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2A5A8812">
            <w:pPr>
              <w:widowControl/>
              <w:spacing w:line="240" w:lineRule="exact"/>
              <w:jc w:val="center"/>
              <w:rPr>
                <w:rFonts w:ascii="宋体"/>
                <w:kern w:val="0"/>
                <w:sz w:val="20"/>
                <w:szCs w:val="20"/>
              </w:rPr>
            </w:pPr>
            <w:r>
              <w:rPr>
                <w:rFonts w:hint="eastAsia" w:ascii="宋体" w:hAnsi="宋体" w:cs="宋体"/>
                <w:kern w:val="0"/>
                <w:sz w:val="20"/>
                <w:szCs w:val="20"/>
              </w:rPr>
              <w:t>股东名称</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1E3EA718">
            <w:pPr>
              <w:widowControl/>
              <w:spacing w:line="240" w:lineRule="exact"/>
              <w:jc w:val="center"/>
              <w:rPr>
                <w:rFonts w:ascii="宋体"/>
                <w:kern w:val="0"/>
                <w:sz w:val="20"/>
                <w:szCs w:val="20"/>
              </w:rPr>
            </w:pPr>
            <w:r>
              <w:rPr>
                <w:rFonts w:hint="eastAsia" w:ascii="宋体" w:hAnsi="宋体" w:cs="宋体"/>
                <w:kern w:val="0"/>
                <w:sz w:val="20"/>
                <w:szCs w:val="20"/>
              </w:rPr>
              <w:t>证件种类</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72188BBE">
            <w:pPr>
              <w:widowControl/>
              <w:spacing w:line="240" w:lineRule="exact"/>
              <w:jc w:val="center"/>
              <w:rPr>
                <w:rFonts w:ascii="宋体"/>
                <w:kern w:val="0"/>
                <w:sz w:val="20"/>
                <w:szCs w:val="20"/>
              </w:rPr>
            </w:pPr>
            <w:r>
              <w:rPr>
                <w:rFonts w:hint="eastAsia" w:ascii="宋体" w:hAnsi="宋体" w:cs="宋体"/>
                <w:kern w:val="0"/>
                <w:sz w:val="20"/>
                <w:szCs w:val="20"/>
              </w:rPr>
              <w:t>证件号码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605CAC16">
            <w:pPr>
              <w:widowControl/>
              <w:spacing w:line="240" w:lineRule="exact"/>
              <w:jc w:val="center"/>
              <w:rPr>
                <w:rFonts w:ascii="宋体"/>
                <w:kern w:val="0"/>
                <w:sz w:val="20"/>
                <w:szCs w:val="20"/>
              </w:rPr>
            </w:pPr>
            <w:r>
              <w:rPr>
                <w:rFonts w:hint="eastAsia" w:ascii="宋体" w:hAnsi="宋体" w:cs="宋体"/>
                <w:kern w:val="0"/>
                <w:sz w:val="20"/>
                <w:szCs w:val="20"/>
              </w:rPr>
              <w:t>投资比例（%）</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1AA5A183">
            <w:pPr>
              <w:widowControl/>
              <w:spacing w:line="240" w:lineRule="exact"/>
              <w:jc w:val="center"/>
              <w:rPr>
                <w:rFonts w:ascii="宋体"/>
                <w:kern w:val="0"/>
                <w:sz w:val="20"/>
                <w:szCs w:val="20"/>
              </w:rPr>
            </w:pPr>
            <w:r>
              <w:rPr>
                <w:rFonts w:hint="eastAsia" w:ascii="宋体" w:hAnsi="宋体" w:cs="宋体"/>
                <w:kern w:val="0"/>
                <w:sz w:val="20"/>
                <w:szCs w:val="20"/>
              </w:rPr>
              <w:t>当年（决议日）分配的股息、红利等权益性投资收益金额</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137804BB">
            <w:pPr>
              <w:widowControl/>
              <w:spacing w:line="240" w:lineRule="exact"/>
              <w:jc w:val="center"/>
              <w:rPr>
                <w:rFonts w:ascii="宋体"/>
                <w:kern w:val="0"/>
                <w:sz w:val="20"/>
                <w:szCs w:val="20"/>
              </w:rPr>
            </w:pPr>
            <w:r>
              <w:rPr>
                <w:rFonts w:hint="eastAsia" w:ascii="宋体" w:hAnsi="宋体" w:cs="宋体"/>
                <w:kern w:val="0"/>
                <w:sz w:val="20"/>
                <w:szCs w:val="20"/>
              </w:rPr>
              <w:t>国籍（注册地址）</w:t>
            </w:r>
          </w:p>
        </w:tc>
      </w:tr>
      <w:tr w14:paraId="20963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5429AC69">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31E53FFD">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28377109">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719B3525">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57C4CD9E">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0C4CA20E">
            <w:pPr>
              <w:widowControl/>
              <w:spacing w:line="360" w:lineRule="exact"/>
              <w:rPr>
                <w:rFonts w:ascii="宋体"/>
                <w:kern w:val="0"/>
                <w:sz w:val="20"/>
                <w:szCs w:val="20"/>
              </w:rPr>
            </w:pPr>
            <w:r>
              <w:rPr>
                <w:rFonts w:hint="eastAsia" w:ascii="宋体" w:hAnsi="宋体" w:cs="宋体"/>
                <w:kern w:val="0"/>
                <w:sz w:val="20"/>
                <w:szCs w:val="20"/>
              </w:rPr>
              <w:t>　</w:t>
            </w:r>
          </w:p>
        </w:tc>
      </w:tr>
      <w:tr w14:paraId="704B1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642DF8F5">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710178A7">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1B458893">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7192D431">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1B077B86">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1528B648">
            <w:pPr>
              <w:widowControl/>
              <w:spacing w:line="360" w:lineRule="exact"/>
              <w:rPr>
                <w:rFonts w:ascii="宋体"/>
                <w:kern w:val="0"/>
                <w:sz w:val="20"/>
                <w:szCs w:val="20"/>
              </w:rPr>
            </w:pPr>
            <w:r>
              <w:rPr>
                <w:rFonts w:hint="eastAsia" w:ascii="宋体" w:hAnsi="宋体" w:cs="宋体"/>
                <w:kern w:val="0"/>
                <w:sz w:val="20"/>
                <w:szCs w:val="20"/>
              </w:rPr>
              <w:t>　</w:t>
            </w:r>
          </w:p>
        </w:tc>
      </w:tr>
      <w:tr w14:paraId="7F213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2D073E54">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3789B1FF">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6506B985">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2592F36E">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2E36283E">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0E00D996">
            <w:pPr>
              <w:widowControl/>
              <w:spacing w:line="360" w:lineRule="exact"/>
              <w:rPr>
                <w:rFonts w:ascii="宋体"/>
                <w:kern w:val="0"/>
                <w:sz w:val="20"/>
                <w:szCs w:val="20"/>
              </w:rPr>
            </w:pPr>
            <w:r>
              <w:rPr>
                <w:rFonts w:hint="eastAsia" w:ascii="宋体" w:hAnsi="宋体" w:cs="宋体"/>
                <w:kern w:val="0"/>
                <w:sz w:val="20"/>
                <w:szCs w:val="20"/>
              </w:rPr>
              <w:t>　</w:t>
            </w:r>
          </w:p>
        </w:tc>
      </w:tr>
      <w:tr w14:paraId="0A185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023A6A03">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3A75C246">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2D4AB95E">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71F2C673">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1EE498D4">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7CE6728D">
            <w:pPr>
              <w:widowControl/>
              <w:spacing w:line="360" w:lineRule="exact"/>
              <w:rPr>
                <w:rFonts w:ascii="宋体"/>
                <w:kern w:val="0"/>
                <w:sz w:val="20"/>
                <w:szCs w:val="20"/>
              </w:rPr>
            </w:pPr>
            <w:r>
              <w:rPr>
                <w:rFonts w:hint="eastAsia" w:ascii="宋体" w:hAnsi="宋体" w:cs="宋体"/>
                <w:kern w:val="0"/>
                <w:sz w:val="20"/>
                <w:szCs w:val="20"/>
              </w:rPr>
              <w:t>　</w:t>
            </w:r>
          </w:p>
        </w:tc>
      </w:tr>
      <w:tr w14:paraId="27BE5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008C7C8F">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4F870A8A">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2514DC91">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17632BB4">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7B40A8FA">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598729FF">
            <w:pPr>
              <w:widowControl/>
              <w:spacing w:line="360" w:lineRule="exact"/>
              <w:rPr>
                <w:rFonts w:ascii="宋体"/>
                <w:kern w:val="0"/>
                <w:sz w:val="20"/>
                <w:szCs w:val="20"/>
              </w:rPr>
            </w:pPr>
            <w:r>
              <w:rPr>
                <w:rFonts w:hint="eastAsia" w:ascii="宋体" w:hAnsi="宋体" w:cs="宋体"/>
                <w:kern w:val="0"/>
                <w:sz w:val="20"/>
                <w:szCs w:val="20"/>
              </w:rPr>
              <w:t>　</w:t>
            </w:r>
          </w:p>
        </w:tc>
      </w:tr>
      <w:tr w14:paraId="2663C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639DD21C">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6B8747EA">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268EBC1F">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241431A6">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3132F7E0">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0AF4D1A7">
            <w:pPr>
              <w:widowControl/>
              <w:spacing w:line="360" w:lineRule="exact"/>
              <w:rPr>
                <w:rFonts w:ascii="宋体"/>
                <w:kern w:val="0"/>
                <w:sz w:val="20"/>
                <w:szCs w:val="20"/>
              </w:rPr>
            </w:pPr>
            <w:r>
              <w:rPr>
                <w:rFonts w:hint="eastAsia" w:ascii="宋体" w:hAnsi="宋体" w:cs="宋体"/>
                <w:kern w:val="0"/>
                <w:sz w:val="20"/>
                <w:szCs w:val="20"/>
              </w:rPr>
              <w:t>　</w:t>
            </w:r>
          </w:p>
        </w:tc>
      </w:tr>
      <w:tr w14:paraId="0B5AC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30E29074">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2BD8AF67">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3F7CE775">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2FD786E0">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4393C725">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1A47D5C4">
            <w:pPr>
              <w:widowControl/>
              <w:spacing w:line="360" w:lineRule="exact"/>
              <w:rPr>
                <w:rFonts w:ascii="宋体"/>
                <w:kern w:val="0"/>
                <w:sz w:val="20"/>
                <w:szCs w:val="20"/>
              </w:rPr>
            </w:pPr>
            <w:r>
              <w:rPr>
                <w:rFonts w:hint="eastAsia" w:ascii="宋体" w:hAnsi="宋体" w:cs="宋体"/>
                <w:kern w:val="0"/>
                <w:sz w:val="20"/>
                <w:szCs w:val="20"/>
              </w:rPr>
              <w:t>　</w:t>
            </w:r>
          </w:p>
        </w:tc>
      </w:tr>
      <w:tr w14:paraId="2E326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14C2EF21">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6D667995">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6F9B9E84">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069972B0">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45071DE0">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7F4B5B9F">
            <w:pPr>
              <w:widowControl/>
              <w:spacing w:line="360" w:lineRule="exact"/>
              <w:rPr>
                <w:rFonts w:ascii="宋体"/>
                <w:kern w:val="0"/>
                <w:sz w:val="20"/>
                <w:szCs w:val="20"/>
              </w:rPr>
            </w:pPr>
            <w:r>
              <w:rPr>
                <w:rFonts w:hint="eastAsia" w:ascii="宋体" w:hAnsi="宋体" w:cs="宋体"/>
                <w:kern w:val="0"/>
                <w:sz w:val="20"/>
                <w:szCs w:val="20"/>
              </w:rPr>
              <w:t>　</w:t>
            </w:r>
          </w:p>
        </w:tc>
      </w:tr>
      <w:tr w14:paraId="3569F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370BF1C7">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41DCCC28">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4038767B">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5F7DEEA0">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18543C7B">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7A844A53">
            <w:pPr>
              <w:widowControl/>
              <w:spacing w:line="360" w:lineRule="exact"/>
              <w:rPr>
                <w:rFonts w:ascii="宋体"/>
                <w:kern w:val="0"/>
                <w:sz w:val="20"/>
                <w:szCs w:val="20"/>
              </w:rPr>
            </w:pPr>
            <w:r>
              <w:rPr>
                <w:rFonts w:hint="eastAsia" w:ascii="宋体" w:hAnsi="宋体" w:cs="宋体"/>
                <w:kern w:val="0"/>
                <w:sz w:val="20"/>
                <w:szCs w:val="20"/>
              </w:rPr>
              <w:t>　</w:t>
            </w:r>
          </w:p>
        </w:tc>
      </w:tr>
      <w:tr w14:paraId="2F4B8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94" w:type="dxa"/>
            <w:gridSpan w:val="2"/>
            <w:tcBorders>
              <w:top w:val="single" w:color="auto" w:sz="6" w:space="0"/>
              <w:left w:val="single" w:color="auto" w:sz="12" w:space="0"/>
              <w:bottom w:val="single" w:color="auto" w:sz="6" w:space="0"/>
              <w:right w:val="single" w:color="auto" w:sz="6" w:space="0"/>
            </w:tcBorders>
            <w:noWrap w:val="0"/>
            <w:vAlign w:val="center"/>
          </w:tcPr>
          <w:p w14:paraId="15037CBA">
            <w:pPr>
              <w:widowControl/>
              <w:spacing w:line="360" w:lineRule="exact"/>
              <w:rPr>
                <w:rFonts w:ascii="宋体"/>
                <w:kern w:val="0"/>
                <w:sz w:val="20"/>
                <w:szCs w:val="20"/>
              </w:rPr>
            </w:pPr>
            <w:r>
              <w:rPr>
                <w:rFonts w:hint="eastAsia" w:ascii="宋体" w:hAnsi="宋体" w:cs="宋体"/>
                <w:kern w:val="0"/>
                <w:sz w:val="20"/>
                <w:szCs w:val="20"/>
              </w:rPr>
              <w:t>　</w:t>
            </w:r>
          </w:p>
        </w:tc>
        <w:tc>
          <w:tcPr>
            <w:tcW w:w="1038" w:type="dxa"/>
            <w:tcBorders>
              <w:top w:val="single" w:color="auto" w:sz="6" w:space="0"/>
              <w:left w:val="single" w:color="auto" w:sz="6" w:space="0"/>
              <w:bottom w:val="single" w:color="auto" w:sz="6" w:space="0"/>
              <w:right w:val="single" w:color="auto" w:sz="6" w:space="0"/>
            </w:tcBorders>
            <w:noWrap w:val="0"/>
            <w:vAlign w:val="center"/>
          </w:tcPr>
          <w:p w14:paraId="0AD2DE92">
            <w:pPr>
              <w:widowControl/>
              <w:spacing w:line="360" w:lineRule="exact"/>
              <w:rPr>
                <w:rFonts w:ascii="宋体"/>
                <w:kern w:val="0"/>
                <w:sz w:val="20"/>
                <w:szCs w:val="20"/>
              </w:rPr>
            </w:pPr>
            <w:r>
              <w:rPr>
                <w:rFonts w:hint="eastAsia" w:ascii="宋体" w:hAnsi="宋体" w:cs="宋体"/>
                <w:kern w:val="0"/>
                <w:sz w:val="20"/>
                <w:szCs w:val="20"/>
              </w:rPr>
              <w:t>　</w:t>
            </w:r>
          </w:p>
        </w:tc>
        <w:tc>
          <w:tcPr>
            <w:tcW w:w="2045" w:type="dxa"/>
            <w:gridSpan w:val="4"/>
            <w:tcBorders>
              <w:top w:val="single" w:color="auto" w:sz="6" w:space="0"/>
              <w:left w:val="single" w:color="auto" w:sz="6" w:space="0"/>
              <w:bottom w:val="single" w:color="auto" w:sz="6" w:space="0"/>
              <w:right w:val="single" w:color="auto" w:sz="6" w:space="0"/>
            </w:tcBorders>
            <w:noWrap w:val="0"/>
            <w:vAlign w:val="center"/>
          </w:tcPr>
          <w:p w14:paraId="33A7EB93">
            <w:pPr>
              <w:widowControl/>
              <w:spacing w:line="360" w:lineRule="exact"/>
              <w:rPr>
                <w:rFonts w:ascii="宋体"/>
                <w:kern w:val="0"/>
                <w:sz w:val="20"/>
                <w:szCs w:val="20"/>
              </w:rPr>
            </w:pPr>
            <w:r>
              <w:rPr>
                <w:rFonts w:hint="eastAsia" w:ascii="宋体" w:hAnsi="宋体" w:cs="宋体"/>
                <w:kern w:val="0"/>
                <w:sz w:val="20"/>
                <w:szCs w:val="20"/>
              </w:rPr>
              <w:t>　</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3EACB34A">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6" w:space="0"/>
              <w:right w:val="single" w:color="auto" w:sz="6" w:space="0"/>
            </w:tcBorders>
            <w:noWrap w:val="0"/>
            <w:vAlign w:val="center"/>
          </w:tcPr>
          <w:p w14:paraId="47BBA19D">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6" w:space="0"/>
              <w:right w:val="single" w:color="auto" w:sz="12" w:space="0"/>
            </w:tcBorders>
            <w:noWrap w:val="0"/>
            <w:vAlign w:val="center"/>
          </w:tcPr>
          <w:p w14:paraId="76AD5828">
            <w:pPr>
              <w:widowControl/>
              <w:spacing w:line="360" w:lineRule="exact"/>
              <w:rPr>
                <w:rFonts w:ascii="宋体"/>
                <w:kern w:val="0"/>
                <w:sz w:val="20"/>
                <w:szCs w:val="20"/>
              </w:rPr>
            </w:pPr>
            <w:r>
              <w:rPr>
                <w:rFonts w:hint="eastAsia" w:ascii="宋体" w:hAnsi="宋体" w:cs="宋体"/>
                <w:kern w:val="0"/>
                <w:sz w:val="20"/>
                <w:szCs w:val="20"/>
              </w:rPr>
              <w:t>　</w:t>
            </w:r>
          </w:p>
        </w:tc>
      </w:tr>
      <w:tr w14:paraId="6B680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 w:hRule="atLeast"/>
          <w:jc w:val="center"/>
        </w:trPr>
        <w:tc>
          <w:tcPr>
            <w:tcW w:w="2094" w:type="dxa"/>
            <w:gridSpan w:val="2"/>
            <w:tcBorders>
              <w:top w:val="single" w:color="auto" w:sz="6" w:space="0"/>
              <w:left w:val="single" w:color="auto" w:sz="12" w:space="0"/>
              <w:bottom w:val="single" w:color="auto" w:sz="12" w:space="0"/>
              <w:right w:val="single" w:color="auto" w:sz="6" w:space="0"/>
            </w:tcBorders>
            <w:noWrap w:val="0"/>
            <w:vAlign w:val="center"/>
          </w:tcPr>
          <w:p w14:paraId="06A38E1F">
            <w:pPr>
              <w:widowControl/>
              <w:spacing w:line="360" w:lineRule="exact"/>
              <w:jc w:val="center"/>
              <w:rPr>
                <w:rFonts w:ascii="宋体"/>
                <w:kern w:val="0"/>
                <w:sz w:val="20"/>
                <w:szCs w:val="20"/>
              </w:rPr>
            </w:pPr>
            <w:r>
              <w:rPr>
                <w:rFonts w:hint="eastAsia" w:ascii="宋体" w:hAnsi="宋体" w:cs="宋体"/>
                <w:kern w:val="0"/>
                <w:sz w:val="20"/>
                <w:szCs w:val="20"/>
              </w:rPr>
              <w:t>其余股东合计</w:t>
            </w:r>
          </w:p>
        </w:tc>
        <w:tc>
          <w:tcPr>
            <w:tcW w:w="1038" w:type="dxa"/>
            <w:tcBorders>
              <w:top w:val="single" w:color="auto" w:sz="6" w:space="0"/>
              <w:left w:val="single" w:color="auto" w:sz="6" w:space="0"/>
              <w:bottom w:val="single" w:color="auto" w:sz="12" w:space="0"/>
              <w:right w:val="single" w:color="auto" w:sz="6" w:space="0"/>
            </w:tcBorders>
            <w:noWrap w:val="0"/>
            <w:vAlign w:val="center"/>
          </w:tcPr>
          <w:p w14:paraId="5B1C043D">
            <w:pPr>
              <w:widowControl/>
              <w:spacing w:line="360" w:lineRule="exact"/>
              <w:jc w:val="center"/>
              <w:rPr>
                <w:rFonts w:ascii="宋体"/>
                <w:kern w:val="0"/>
                <w:sz w:val="20"/>
                <w:szCs w:val="20"/>
              </w:rPr>
            </w:pPr>
            <w:r>
              <w:rPr>
                <w:rFonts w:hint="eastAsia" w:ascii="宋体" w:hAnsi="宋体" w:cs="宋体"/>
                <w:kern w:val="0"/>
                <w:sz w:val="20"/>
                <w:szCs w:val="20"/>
              </w:rPr>
              <w:t>——</w:t>
            </w:r>
          </w:p>
        </w:tc>
        <w:tc>
          <w:tcPr>
            <w:tcW w:w="2045" w:type="dxa"/>
            <w:gridSpan w:val="4"/>
            <w:tcBorders>
              <w:top w:val="single" w:color="auto" w:sz="6" w:space="0"/>
              <w:left w:val="single" w:color="auto" w:sz="6" w:space="0"/>
              <w:bottom w:val="single" w:color="auto" w:sz="12" w:space="0"/>
              <w:right w:val="single" w:color="auto" w:sz="6" w:space="0"/>
            </w:tcBorders>
            <w:noWrap w:val="0"/>
            <w:vAlign w:val="center"/>
          </w:tcPr>
          <w:p w14:paraId="17BEDFD0">
            <w:pPr>
              <w:widowControl/>
              <w:spacing w:line="360" w:lineRule="exact"/>
              <w:jc w:val="center"/>
              <w:rPr>
                <w:rFonts w:ascii="宋体"/>
                <w:kern w:val="0"/>
                <w:sz w:val="20"/>
                <w:szCs w:val="20"/>
              </w:rPr>
            </w:pPr>
            <w:r>
              <w:rPr>
                <w:rFonts w:hint="eastAsia" w:ascii="宋体" w:hAnsi="宋体" w:cs="宋体"/>
                <w:kern w:val="0"/>
                <w:sz w:val="20"/>
                <w:szCs w:val="20"/>
              </w:rPr>
              <w:t>——</w:t>
            </w:r>
          </w:p>
        </w:tc>
        <w:tc>
          <w:tcPr>
            <w:tcW w:w="1129" w:type="dxa"/>
            <w:tcBorders>
              <w:top w:val="single" w:color="auto" w:sz="6" w:space="0"/>
              <w:left w:val="single" w:color="auto" w:sz="6" w:space="0"/>
              <w:bottom w:val="single" w:color="auto" w:sz="12" w:space="0"/>
              <w:right w:val="single" w:color="auto" w:sz="6" w:space="0"/>
            </w:tcBorders>
            <w:noWrap w:val="0"/>
            <w:vAlign w:val="center"/>
          </w:tcPr>
          <w:p w14:paraId="3D05831C">
            <w:pPr>
              <w:widowControl/>
              <w:spacing w:line="360" w:lineRule="exact"/>
              <w:rPr>
                <w:rFonts w:ascii="宋体"/>
                <w:kern w:val="0"/>
                <w:sz w:val="20"/>
                <w:szCs w:val="20"/>
              </w:rPr>
            </w:pPr>
            <w:r>
              <w:rPr>
                <w:rFonts w:hint="eastAsia" w:ascii="宋体" w:hAnsi="宋体" w:cs="宋体"/>
                <w:kern w:val="0"/>
                <w:sz w:val="20"/>
                <w:szCs w:val="20"/>
              </w:rPr>
              <w:t>　</w:t>
            </w:r>
          </w:p>
        </w:tc>
        <w:tc>
          <w:tcPr>
            <w:tcW w:w="3439" w:type="dxa"/>
            <w:gridSpan w:val="3"/>
            <w:tcBorders>
              <w:top w:val="single" w:color="auto" w:sz="6" w:space="0"/>
              <w:left w:val="single" w:color="auto" w:sz="6" w:space="0"/>
              <w:bottom w:val="single" w:color="auto" w:sz="12" w:space="0"/>
              <w:right w:val="single" w:color="auto" w:sz="6" w:space="0"/>
            </w:tcBorders>
            <w:noWrap w:val="0"/>
            <w:vAlign w:val="center"/>
          </w:tcPr>
          <w:p w14:paraId="69F4E02E">
            <w:pPr>
              <w:widowControl/>
              <w:spacing w:line="360" w:lineRule="exact"/>
              <w:rPr>
                <w:rFonts w:ascii="宋体"/>
                <w:kern w:val="0"/>
                <w:sz w:val="20"/>
                <w:szCs w:val="20"/>
              </w:rPr>
            </w:pPr>
            <w:r>
              <w:rPr>
                <w:rFonts w:hint="eastAsia" w:ascii="宋体" w:hAnsi="宋体" w:cs="宋体"/>
                <w:kern w:val="0"/>
                <w:sz w:val="20"/>
                <w:szCs w:val="20"/>
              </w:rPr>
              <w:t>　</w:t>
            </w:r>
          </w:p>
        </w:tc>
        <w:tc>
          <w:tcPr>
            <w:tcW w:w="1050" w:type="dxa"/>
            <w:tcBorders>
              <w:top w:val="single" w:color="auto" w:sz="6" w:space="0"/>
              <w:left w:val="single" w:color="auto" w:sz="6" w:space="0"/>
              <w:bottom w:val="single" w:color="auto" w:sz="12" w:space="0"/>
              <w:right w:val="single" w:color="auto" w:sz="12" w:space="0"/>
            </w:tcBorders>
            <w:noWrap w:val="0"/>
            <w:vAlign w:val="center"/>
          </w:tcPr>
          <w:p w14:paraId="1D18EAD1">
            <w:pPr>
              <w:widowControl/>
              <w:spacing w:line="360" w:lineRule="exact"/>
              <w:jc w:val="center"/>
              <w:rPr>
                <w:rFonts w:ascii="宋体"/>
                <w:kern w:val="0"/>
                <w:sz w:val="20"/>
                <w:szCs w:val="20"/>
              </w:rPr>
            </w:pPr>
            <w:r>
              <w:rPr>
                <w:rFonts w:hint="eastAsia" w:ascii="宋体" w:hAnsi="宋体" w:cs="宋体"/>
                <w:kern w:val="0"/>
                <w:sz w:val="20"/>
                <w:szCs w:val="20"/>
              </w:rPr>
              <w:t>——</w:t>
            </w:r>
          </w:p>
        </w:tc>
      </w:tr>
    </w:tbl>
    <w:p w14:paraId="77B11CFF">
      <w:pPr>
        <w:pStyle w:val="7"/>
        <w:sectPr>
          <w:pgSz w:w="11906" w:h="16838"/>
          <w:pgMar w:top="1361" w:right="1418" w:bottom="1418" w:left="1418" w:header="851" w:footer="760" w:gutter="113"/>
          <w:cols w:space="720" w:num="1"/>
          <w:docGrid w:linePitch="312" w:charSpace="0"/>
        </w:sectPr>
      </w:pPr>
    </w:p>
    <w:p w14:paraId="38E121FA">
      <w:pPr>
        <w:pStyle w:val="9"/>
        <w:rPr>
          <w:rFonts w:hint="eastAsia" w:asciiTheme="majorEastAsia" w:hAnsiTheme="majorEastAsia" w:eastAsiaTheme="majorEastAsia" w:cstheme="majorEastAsia"/>
          <w:b/>
          <w:bCs/>
          <w:sz w:val="28"/>
          <w:szCs w:val="28"/>
        </w:rPr>
      </w:pPr>
      <w:bookmarkStart w:id="1" w:name="_Toc24965004"/>
      <w:r>
        <w:rPr>
          <w:rFonts w:hint="eastAsia" w:asciiTheme="majorEastAsia" w:hAnsiTheme="majorEastAsia" w:eastAsiaTheme="majorEastAsia" w:cstheme="majorEastAsia"/>
          <w:b/>
          <w:bCs/>
          <w:sz w:val="28"/>
          <w:szCs w:val="28"/>
        </w:rPr>
        <w:t>A000000</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t>《企业所得税年度纳税申报基础信息表》填报说明</w:t>
      </w:r>
      <w:bookmarkEnd w:id="1"/>
    </w:p>
    <w:p w14:paraId="75DE56B3">
      <w:pPr>
        <w:pStyle w:val="8"/>
      </w:pPr>
      <w:r>
        <w:rPr>
          <w:rFonts w:hint="eastAsia"/>
        </w:rPr>
        <w:t>纳税人在企业所得税年度纳税申报时应当向税务机关申报或者报告与确定应纳税额相关的信息。本表包括基本经营情况、有关涉税事项情况、主要股东及分红情况三部分内容。有关项目填报说明如下：</w:t>
      </w:r>
    </w:p>
    <w:p w14:paraId="3E82EA3D">
      <w:pPr>
        <w:pStyle w:val="10"/>
        <w:ind w:firstLine="482"/>
        <w:rPr>
          <w:rFonts w:cs="Times New Roman"/>
        </w:rPr>
      </w:pPr>
      <w:bookmarkStart w:id="2" w:name="_Toc21711184"/>
      <w:bookmarkStart w:id="3" w:name="_Toc24965005"/>
      <w:bookmarkStart w:id="4" w:name="_Toc21703701"/>
      <w:bookmarkStart w:id="5" w:name="_Toc21712222"/>
      <w:r>
        <w:rPr>
          <w:rFonts w:hint="eastAsia"/>
        </w:rPr>
        <w:t>一、基本经营情况</w:t>
      </w:r>
      <w:bookmarkEnd w:id="2"/>
      <w:bookmarkEnd w:id="3"/>
      <w:bookmarkEnd w:id="4"/>
      <w:bookmarkEnd w:id="5"/>
    </w:p>
    <w:p w14:paraId="5E8F8C92">
      <w:pPr>
        <w:pStyle w:val="8"/>
      </w:pPr>
      <w:r>
        <w:rPr>
          <w:rFonts w:hint="eastAsia"/>
        </w:rPr>
        <w:t>本部分所列项目为纳税人必填（必选）内容。</w:t>
      </w:r>
    </w:p>
    <w:p w14:paraId="56BE7E7D">
      <w:pPr>
        <w:pStyle w:val="8"/>
      </w:pPr>
      <w:r>
        <w:t>1.</w:t>
      </w:r>
      <w:r>
        <w:rPr>
          <w:rFonts w:hint="eastAsia"/>
        </w:rPr>
        <w:t>“</w:t>
      </w:r>
      <w:r>
        <w:t>101</w:t>
      </w:r>
      <w:r>
        <w:rPr>
          <w:rFonts w:hint="eastAsia"/>
        </w:rPr>
        <w:t>纳税申报企业类型”：纳税人根据申报所属期年度的企业经营方式情况，</w:t>
      </w:r>
      <w:bookmarkStart w:id="6" w:name="_Hlk524759629"/>
      <w:r>
        <w:rPr>
          <w:rFonts w:hint="eastAsia"/>
        </w:rPr>
        <w:t>从《跨地区经营企业类型代码表》中选择相应的代码填入本项。</w:t>
      </w:r>
      <w:bookmarkEnd w:id="6"/>
    </w:p>
    <w:p w14:paraId="41254923">
      <w:pPr>
        <w:pStyle w:val="11"/>
        <w:rPr>
          <w:rFonts w:cs="Times New Roman"/>
        </w:rPr>
      </w:pPr>
      <w:r>
        <w:rPr>
          <w:rFonts w:hint="eastAsia"/>
        </w:rPr>
        <w:t>跨地区经营企业类型代码表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670"/>
        <w:gridCol w:w="2499"/>
        <w:gridCol w:w="4360"/>
      </w:tblGrid>
      <w:tr w14:paraId="5C44A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53" w:type="dxa"/>
            <w:vMerge w:val="restart"/>
            <w:noWrap w:val="0"/>
            <w:vAlign w:val="center"/>
          </w:tcPr>
          <w:p w14:paraId="31849B0C">
            <w:pPr>
              <w:widowControl/>
              <w:jc w:val="center"/>
              <w:rPr>
                <w:rFonts w:ascii="宋体" w:cs="宋体"/>
                <w:b/>
                <w:kern w:val="0"/>
                <w:sz w:val="20"/>
                <w:szCs w:val="20"/>
              </w:rPr>
            </w:pPr>
            <w:r>
              <w:rPr>
                <w:rFonts w:hint="eastAsia" w:ascii="宋体" w:hAnsi="宋体" w:cs="宋体"/>
                <w:b/>
                <w:kern w:val="0"/>
                <w:sz w:val="20"/>
                <w:szCs w:val="20"/>
              </w:rPr>
              <w:t>代码</w:t>
            </w:r>
          </w:p>
        </w:tc>
        <w:tc>
          <w:tcPr>
            <w:tcW w:w="8529" w:type="dxa"/>
            <w:gridSpan w:val="3"/>
            <w:noWrap w:val="0"/>
            <w:vAlign w:val="center"/>
          </w:tcPr>
          <w:p w14:paraId="7DCE01E3">
            <w:pPr>
              <w:widowControl/>
              <w:spacing w:line="240" w:lineRule="atLeast"/>
              <w:jc w:val="center"/>
              <w:rPr>
                <w:rFonts w:ascii="宋体" w:cs="宋体"/>
                <w:b/>
                <w:kern w:val="0"/>
                <w:sz w:val="20"/>
                <w:szCs w:val="20"/>
              </w:rPr>
            </w:pPr>
            <w:r>
              <w:rPr>
                <w:rFonts w:hint="eastAsia" w:ascii="宋体" w:hAnsi="宋体" w:cs="宋体"/>
                <w:b/>
                <w:kern w:val="0"/>
                <w:sz w:val="20"/>
                <w:szCs w:val="20"/>
              </w:rPr>
              <w:t>类型</w:t>
            </w:r>
          </w:p>
        </w:tc>
      </w:tr>
      <w:tr w14:paraId="0B388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653" w:type="dxa"/>
            <w:vMerge w:val="continue"/>
            <w:noWrap w:val="0"/>
            <w:vAlign w:val="center"/>
          </w:tcPr>
          <w:p w14:paraId="085ACD84">
            <w:pPr>
              <w:widowControl/>
              <w:jc w:val="center"/>
              <w:rPr>
                <w:rFonts w:ascii="宋体" w:cs="宋体"/>
                <w:b/>
                <w:kern w:val="0"/>
                <w:sz w:val="20"/>
                <w:szCs w:val="20"/>
              </w:rPr>
            </w:pPr>
          </w:p>
        </w:tc>
        <w:tc>
          <w:tcPr>
            <w:tcW w:w="1670" w:type="dxa"/>
            <w:noWrap w:val="0"/>
            <w:vAlign w:val="center"/>
          </w:tcPr>
          <w:p w14:paraId="59E2857A">
            <w:pPr>
              <w:widowControl/>
              <w:jc w:val="center"/>
              <w:rPr>
                <w:rFonts w:ascii="宋体" w:cs="宋体"/>
                <w:b/>
                <w:kern w:val="0"/>
                <w:sz w:val="20"/>
                <w:szCs w:val="20"/>
              </w:rPr>
            </w:pPr>
            <w:r>
              <w:rPr>
                <w:rFonts w:hint="eastAsia" w:ascii="宋体" w:hAnsi="宋体" w:cs="宋体"/>
                <w:b/>
                <w:kern w:val="0"/>
                <w:sz w:val="20"/>
                <w:szCs w:val="20"/>
              </w:rPr>
              <w:t>大类</w:t>
            </w:r>
          </w:p>
        </w:tc>
        <w:tc>
          <w:tcPr>
            <w:tcW w:w="2499" w:type="dxa"/>
            <w:noWrap w:val="0"/>
            <w:vAlign w:val="center"/>
          </w:tcPr>
          <w:p w14:paraId="6CC57A6B">
            <w:pPr>
              <w:widowControl/>
              <w:jc w:val="center"/>
              <w:rPr>
                <w:rFonts w:ascii="宋体" w:cs="宋体"/>
                <w:b/>
                <w:kern w:val="0"/>
                <w:sz w:val="20"/>
                <w:szCs w:val="20"/>
              </w:rPr>
            </w:pPr>
            <w:r>
              <w:rPr>
                <w:rFonts w:hint="eastAsia" w:ascii="宋体" w:hAnsi="宋体" w:cs="宋体"/>
                <w:b/>
                <w:kern w:val="0"/>
                <w:sz w:val="20"/>
                <w:szCs w:val="20"/>
              </w:rPr>
              <w:t>中类</w:t>
            </w:r>
          </w:p>
        </w:tc>
        <w:tc>
          <w:tcPr>
            <w:tcW w:w="4360" w:type="dxa"/>
            <w:noWrap w:val="0"/>
            <w:vAlign w:val="center"/>
          </w:tcPr>
          <w:p w14:paraId="447587AD">
            <w:pPr>
              <w:widowControl/>
              <w:jc w:val="center"/>
              <w:rPr>
                <w:rFonts w:ascii="宋体" w:cs="宋体"/>
                <w:b/>
                <w:kern w:val="0"/>
                <w:sz w:val="20"/>
                <w:szCs w:val="20"/>
              </w:rPr>
            </w:pPr>
            <w:r>
              <w:rPr>
                <w:rFonts w:hint="eastAsia" w:ascii="宋体" w:hAnsi="宋体" w:cs="宋体"/>
                <w:b/>
                <w:kern w:val="0"/>
                <w:sz w:val="20"/>
                <w:szCs w:val="20"/>
              </w:rPr>
              <w:t>小类</w:t>
            </w:r>
          </w:p>
        </w:tc>
      </w:tr>
      <w:tr w14:paraId="641C0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3" w:type="dxa"/>
            <w:noWrap w:val="0"/>
            <w:vAlign w:val="center"/>
          </w:tcPr>
          <w:p w14:paraId="2DE8EE58">
            <w:pPr>
              <w:widowControl/>
              <w:jc w:val="center"/>
              <w:rPr>
                <w:rFonts w:ascii="宋体" w:cs="宋体"/>
                <w:kern w:val="0"/>
                <w:sz w:val="20"/>
                <w:szCs w:val="20"/>
              </w:rPr>
            </w:pPr>
            <w:r>
              <w:rPr>
                <w:rFonts w:ascii="宋体" w:hAnsi="宋体" w:cs="宋体"/>
                <w:kern w:val="0"/>
                <w:sz w:val="20"/>
                <w:szCs w:val="20"/>
              </w:rPr>
              <w:t>100</w:t>
            </w:r>
          </w:p>
        </w:tc>
        <w:tc>
          <w:tcPr>
            <w:tcW w:w="8529" w:type="dxa"/>
            <w:gridSpan w:val="3"/>
            <w:noWrap w:val="0"/>
            <w:vAlign w:val="center"/>
          </w:tcPr>
          <w:p w14:paraId="0FF3D388">
            <w:pPr>
              <w:widowControl/>
              <w:rPr>
                <w:rFonts w:ascii="宋体" w:cs="宋体"/>
                <w:kern w:val="0"/>
                <w:sz w:val="20"/>
                <w:szCs w:val="20"/>
              </w:rPr>
            </w:pPr>
            <w:r>
              <w:rPr>
                <w:rFonts w:hint="eastAsia" w:ascii="宋体" w:hAnsi="宋体" w:cs="宋体"/>
                <w:kern w:val="0"/>
                <w:sz w:val="20"/>
                <w:szCs w:val="20"/>
              </w:rPr>
              <w:t>非跨地区经营企业</w:t>
            </w:r>
          </w:p>
        </w:tc>
      </w:tr>
      <w:tr w14:paraId="04005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3" w:type="dxa"/>
            <w:noWrap w:val="0"/>
            <w:vAlign w:val="center"/>
          </w:tcPr>
          <w:p w14:paraId="4FF04EF6">
            <w:pPr>
              <w:widowControl/>
              <w:jc w:val="center"/>
              <w:rPr>
                <w:rFonts w:ascii="宋体" w:cs="宋体"/>
                <w:kern w:val="0"/>
                <w:sz w:val="20"/>
                <w:szCs w:val="20"/>
              </w:rPr>
            </w:pPr>
            <w:r>
              <w:rPr>
                <w:rFonts w:ascii="宋体" w:hAnsi="宋体" w:cs="宋体"/>
                <w:kern w:val="0"/>
                <w:sz w:val="20"/>
                <w:szCs w:val="20"/>
              </w:rPr>
              <w:t>210</w:t>
            </w:r>
          </w:p>
        </w:tc>
        <w:tc>
          <w:tcPr>
            <w:tcW w:w="1670" w:type="dxa"/>
            <w:vMerge w:val="restart"/>
            <w:noWrap w:val="0"/>
            <w:vAlign w:val="center"/>
          </w:tcPr>
          <w:p w14:paraId="4214CAA3">
            <w:pPr>
              <w:widowControl/>
              <w:jc w:val="left"/>
              <w:rPr>
                <w:rFonts w:ascii="宋体" w:cs="宋体"/>
                <w:kern w:val="0"/>
                <w:sz w:val="20"/>
                <w:szCs w:val="20"/>
              </w:rPr>
            </w:pPr>
            <w:r>
              <w:rPr>
                <w:rFonts w:hint="eastAsia" w:ascii="宋体" w:hAnsi="宋体" w:cs="宋体"/>
                <w:kern w:val="0"/>
                <w:sz w:val="20"/>
                <w:szCs w:val="20"/>
              </w:rPr>
              <w:t>跨地区经营企业总机构</w:t>
            </w:r>
          </w:p>
        </w:tc>
        <w:tc>
          <w:tcPr>
            <w:tcW w:w="6859" w:type="dxa"/>
            <w:gridSpan w:val="2"/>
            <w:noWrap w:val="0"/>
            <w:vAlign w:val="center"/>
          </w:tcPr>
          <w:p w14:paraId="5EF43133">
            <w:pPr>
              <w:widowControl/>
              <w:rPr>
                <w:rFonts w:ascii="宋体" w:cs="宋体"/>
                <w:kern w:val="0"/>
                <w:sz w:val="20"/>
                <w:szCs w:val="20"/>
              </w:rPr>
            </w:pPr>
            <w:r>
              <w:rPr>
                <w:rFonts w:hint="eastAsia" w:ascii="宋体" w:hAnsi="宋体" w:cs="宋体"/>
                <w:kern w:val="0"/>
                <w:sz w:val="20"/>
                <w:szCs w:val="20"/>
              </w:rPr>
              <w:t>总机构（跨省）</w:t>
            </w:r>
            <w:r>
              <w:rPr>
                <w:rFonts w:ascii="宋体" w:hAnsi="宋体" w:cs="宋体"/>
                <w:kern w:val="0"/>
                <w:sz w:val="20"/>
                <w:szCs w:val="20"/>
              </w:rPr>
              <w:t>——</w:t>
            </w:r>
            <w:r>
              <w:rPr>
                <w:rFonts w:hint="eastAsia" w:ascii="宋体" w:hAnsi="宋体" w:cs="宋体"/>
                <w:kern w:val="0"/>
                <w:sz w:val="20"/>
                <w:szCs w:val="20"/>
              </w:rPr>
              <w:t>适用《跨地区经营汇总纳税企业所得税征收管理办法》</w:t>
            </w:r>
          </w:p>
        </w:tc>
      </w:tr>
      <w:tr w14:paraId="4E8CF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3" w:type="dxa"/>
            <w:noWrap w:val="0"/>
            <w:vAlign w:val="center"/>
          </w:tcPr>
          <w:p w14:paraId="4E975583">
            <w:pPr>
              <w:widowControl/>
              <w:jc w:val="center"/>
              <w:rPr>
                <w:rFonts w:ascii="宋体" w:cs="宋体"/>
                <w:kern w:val="0"/>
                <w:sz w:val="20"/>
                <w:szCs w:val="20"/>
              </w:rPr>
            </w:pPr>
            <w:r>
              <w:rPr>
                <w:rFonts w:ascii="宋体" w:hAnsi="宋体" w:cs="宋体"/>
                <w:kern w:val="0"/>
                <w:sz w:val="20"/>
                <w:szCs w:val="20"/>
              </w:rPr>
              <w:t>220</w:t>
            </w:r>
          </w:p>
        </w:tc>
        <w:tc>
          <w:tcPr>
            <w:tcW w:w="1670" w:type="dxa"/>
            <w:vMerge w:val="continue"/>
            <w:noWrap w:val="0"/>
            <w:vAlign w:val="center"/>
          </w:tcPr>
          <w:p w14:paraId="04A3486E">
            <w:pPr>
              <w:widowControl/>
              <w:rPr>
                <w:rFonts w:ascii="宋体" w:cs="宋体"/>
                <w:kern w:val="0"/>
                <w:sz w:val="20"/>
                <w:szCs w:val="20"/>
              </w:rPr>
            </w:pPr>
          </w:p>
        </w:tc>
        <w:tc>
          <w:tcPr>
            <w:tcW w:w="6859" w:type="dxa"/>
            <w:gridSpan w:val="2"/>
            <w:noWrap w:val="0"/>
            <w:vAlign w:val="center"/>
          </w:tcPr>
          <w:p w14:paraId="4B094B0D">
            <w:pPr>
              <w:widowControl/>
              <w:rPr>
                <w:rFonts w:ascii="宋体" w:cs="宋体"/>
                <w:kern w:val="0"/>
                <w:sz w:val="20"/>
                <w:szCs w:val="20"/>
              </w:rPr>
            </w:pPr>
            <w:r>
              <w:rPr>
                <w:rFonts w:hint="eastAsia" w:ascii="宋体" w:hAnsi="宋体" w:cs="宋体"/>
                <w:kern w:val="0"/>
                <w:sz w:val="20"/>
                <w:szCs w:val="20"/>
              </w:rPr>
              <w:t>总机构（跨省）</w:t>
            </w:r>
            <w:r>
              <w:rPr>
                <w:rFonts w:ascii="宋体" w:hAnsi="宋体" w:cs="宋体"/>
                <w:kern w:val="0"/>
                <w:sz w:val="20"/>
                <w:szCs w:val="20"/>
              </w:rPr>
              <w:t>——</w:t>
            </w:r>
            <w:r>
              <w:rPr>
                <w:rFonts w:hint="eastAsia" w:ascii="宋体" w:hAnsi="宋体" w:cs="宋体"/>
                <w:kern w:val="0"/>
                <w:sz w:val="20"/>
                <w:szCs w:val="20"/>
              </w:rPr>
              <w:t>不适用《跨地区经营汇总纳税企业所得税征收管理办法》</w:t>
            </w:r>
          </w:p>
        </w:tc>
      </w:tr>
      <w:tr w14:paraId="18186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3" w:type="dxa"/>
            <w:noWrap w:val="0"/>
            <w:vAlign w:val="center"/>
          </w:tcPr>
          <w:p w14:paraId="0208C9AC">
            <w:pPr>
              <w:widowControl/>
              <w:jc w:val="center"/>
              <w:rPr>
                <w:rFonts w:ascii="宋体" w:cs="宋体"/>
                <w:kern w:val="0"/>
                <w:sz w:val="20"/>
                <w:szCs w:val="20"/>
              </w:rPr>
            </w:pPr>
            <w:r>
              <w:rPr>
                <w:rFonts w:ascii="宋体" w:hAnsi="宋体" w:cs="宋体"/>
                <w:kern w:val="0"/>
                <w:sz w:val="20"/>
                <w:szCs w:val="20"/>
              </w:rPr>
              <w:t>230</w:t>
            </w:r>
          </w:p>
        </w:tc>
        <w:tc>
          <w:tcPr>
            <w:tcW w:w="1670" w:type="dxa"/>
            <w:vMerge w:val="continue"/>
            <w:noWrap w:val="0"/>
            <w:vAlign w:val="center"/>
          </w:tcPr>
          <w:p w14:paraId="0B92F8DD">
            <w:pPr>
              <w:widowControl/>
              <w:rPr>
                <w:rFonts w:ascii="宋体" w:cs="宋体"/>
                <w:kern w:val="0"/>
                <w:sz w:val="20"/>
                <w:szCs w:val="20"/>
              </w:rPr>
            </w:pPr>
          </w:p>
        </w:tc>
        <w:tc>
          <w:tcPr>
            <w:tcW w:w="6859" w:type="dxa"/>
            <w:gridSpan w:val="2"/>
            <w:noWrap w:val="0"/>
            <w:vAlign w:val="center"/>
          </w:tcPr>
          <w:p w14:paraId="52838ED8">
            <w:pPr>
              <w:widowControl/>
              <w:rPr>
                <w:rFonts w:ascii="宋体" w:cs="宋体"/>
                <w:kern w:val="0"/>
                <w:sz w:val="20"/>
                <w:szCs w:val="20"/>
              </w:rPr>
            </w:pPr>
            <w:r>
              <w:rPr>
                <w:rFonts w:hint="eastAsia" w:ascii="宋体" w:hAnsi="宋体" w:cs="宋体"/>
                <w:kern w:val="0"/>
                <w:sz w:val="20"/>
                <w:szCs w:val="20"/>
              </w:rPr>
              <w:t>总机构（省内）</w:t>
            </w:r>
          </w:p>
        </w:tc>
      </w:tr>
      <w:tr w14:paraId="1C579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3" w:type="dxa"/>
            <w:noWrap w:val="0"/>
            <w:vAlign w:val="center"/>
          </w:tcPr>
          <w:p w14:paraId="102F8A99">
            <w:pPr>
              <w:widowControl/>
              <w:jc w:val="center"/>
              <w:rPr>
                <w:rFonts w:ascii="宋体" w:cs="宋体"/>
                <w:kern w:val="0"/>
                <w:sz w:val="20"/>
                <w:szCs w:val="20"/>
              </w:rPr>
            </w:pPr>
            <w:r>
              <w:rPr>
                <w:rFonts w:ascii="宋体" w:hAnsi="宋体" w:cs="宋体"/>
                <w:kern w:val="0"/>
                <w:sz w:val="20"/>
                <w:szCs w:val="20"/>
              </w:rPr>
              <w:t>311</w:t>
            </w:r>
          </w:p>
        </w:tc>
        <w:tc>
          <w:tcPr>
            <w:tcW w:w="1670" w:type="dxa"/>
            <w:vMerge w:val="restart"/>
            <w:noWrap w:val="0"/>
            <w:vAlign w:val="center"/>
          </w:tcPr>
          <w:p w14:paraId="53AF1F9E">
            <w:pPr>
              <w:widowControl/>
              <w:jc w:val="left"/>
              <w:rPr>
                <w:rFonts w:ascii="宋体" w:cs="宋体"/>
                <w:kern w:val="0"/>
                <w:sz w:val="20"/>
                <w:szCs w:val="20"/>
              </w:rPr>
            </w:pPr>
            <w:r>
              <w:rPr>
                <w:rFonts w:hint="eastAsia" w:ascii="宋体" w:hAnsi="宋体" w:cs="宋体"/>
                <w:kern w:val="0"/>
                <w:sz w:val="20"/>
                <w:szCs w:val="20"/>
              </w:rPr>
              <w:t>跨地区经营企业分支机构</w:t>
            </w:r>
          </w:p>
        </w:tc>
        <w:tc>
          <w:tcPr>
            <w:tcW w:w="2499" w:type="dxa"/>
            <w:vMerge w:val="restart"/>
            <w:noWrap w:val="0"/>
            <w:vAlign w:val="center"/>
          </w:tcPr>
          <w:p w14:paraId="6F6C8B45">
            <w:pPr>
              <w:widowControl/>
              <w:rPr>
                <w:rFonts w:ascii="宋体" w:cs="宋体"/>
                <w:kern w:val="0"/>
                <w:sz w:val="20"/>
                <w:szCs w:val="20"/>
              </w:rPr>
            </w:pPr>
            <w:r>
              <w:rPr>
                <w:rFonts w:hint="eastAsia" w:ascii="宋体" w:hAnsi="宋体" w:cs="宋体"/>
                <w:kern w:val="0"/>
                <w:sz w:val="20"/>
                <w:szCs w:val="20"/>
              </w:rPr>
              <w:t>需进行完整年度纳税申报</w:t>
            </w:r>
          </w:p>
        </w:tc>
        <w:tc>
          <w:tcPr>
            <w:tcW w:w="4360" w:type="dxa"/>
            <w:noWrap w:val="0"/>
            <w:vAlign w:val="center"/>
          </w:tcPr>
          <w:p w14:paraId="35303476">
            <w:pPr>
              <w:widowControl/>
              <w:rPr>
                <w:rFonts w:ascii="宋体" w:cs="宋体"/>
                <w:kern w:val="0"/>
                <w:sz w:val="20"/>
                <w:szCs w:val="20"/>
              </w:rPr>
            </w:pPr>
            <w:r>
              <w:rPr>
                <w:rFonts w:hint="eastAsia" w:ascii="宋体" w:hAnsi="宋体" w:cs="宋体"/>
                <w:kern w:val="0"/>
                <w:sz w:val="20"/>
                <w:szCs w:val="20"/>
              </w:rPr>
              <w:t>分支机构（须进行完整年度申报并按比例纳税）</w:t>
            </w:r>
          </w:p>
        </w:tc>
      </w:tr>
      <w:tr w14:paraId="447C5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3" w:type="dxa"/>
            <w:noWrap w:val="0"/>
            <w:vAlign w:val="center"/>
          </w:tcPr>
          <w:p w14:paraId="3AD5496C">
            <w:pPr>
              <w:widowControl/>
              <w:jc w:val="center"/>
              <w:rPr>
                <w:rFonts w:ascii="宋体" w:cs="宋体"/>
                <w:kern w:val="0"/>
                <w:sz w:val="20"/>
                <w:szCs w:val="20"/>
              </w:rPr>
            </w:pPr>
            <w:r>
              <w:rPr>
                <w:rFonts w:ascii="宋体" w:hAnsi="宋体" w:cs="宋体"/>
                <w:kern w:val="0"/>
                <w:sz w:val="20"/>
                <w:szCs w:val="20"/>
              </w:rPr>
              <w:t>312</w:t>
            </w:r>
          </w:p>
        </w:tc>
        <w:tc>
          <w:tcPr>
            <w:tcW w:w="1670" w:type="dxa"/>
            <w:vMerge w:val="continue"/>
            <w:noWrap w:val="0"/>
            <w:vAlign w:val="center"/>
          </w:tcPr>
          <w:p w14:paraId="77124B47">
            <w:pPr>
              <w:widowControl/>
              <w:rPr>
                <w:rFonts w:ascii="宋体" w:cs="宋体"/>
                <w:kern w:val="0"/>
                <w:sz w:val="20"/>
                <w:szCs w:val="20"/>
              </w:rPr>
            </w:pPr>
          </w:p>
        </w:tc>
        <w:tc>
          <w:tcPr>
            <w:tcW w:w="2499" w:type="dxa"/>
            <w:vMerge w:val="continue"/>
            <w:noWrap w:val="0"/>
            <w:vAlign w:val="center"/>
          </w:tcPr>
          <w:p w14:paraId="39F72C04">
            <w:pPr>
              <w:widowControl/>
              <w:rPr>
                <w:rFonts w:ascii="宋体" w:cs="宋体"/>
                <w:kern w:val="0"/>
                <w:sz w:val="20"/>
                <w:szCs w:val="20"/>
              </w:rPr>
            </w:pPr>
          </w:p>
        </w:tc>
        <w:tc>
          <w:tcPr>
            <w:tcW w:w="4360" w:type="dxa"/>
            <w:noWrap w:val="0"/>
            <w:vAlign w:val="center"/>
          </w:tcPr>
          <w:p w14:paraId="4C1E0010">
            <w:pPr>
              <w:widowControl/>
              <w:rPr>
                <w:rFonts w:ascii="宋体" w:cs="宋体"/>
                <w:kern w:val="0"/>
                <w:sz w:val="20"/>
                <w:szCs w:val="20"/>
              </w:rPr>
            </w:pPr>
            <w:r>
              <w:rPr>
                <w:rFonts w:hint="eastAsia" w:ascii="宋体" w:hAnsi="宋体" w:cs="宋体"/>
                <w:kern w:val="0"/>
                <w:sz w:val="20"/>
                <w:szCs w:val="20"/>
              </w:rPr>
              <w:t>分支机构（须进行完整年度申报但不就地缴纳）</w:t>
            </w:r>
          </w:p>
        </w:tc>
      </w:tr>
    </w:tbl>
    <w:p w14:paraId="3B760DC0">
      <w:pPr>
        <w:pStyle w:val="8"/>
      </w:pPr>
      <w:r>
        <w:rPr>
          <w:rFonts w:hint="eastAsia"/>
        </w:rPr>
        <w:t>代码说明：</w:t>
      </w:r>
    </w:p>
    <w:p w14:paraId="7D8CB116">
      <w:pPr>
        <w:pStyle w:val="8"/>
      </w:pPr>
      <w:r>
        <w:rPr>
          <w:rFonts w:hint="eastAsia"/>
        </w:rPr>
        <w:t>“非跨地区经营企业”：纳税人未跨地区设立不具有法人资格分支机构的，为非跨地区经营企业。</w:t>
      </w:r>
    </w:p>
    <w:p w14:paraId="1D195BCD">
      <w:pPr>
        <w:pStyle w:val="8"/>
      </w:pPr>
      <w:r>
        <w:rPr>
          <w:rFonts w:hint="eastAsia"/>
        </w:rPr>
        <w:t>“总机构（跨省）</w:t>
      </w:r>
      <w:r>
        <w:t>——</w:t>
      </w:r>
      <w:r>
        <w:rPr>
          <w:rFonts w:hint="eastAsia"/>
        </w:rPr>
        <w:t>适用《跨地区经营汇总纳税企业所得税征收管理办法》”：纳税人为《国家税务总局关于印发〈跨地区经营汇总纳税企业所得税征收管理办法〉的公告》（国家税务总局公告</w:t>
      </w:r>
      <w:r>
        <w:t>2012</w:t>
      </w:r>
      <w:r>
        <w:rPr>
          <w:rFonts w:hint="eastAsia"/>
        </w:rPr>
        <w:t>年第</w:t>
      </w:r>
      <w:r>
        <w:t>57</w:t>
      </w:r>
      <w:r>
        <w:rPr>
          <w:rFonts w:hint="eastAsia"/>
        </w:rPr>
        <w:t>号发布，国家税务总局公告</w:t>
      </w:r>
      <w:r>
        <w:t>2018</w:t>
      </w:r>
      <w:r>
        <w:rPr>
          <w:rFonts w:hint="eastAsia"/>
        </w:rPr>
        <w:t>年第</w:t>
      </w:r>
      <w:r>
        <w:t>31</w:t>
      </w:r>
      <w:r>
        <w:rPr>
          <w:rFonts w:hint="eastAsia"/>
        </w:rPr>
        <w:t>号修改）规定的跨省、自治区、直辖市和计划单列市设立不具有法人资格分支机构的跨地区经营汇总纳税企业的总机构。</w:t>
      </w:r>
    </w:p>
    <w:p w14:paraId="3281122B">
      <w:pPr>
        <w:pStyle w:val="8"/>
      </w:pPr>
      <w:r>
        <w:rPr>
          <w:rFonts w:hint="eastAsia"/>
        </w:rPr>
        <w:t>“总机构（跨省）</w:t>
      </w:r>
      <w:r>
        <w:t>——</w:t>
      </w:r>
      <w:r>
        <w:rPr>
          <w:rFonts w:hint="eastAsia"/>
        </w:rPr>
        <w:t>不适用《跨地区经营汇总纳税企业所得税征收管理办法》”：纳税人为《国家税务总局关于印发〈跨地区经营汇总纳税企业所得税征收管理办法〉的公告》（国家税务总局公告</w:t>
      </w:r>
      <w:r>
        <w:t>2012</w:t>
      </w:r>
      <w:r>
        <w:rPr>
          <w:rFonts w:hint="eastAsia"/>
        </w:rPr>
        <w:t>年第</w:t>
      </w:r>
      <w:r>
        <w:t>57</w:t>
      </w:r>
      <w:r>
        <w:rPr>
          <w:rFonts w:hint="eastAsia"/>
        </w:rPr>
        <w:t>号发布，国家税务总局公告</w:t>
      </w:r>
      <w:r>
        <w:t>2018</w:t>
      </w:r>
      <w:r>
        <w:rPr>
          <w:rFonts w:hint="eastAsia"/>
        </w:rPr>
        <w:t>年第</w:t>
      </w:r>
      <w:r>
        <w:t>31</w:t>
      </w:r>
      <w:r>
        <w:rPr>
          <w:rFonts w:hint="eastAsia"/>
        </w:rPr>
        <w:t>号修改）第二条规定的不适用该公告的跨地区经营汇总纳税企业的总机构。</w:t>
      </w:r>
    </w:p>
    <w:p w14:paraId="338F8E23">
      <w:pPr>
        <w:pStyle w:val="8"/>
      </w:pPr>
      <w:r>
        <w:rPr>
          <w:rFonts w:hint="eastAsia"/>
        </w:rPr>
        <w:t>“总机构（省内）”：纳税人为仅在同一省、自治区、直辖市和计划单列市内设立不具有法人资格分支机构的跨地区经营汇总纳税企业的总机构。</w:t>
      </w:r>
    </w:p>
    <w:p w14:paraId="08AFD273">
      <w:pPr>
        <w:pStyle w:val="8"/>
      </w:pPr>
      <w:r>
        <w:rPr>
          <w:rFonts w:hint="eastAsia"/>
        </w:rPr>
        <w:t>“分支机构（须进行完整年度申报并按比例纳税）”：纳税人为根据相关政策规定须进行完整年度申报并按比例就地缴纳企业所得税的跨地区经营企业的分支机构。</w:t>
      </w:r>
    </w:p>
    <w:p w14:paraId="3F322331">
      <w:pPr>
        <w:pStyle w:val="8"/>
      </w:pPr>
      <w:r>
        <w:rPr>
          <w:rFonts w:hint="eastAsia"/>
        </w:rPr>
        <w:t>“分支机构（须进行完整年度申报但不就地缴纳）”：纳税人为根据相关政策规定须进行完整年度申报但不就地缴纳所得税的跨地区经营企业的分支机构。</w:t>
      </w:r>
    </w:p>
    <w:p w14:paraId="12C24480">
      <w:pPr>
        <w:pStyle w:val="8"/>
      </w:pPr>
      <w:r>
        <w:t>2.</w:t>
      </w:r>
      <w:r>
        <w:rPr>
          <w:rFonts w:hint="eastAsia"/>
        </w:rPr>
        <w:t>“</w:t>
      </w:r>
      <w:r>
        <w:t>102</w:t>
      </w:r>
      <w:r>
        <w:rPr>
          <w:rFonts w:hint="eastAsia"/>
        </w:rPr>
        <w:t>分支机构就地纳税比例”：“</w:t>
      </w:r>
      <w:r>
        <w:t>101</w:t>
      </w:r>
      <w:r>
        <w:rPr>
          <w:rFonts w:hint="eastAsia"/>
        </w:rPr>
        <w:t>纳税申报企业类型”为“分支机构（须进行完整年度申报并按比例纳税）”需要同时填报本项。分支机构填报年度纳税申报时应当就地缴纳企业所得税的比例。</w:t>
      </w:r>
    </w:p>
    <w:p w14:paraId="7800E56C">
      <w:pPr>
        <w:pStyle w:val="8"/>
      </w:pPr>
      <w:r>
        <w:t>3.</w:t>
      </w:r>
      <w:r>
        <w:rPr>
          <w:rFonts w:hint="eastAsia"/>
        </w:rPr>
        <w:t>“</w:t>
      </w:r>
      <w:r>
        <w:t>103</w:t>
      </w:r>
      <w:r>
        <w:rPr>
          <w:rFonts w:hint="eastAsia"/>
        </w:rPr>
        <w:t>资产总额”：纳税人填报资产总额的全年季度平均值，单位为万元，保留小数点后</w:t>
      </w:r>
      <w:r>
        <w:t>2</w:t>
      </w:r>
      <w:r>
        <w:rPr>
          <w:rFonts w:hint="eastAsia"/>
        </w:rPr>
        <w:t>位。具体计算公式如下：</w:t>
      </w:r>
    </w:p>
    <w:p w14:paraId="0F0CC741">
      <w:pPr>
        <w:pStyle w:val="8"/>
      </w:pPr>
      <w:r>
        <w:rPr>
          <w:rFonts w:hint="eastAsia"/>
        </w:rPr>
        <w:t>季度平均值＝（季初值＋季末值）÷</w:t>
      </w:r>
      <w:r>
        <w:t>2</w:t>
      </w:r>
    </w:p>
    <w:p w14:paraId="04C7EF73">
      <w:pPr>
        <w:pStyle w:val="8"/>
      </w:pPr>
      <w:r>
        <w:rPr>
          <w:rFonts w:hint="eastAsia"/>
        </w:rPr>
        <w:t>全年季度平均值＝全年各季度平均值之和÷</w:t>
      </w:r>
      <w:r>
        <w:t>4</w:t>
      </w:r>
    </w:p>
    <w:p w14:paraId="32090069">
      <w:pPr>
        <w:pStyle w:val="8"/>
      </w:pPr>
      <w:r>
        <w:rPr>
          <w:rFonts w:hint="eastAsia"/>
        </w:rPr>
        <w:t>年度中间开业或者终止经营活动的，以其实际经营期作为一个纳税年度确定上述相关指标。</w:t>
      </w:r>
    </w:p>
    <w:p w14:paraId="41E3BEB9">
      <w:pPr>
        <w:pStyle w:val="8"/>
      </w:pPr>
      <w:r>
        <w:t>4.</w:t>
      </w:r>
      <w:r>
        <w:rPr>
          <w:rFonts w:hint="eastAsia"/>
        </w:rPr>
        <w:t>“</w:t>
      </w:r>
      <w:r>
        <w:t>104</w:t>
      </w:r>
      <w:r>
        <w:rPr>
          <w:rFonts w:hint="eastAsia"/>
        </w:rPr>
        <w:t>从业人数”：纳税人填报从业人数的全年季度平均值，单位为人。从业人数是指与企业建立劳动关系的职工人数和企业接受的劳务派遣用工人数之和，依据和计算方法同“</w:t>
      </w:r>
      <w:r>
        <w:t>103</w:t>
      </w:r>
      <w:r>
        <w:rPr>
          <w:rFonts w:hint="eastAsia"/>
        </w:rPr>
        <w:t>资产总额”。</w:t>
      </w:r>
    </w:p>
    <w:p w14:paraId="5ECA262B">
      <w:pPr>
        <w:pStyle w:val="8"/>
      </w:pPr>
      <w:r>
        <w:t>5.</w:t>
      </w:r>
      <w:r>
        <w:rPr>
          <w:rFonts w:hint="eastAsia"/>
        </w:rPr>
        <w:t>“</w:t>
      </w:r>
      <w:r>
        <w:t>105</w:t>
      </w:r>
      <w:r>
        <w:rPr>
          <w:rFonts w:hint="eastAsia"/>
        </w:rPr>
        <w:t>所属国民经济行业”：按照《国民经济行业分类》标准，纳税人填报所属的国民经济行业明细代码。</w:t>
      </w:r>
    </w:p>
    <w:p w14:paraId="137BBCA3">
      <w:pPr>
        <w:pStyle w:val="8"/>
      </w:pPr>
      <w:r>
        <w:t>6.</w:t>
      </w:r>
      <w:r>
        <w:rPr>
          <w:rFonts w:hint="eastAsia"/>
        </w:rPr>
        <w:t>“</w:t>
      </w:r>
      <w:r>
        <w:t>106</w:t>
      </w:r>
      <w:r>
        <w:rPr>
          <w:rFonts w:hint="eastAsia"/>
        </w:rPr>
        <w:t>从事国家限制或禁止行业”：纳税人从事行业为国家限制和禁止行业的，选择“是”；其他选择“否”。</w:t>
      </w:r>
    </w:p>
    <w:p w14:paraId="7A118DEA">
      <w:pPr>
        <w:pStyle w:val="8"/>
      </w:pPr>
      <w:r>
        <w:t>7.</w:t>
      </w:r>
      <w:r>
        <w:rPr>
          <w:rFonts w:hint="eastAsia"/>
        </w:rPr>
        <w:t>“</w:t>
      </w:r>
      <w:r>
        <w:t>107</w:t>
      </w:r>
      <w:r>
        <w:rPr>
          <w:rFonts w:hint="eastAsia"/>
        </w:rPr>
        <w:t>适用会计准则或会计制度”：纳税人根据会计核算采用的会计准则或会计制度从《会计准则或会计制度类型代码表》中选择相应的代码填入本项。</w:t>
      </w:r>
    </w:p>
    <w:p w14:paraId="0BC79A21">
      <w:pPr>
        <w:pStyle w:val="11"/>
      </w:pPr>
      <w:r>
        <w:rPr>
          <w:rFonts w:hint="eastAsia"/>
        </w:rPr>
        <w:t>会计准则或会计制度类型代码表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9"/>
        <w:gridCol w:w="2801"/>
        <w:gridCol w:w="3108"/>
      </w:tblGrid>
      <w:tr w14:paraId="2FE2D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vMerge w:val="restart"/>
            <w:noWrap w:val="0"/>
            <w:vAlign w:val="center"/>
          </w:tcPr>
          <w:p w14:paraId="15B2D143">
            <w:pPr>
              <w:widowControl/>
              <w:jc w:val="center"/>
              <w:rPr>
                <w:rFonts w:ascii="宋体" w:cs="宋体"/>
                <w:b/>
                <w:kern w:val="0"/>
                <w:sz w:val="20"/>
                <w:szCs w:val="20"/>
              </w:rPr>
            </w:pPr>
            <w:r>
              <w:rPr>
                <w:rFonts w:hint="eastAsia" w:ascii="宋体" w:hAnsi="宋体" w:cs="宋体"/>
                <w:b/>
                <w:kern w:val="0"/>
                <w:sz w:val="20"/>
                <w:szCs w:val="20"/>
              </w:rPr>
              <w:t>代码</w:t>
            </w:r>
          </w:p>
        </w:tc>
        <w:tc>
          <w:tcPr>
            <w:tcW w:w="5909" w:type="dxa"/>
            <w:gridSpan w:val="2"/>
            <w:noWrap w:val="0"/>
            <w:vAlign w:val="center"/>
          </w:tcPr>
          <w:p w14:paraId="1CE8D054">
            <w:pPr>
              <w:widowControl/>
              <w:jc w:val="center"/>
              <w:rPr>
                <w:rFonts w:ascii="宋体" w:cs="宋体"/>
                <w:b/>
                <w:kern w:val="0"/>
                <w:sz w:val="20"/>
                <w:szCs w:val="20"/>
              </w:rPr>
            </w:pPr>
            <w:r>
              <w:rPr>
                <w:rFonts w:hint="eastAsia" w:ascii="宋体" w:hAnsi="宋体" w:cs="宋体"/>
                <w:b/>
                <w:kern w:val="0"/>
                <w:sz w:val="20"/>
                <w:szCs w:val="20"/>
              </w:rPr>
              <w:t>类型</w:t>
            </w:r>
          </w:p>
        </w:tc>
      </w:tr>
      <w:tr w14:paraId="5B37B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vMerge w:val="continue"/>
            <w:noWrap w:val="0"/>
            <w:vAlign w:val="center"/>
          </w:tcPr>
          <w:p w14:paraId="31140FAF">
            <w:pPr>
              <w:widowControl/>
              <w:jc w:val="center"/>
              <w:rPr>
                <w:rFonts w:ascii="宋体" w:cs="宋体"/>
                <w:b/>
                <w:kern w:val="0"/>
                <w:sz w:val="20"/>
                <w:szCs w:val="20"/>
              </w:rPr>
            </w:pPr>
          </w:p>
        </w:tc>
        <w:tc>
          <w:tcPr>
            <w:tcW w:w="2801" w:type="dxa"/>
            <w:noWrap w:val="0"/>
            <w:vAlign w:val="center"/>
          </w:tcPr>
          <w:p w14:paraId="4284DD59">
            <w:pPr>
              <w:widowControl/>
              <w:jc w:val="center"/>
              <w:rPr>
                <w:rFonts w:ascii="宋体" w:cs="宋体"/>
                <w:b/>
                <w:kern w:val="0"/>
                <w:sz w:val="20"/>
                <w:szCs w:val="20"/>
              </w:rPr>
            </w:pPr>
            <w:r>
              <w:rPr>
                <w:rFonts w:hint="eastAsia" w:ascii="宋体" w:hAnsi="宋体" w:cs="宋体"/>
                <w:b/>
                <w:kern w:val="0"/>
                <w:sz w:val="20"/>
                <w:szCs w:val="20"/>
              </w:rPr>
              <w:t>大类</w:t>
            </w:r>
          </w:p>
        </w:tc>
        <w:tc>
          <w:tcPr>
            <w:tcW w:w="3108" w:type="dxa"/>
            <w:noWrap w:val="0"/>
            <w:vAlign w:val="center"/>
          </w:tcPr>
          <w:p w14:paraId="66EBEE09">
            <w:pPr>
              <w:widowControl/>
              <w:jc w:val="center"/>
              <w:rPr>
                <w:rFonts w:ascii="宋体" w:cs="宋体"/>
                <w:b/>
                <w:kern w:val="0"/>
                <w:sz w:val="20"/>
                <w:szCs w:val="20"/>
              </w:rPr>
            </w:pPr>
            <w:r>
              <w:rPr>
                <w:rFonts w:hint="eastAsia" w:ascii="宋体" w:hAnsi="宋体" w:cs="宋体"/>
                <w:b/>
                <w:kern w:val="0"/>
                <w:sz w:val="20"/>
                <w:szCs w:val="20"/>
              </w:rPr>
              <w:t>小类</w:t>
            </w:r>
          </w:p>
        </w:tc>
      </w:tr>
      <w:tr w14:paraId="4A571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470DE99D">
            <w:pPr>
              <w:widowControl/>
              <w:jc w:val="center"/>
              <w:rPr>
                <w:rFonts w:ascii="宋体" w:cs="宋体"/>
                <w:kern w:val="0"/>
                <w:sz w:val="20"/>
                <w:szCs w:val="20"/>
              </w:rPr>
            </w:pPr>
            <w:r>
              <w:rPr>
                <w:rFonts w:ascii="宋体" w:hAnsi="宋体" w:cs="宋体"/>
                <w:kern w:val="0"/>
                <w:sz w:val="20"/>
                <w:szCs w:val="20"/>
              </w:rPr>
              <w:t>110</w:t>
            </w:r>
          </w:p>
        </w:tc>
        <w:tc>
          <w:tcPr>
            <w:tcW w:w="2801" w:type="dxa"/>
            <w:vMerge w:val="restart"/>
            <w:noWrap w:val="0"/>
            <w:vAlign w:val="center"/>
          </w:tcPr>
          <w:p w14:paraId="35F803B1">
            <w:pPr>
              <w:widowControl/>
              <w:jc w:val="left"/>
              <w:rPr>
                <w:rFonts w:ascii="宋体" w:cs="宋体"/>
                <w:kern w:val="0"/>
                <w:sz w:val="20"/>
                <w:szCs w:val="20"/>
              </w:rPr>
            </w:pPr>
            <w:r>
              <w:rPr>
                <w:rFonts w:hint="eastAsia" w:ascii="宋体" w:hAnsi="宋体" w:cs="宋体"/>
                <w:kern w:val="0"/>
                <w:sz w:val="20"/>
                <w:szCs w:val="20"/>
              </w:rPr>
              <w:t>企业会计准则</w:t>
            </w:r>
          </w:p>
        </w:tc>
        <w:tc>
          <w:tcPr>
            <w:tcW w:w="3108" w:type="dxa"/>
            <w:noWrap w:val="0"/>
            <w:vAlign w:val="center"/>
          </w:tcPr>
          <w:p w14:paraId="41929FCC">
            <w:pPr>
              <w:widowControl/>
              <w:jc w:val="left"/>
              <w:rPr>
                <w:rFonts w:ascii="宋体" w:cs="宋体"/>
                <w:kern w:val="0"/>
                <w:sz w:val="20"/>
                <w:szCs w:val="20"/>
              </w:rPr>
            </w:pPr>
            <w:r>
              <w:rPr>
                <w:rFonts w:hint="eastAsia" w:ascii="宋体" w:hAnsi="宋体" w:cs="宋体"/>
                <w:kern w:val="0"/>
                <w:sz w:val="20"/>
                <w:szCs w:val="20"/>
              </w:rPr>
              <w:t>一般企业</w:t>
            </w:r>
          </w:p>
        </w:tc>
      </w:tr>
      <w:tr w14:paraId="7B5A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613C83E7">
            <w:pPr>
              <w:widowControl/>
              <w:jc w:val="center"/>
              <w:rPr>
                <w:rFonts w:ascii="宋体" w:cs="宋体"/>
                <w:kern w:val="0"/>
                <w:sz w:val="20"/>
                <w:szCs w:val="20"/>
              </w:rPr>
            </w:pPr>
            <w:r>
              <w:rPr>
                <w:rFonts w:ascii="宋体" w:hAnsi="宋体" w:cs="宋体"/>
                <w:kern w:val="0"/>
                <w:sz w:val="20"/>
                <w:szCs w:val="20"/>
              </w:rPr>
              <w:t>120</w:t>
            </w:r>
          </w:p>
        </w:tc>
        <w:tc>
          <w:tcPr>
            <w:tcW w:w="2801" w:type="dxa"/>
            <w:vMerge w:val="continue"/>
            <w:noWrap w:val="0"/>
            <w:vAlign w:val="center"/>
          </w:tcPr>
          <w:p w14:paraId="4028C1E2">
            <w:pPr>
              <w:widowControl/>
              <w:jc w:val="left"/>
              <w:rPr>
                <w:rFonts w:ascii="宋体" w:cs="宋体"/>
                <w:kern w:val="0"/>
                <w:sz w:val="20"/>
                <w:szCs w:val="20"/>
              </w:rPr>
            </w:pPr>
          </w:p>
        </w:tc>
        <w:tc>
          <w:tcPr>
            <w:tcW w:w="3108" w:type="dxa"/>
            <w:noWrap w:val="0"/>
            <w:vAlign w:val="center"/>
          </w:tcPr>
          <w:p w14:paraId="35739F1A">
            <w:pPr>
              <w:widowControl/>
              <w:jc w:val="left"/>
              <w:rPr>
                <w:rFonts w:ascii="宋体" w:cs="宋体"/>
                <w:kern w:val="0"/>
                <w:sz w:val="20"/>
                <w:szCs w:val="20"/>
              </w:rPr>
            </w:pPr>
            <w:r>
              <w:rPr>
                <w:rFonts w:hint="eastAsia" w:ascii="宋体" w:hAnsi="宋体" w:cs="宋体"/>
                <w:kern w:val="0"/>
                <w:sz w:val="20"/>
                <w:szCs w:val="20"/>
              </w:rPr>
              <w:t>银行</w:t>
            </w:r>
          </w:p>
        </w:tc>
      </w:tr>
      <w:tr w14:paraId="2F26C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64E3DDFF">
            <w:pPr>
              <w:widowControl/>
              <w:jc w:val="center"/>
              <w:rPr>
                <w:rFonts w:ascii="宋体" w:cs="宋体"/>
                <w:kern w:val="0"/>
                <w:sz w:val="20"/>
                <w:szCs w:val="20"/>
              </w:rPr>
            </w:pPr>
            <w:r>
              <w:rPr>
                <w:rFonts w:ascii="宋体" w:hAnsi="宋体" w:cs="宋体"/>
                <w:kern w:val="0"/>
                <w:sz w:val="20"/>
                <w:szCs w:val="20"/>
              </w:rPr>
              <w:t>130</w:t>
            </w:r>
          </w:p>
        </w:tc>
        <w:tc>
          <w:tcPr>
            <w:tcW w:w="2801" w:type="dxa"/>
            <w:vMerge w:val="continue"/>
            <w:noWrap w:val="0"/>
            <w:vAlign w:val="center"/>
          </w:tcPr>
          <w:p w14:paraId="46A8A611">
            <w:pPr>
              <w:widowControl/>
              <w:jc w:val="left"/>
              <w:rPr>
                <w:rFonts w:ascii="宋体" w:cs="宋体"/>
                <w:kern w:val="0"/>
                <w:sz w:val="20"/>
                <w:szCs w:val="20"/>
              </w:rPr>
            </w:pPr>
          </w:p>
        </w:tc>
        <w:tc>
          <w:tcPr>
            <w:tcW w:w="3108" w:type="dxa"/>
            <w:noWrap w:val="0"/>
            <w:vAlign w:val="center"/>
          </w:tcPr>
          <w:p w14:paraId="0C45D0F8">
            <w:pPr>
              <w:widowControl/>
              <w:jc w:val="left"/>
              <w:rPr>
                <w:rFonts w:ascii="宋体" w:cs="宋体"/>
                <w:kern w:val="0"/>
                <w:sz w:val="20"/>
                <w:szCs w:val="20"/>
              </w:rPr>
            </w:pPr>
            <w:r>
              <w:rPr>
                <w:rFonts w:hint="eastAsia" w:ascii="宋体" w:hAnsi="宋体" w:cs="宋体"/>
                <w:kern w:val="0"/>
                <w:sz w:val="20"/>
                <w:szCs w:val="20"/>
              </w:rPr>
              <w:t>证券</w:t>
            </w:r>
          </w:p>
        </w:tc>
      </w:tr>
      <w:tr w14:paraId="177C5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1319" w:type="dxa"/>
            <w:noWrap w:val="0"/>
            <w:vAlign w:val="top"/>
          </w:tcPr>
          <w:p w14:paraId="69F155CB">
            <w:pPr>
              <w:widowControl/>
              <w:jc w:val="center"/>
              <w:rPr>
                <w:rFonts w:ascii="宋体" w:cs="宋体"/>
                <w:kern w:val="0"/>
                <w:sz w:val="20"/>
                <w:szCs w:val="20"/>
              </w:rPr>
            </w:pPr>
            <w:r>
              <w:rPr>
                <w:rFonts w:ascii="宋体" w:hAnsi="宋体" w:cs="宋体"/>
                <w:kern w:val="0"/>
                <w:sz w:val="20"/>
                <w:szCs w:val="20"/>
              </w:rPr>
              <w:t>140</w:t>
            </w:r>
          </w:p>
        </w:tc>
        <w:tc>
          <w:tcPr>
            <w:tcW w:w="2801" w:type="dxa"/>
            <w:vMerge w:val="continue"/>
            <w:noWrap w:val="0"/>
            <w:vAlign w:val="center"/>
          </w:tcPr>
          <w:p w14:paraId="69A15514">
            <w:pPr>
              <w:widowControl/>
              <w:jc w:val="left"/>
              <w:rPr>
                <w:rFonts w:ascii="宋体" w:cs="宋体"/>
                <w:kern w:val="0"/>
                <w:sz w:val="20"/>
                <w:szCs w:val="20"/>
              </w:rPr>
            </w:pPr>
          </w:p>
        </w:tc>
        <w:tc>
          <w:tcPr>
            <w:tcW w:w="3108" w:type="dxa"/>
            <w:noWrap w:val="0"/>
            <w:vAlign w:val="center"/>
          </w:tcPr>
          <w:p w14:paraId="4FA9FDBF">
            <w:pPr>
              <w:widowControl/>
              <w:jc w:val="left"/>
              <w:rPr>
                <w:rFonts w:ascii="宋体" w:cs="宋体"/>
                <w:kern w:val="0"/>
                <w:sz w:val="20"/>
                <w:szCs w:val="20"/>
              </w:rPr>
            </w:pPr>
            <w:r>
              <w:rPr>
                <w:rFonts w:hint="eastAsia" w:ascii="宋体" w:hAnsi="宋体" w:cs="宋体"/>
                <w:kern w:val="0"/>
                <w:sz w:val="20"/>
                <w:szCs w:val="20"/>
              </w:rPr>
              <w:t>保险</w:t>
            </w:r>
          </w:p>
        </w:tc>
      </w:tr>
      <w:tr w14:paraId="1AABB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55549371">
            <w:pPr>
              <w:widowControl/>
              <w:jc w:val="center"/>
              <w:rPr>
                <w:rFonts w:ascii="宋体" w:cs="宋体"/>
                <w:kern w:val="0"/>
                <w:sz w:val="20"/>
                <w:szCs w:val="20"/>
              </w:rPr>
            </w:pPr>
            <w:r>
              <w:rPr>
                <w:rFonts w:ascii="宋体" w:hAnsi="宋体" w:cs="宋体"/>
                <w:kern w:val="0"/>
                <w:sz w:val="20"/>
                <w:szCs w:val="20"/>
              </w:rPr>
              <w:t>150</w:t>
            </w:r>
          </w:p>
        </w:tc>
        <w:tc>
          <w:tcPr>
            <w:tcW w:w="2801" w:type="dxa"/>
            <w:vMerge w:val="continue"/>
            <w:noWrap w:val="0"/>
            <w:vAlign w:val="center"/>
          </w:tcPr>
          <w:p w14:paraId="15D3690E">
            <w:pPr>
              <w:widowControl/>
              <w:jc w:val="left"/>
              <w:rPr>
                <w:rFonts w:ascii="宋体" w:cs="宋体"/>
                <w:kern w:val="0"/>
                <w:sz w:val="20"/>
                <w:szCs w:val="20"/>
              </w:rPr>
            </w:pPr>
          </w:p>
        </w:tc>
        <w:tc>
          <w:tcPr>
            <w:tcW w:w="3108" w:type="dxa"/>
            <w:noWrap w:val="0"/>
            <w:vAlign w:val="center"/>
          </w:tcPr>
          <w:p w14:paraId="5AE8E9FE">
            <w:pPr>
              <w:widowControl/>
              <w:jc w:val="left"/>
              <w:rPr>
                <w:rFonts w:ascii="宋体" w:cs="宋体"/>
                <w:kern w:val="0"/>
                <w:sz w:val="20"/>
                <w:szCs w:val="20"/>
              </w:rPr>
            </w:pPr>
            <w:r>
              <w:rPr>
                <w:rFonts w:hint="eastAsia" w:ascii="宋体" w:hAnsi="宋体" w:cs="宋体"/>
                <w:kern w:val="0"/>
                <w:sz w:val="20"/>
                <w:szCs w:val="20"/>
              </w:rPr>
              <w:t>担保</w:t>
            </w:r>
          </w:p>
        </w:tc>
      </w:tr>
      <w:tr w14:paraId="31ABF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34CF30E9">
            <w:pPr>
              <w:widowControl/>
              <w:jc w:val="center"/>
              <w:rPr>
                <w:rFonts w:ascii="宋体" w:cs="宋体"/>
                <w:kern w:val="0"/>
                <w:sz w:val="20"/>
                <w:szCs w:val="20"/>
              </w:rPr>
            </w:pPr>
            <w:r>
              <w:rPr>
                <w:rFonts w:ascii="宋体" w:hAnsi="宋体" w:cs="宋体"/>
                <w:kern w:val="0"/>
                <w:sz w:val="20"/>
                <w:szCs w:val="20"/>
              </w:rPr>
              <w:t>200</w:t>
            </w:r>
          </w:p>
        </w:tc>
        <w:tc>
          <w:tcPr>
            <w:tcW w:w="5909" w:type="dxa"/>
            <w:gridSpan w:val="2"/>
            <w:noWrap w:val="0"/>
            <w:vAlign w:val="center"/>
          </w:tcPr>
          <w:p w14:paraId="6A76C80F">
            <w:pPr>
              <w:widowControl/>
              <w:jc w:val="left"/>
              <w:rPr>
                <w:rFonts w:ascii="宋体" w:cs="宋体"/>
                <w:kern w:val="0"/>
                <w:sz w:val="20"/>
                <w:szCs w:val="20"/>
              </w:rPr>
            </w:pPr>
            <w:r>
              <w:rPr>
                <w:rFonts w:hint="eastAsia" w:ascii="宋体" w:hAnsi="宋体" w:cs="宋体"/>
                <w:kern w:val="0"/>
                <w:sz w:val="20"/>
                <w:szCs w:val="20"/>
              </w:rPr>
              <w:t>小企业会计准则</w:t>
            </w:r>
          </w:p>
        </w:tc>
      </w:tr>
      <w:tr w14:paraId="5D4D6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4C2278E6">
            <w:pPr>
              <w:widowControl/>
              <w:jc w:val="center"/>
              <w:rPr>
                <w:rFonts w:ascii="宋体" w:cs="宋体"/>
                <w:kern w:val="0"/>
                <w:sz w:val="20"/>
                <w:szCs w:val="20"/>
              </w:rPr>
            </w:pPr>
            <w:r>
              <w:rPr>
                <w:rFonts w:ascii="宋体" w:hAnsi="宋体" w:cs="宋体"/>
                <w:kern w:val="0"/>
                <w:sz w:val="20"/>
                <w:szCs w:val="20"/>
              </w:rPr>
              <w:t>300</w:t>
            </w:r>
          </w:p>
        </w:tc>
        <w:tc>
          <w:tcPr>
            <w:tcW w:w="5909" w:type="dxa"/>
            <w:gridSpan w:val="2"/>
            <w:noWrap w:val="0"/>
            <w:vAlign w:val="center"/>
          </w:tcPr>
          <w:p w14:paraId="3FF3318B">
            <w:pPr>
              <w:widowControl/>
              <w:jc w:val="left"/>
              <w:rPr>
                <w:rFonts w:ascii="宋体" w:cs="宋体"/>
                <w:kern w:val="0"/>
                <w:sz w:val="20"/>
                <w:szCs w:val="20"/>
              </w:rPr>
            </w:pPr>
            <w:r>
              <w:rPr>
                <w:rFonts w:hint="eastAsia" w:ascii="宋体" w:hAnsi="宋体" w:cs="宋体"/>
                <w:kern w:val="0"/>
                <w:sz w:val="20"/>
                <w:szCs w:val="20"/>
              </w:rPr>
              <w:t>企业会计制度</w:t>
            </w:r>
          </w:p>
        </w:tc>
      </w:tr>
      <w:tr w14:paraId="63E36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 w:hRule="atLeast"/>
          <w:jc w:val="center"/>
        </w:trPr>
        <w:tc>
          <w:tcPr>
            <w:tcW w:w="1319" w:type="dxa"/>
            <w:noWrap w:val="0"/>
            <w:vAlign w:val="top"/>
          </w:tcPr>
          <w:p w14:paraId="5235635E">
            <w:pPr>
              <w:widowControl/>
              <w:jc w:val="center"/>
              <w:rPr>
                <w:rFonts w:ascii="宋体" w:cs="宋体"/>
                <w:kern w:val="0"/>
                <w:sz w:val="20"/>
                <w:szCs w:val="20"/>
              </w:rPr>
            </w:pPr>
            <w:r>
              <w:rPr>
                <w:rFonts w:ascii="宋体" w:hAnsi="宋体" w:cs="宋体"/>
                <w:kern w:val="0"/>
                <w:sz w:val="20"/>
                <w:szCs w:val="20"/>
              </w:rPr>
              <w:t>410</w:t>
            </w:r>
          </w:p>
        </w:tc>
        <w:tc>
          <w:tcPr>
            <w:tcW w:w="2801" w:type="dxa"/>
            <w:vMerge w:val="restart"/>
            <w:noWrap w:val="0"/>
            <w:vAlign w:val="center"/>
          </w:tcPr>
          <w:p w14:paraId="5FBCAB92">
            <w:pPr>
              <w:widowControl/>
              <w:jc w:val="left"/>
              <w:rPr>
                <w:rFonts w:ascii="宋体" w:cs="宋体"/>
                <w:kern w:val="0"/>
                <w:sz w:val="20"/>
                <w:szCs w:val="20"/>
              </w:rPr>
            </w:pPr>
            <w:r>
              <w:rPr>
                <w:rFonts w:hint="eastAsia" w:ascii="宋体" w:hAnsi="宋体" w:cs="宋体"/>
                <w:kern w:val="0"/>
                <w:sz w:val="20"/>
                <w:szCs w:val="20"/>
              </w:rPr>
              <w:t>事业单位会计准则</w:t>
            </w:r>
          </w:p>
        </w:tc>
        <w:tc>
          <w:tcPr>
            <w:tcW w:w="3108" w:type="dxa"/>
            <w:noWrap w:val="0"/>
            <w:vAlign w:val="top"/>
          </w:tcPr>
          <w:p w14:paraId="278BFA5D">
            <w:pPr>
              <w:widowControl/>
              <w:jc w:val="left"/>
              <w:rPr>
                <w:rFonts w:ascii="宋体" w:cs="宋体"/>
                <w:kern w:val="0"/>
                <w:sz w:val="20"/>
                <w:szCs w:val="20"/>
              </w:rPr>
            </w:pPr>
            <w:r>
              <w:rPr>
                <w:rFonts w:hint="eastAsia" w:ascii="宋体" w:hAnsi="宋体" w:cs="宋体"/>
                <w:kern w:val="0"/>
                <w:sz w:val="20"/>
                <w:szCs w:val="20"/>
              </w:rPr>
              <w:t>事业单位会计制度</w:t>
            </w:r>
          </w:p>
        </w:tc>
      </w:tr>
      <w:tr w14:paraId="0230B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 w:hRule="atLeast"/>
          <w:jc w:val="center"/>
        </w:trPr>
        <w:tc>
          <w:tcPr>
            <w:tcW w:w="1319" w:type="dxa"/>
            <w:noWrap w:val="0"/>
            <w:vAlign w:val="top"/>
          </w:tcPr>
          <w:p w14:paraId="62DCB67C">
            <w:pPr>
              <w:widowControl/>
              <w:jc w:val="center"/>
              <w:rPr>
                <w:rFonts w:ascii="宋体" w:cs="宋体"/>
                <w:kern w:val="0"/>
                <w:sz w:val="20"/>
                <w:szCs w:val="20"/>
              </w:rPr>
            </w:pPr>
            <w:r>
              <w:rPr>
                <w:rFonts w:ascii="宋体" w:hAnsi="宋体" w:cs="宋体"/>
                <w:kern w:val="0"/>
                <w:sz w:val="20"/>
                <w:szCs w:val="20"/>
              </w:rPr>
              <w:t>420</w:t>
            </w:r>
          </w:p>
        </w:tc>
        <w:tc>
          <w:tcPr>
            <w:tcW w:w="2801" w:type="dxa"/>
            <w:vMerge w:val="continue"/>
            <w:noWrap w:val="0"/>
            <w:vAlign w:val="center"/>
          </w:tcPr>
          <w:p w14:paraId="0217B672">
            <w:pPr>
              <w:widowControl/>
              <w:jc w:val="left"/>
              <w:rPr>
                <w:rFonts w:ascii="宋体" w:cs="宋体"/>
                <w:kern w:val="0"/>
                <w:sz w:val="20"/>
                <w:szCs w:val="20"/>
              </w:rPr>
            </w:pPr>
          </w:p>
        </w:tc>
        <w:tc>
          <w:tcPr>
            <w:tcW w:w="3108" w:type="dxa"/>
            <w:noWrap w:val="0"/>
            <w:vAlign w:val="top"/>
          </w:tcPr>
          <w:p w14:paraId="5B576F1D">
            <w:pPr>
              <w:widowControl/>
              <w:jc w:val="left"/>
              <w:rPr>
                <w:rFonts w:ascii="宋体" w:cs="宋体"/>
                <w:kern w:val="0"/>
                <w:sz w:val="20"/>
                <w:szCs w:val="20"/>
              </w:rPr>
            </w:pPr>
            <w:r>
              <w:rPr>
                <w:rFonts w:hint="eastAsia" w:ascii="宋体" w:hAnsi="宋体" w:cs="宋体"/>
                <w:kern w:val="0"/>
                <w:sz w:val="20"/>
                <w:szCs w:val="20"/>
              </w:rPr>
              <w:t>科学事业单位会计制度</w:t>
            </w:r>
          </w:p>
        </w:tc>
      </w:tr>
      <w:tr w14:paraId="5F741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 w:hRule="atLeast"/>
          <w:jc w:val="center"/>
        </w:trPr>
        <w:tc>
          <w:tcPr>
            <w:tcW w:w="1319" w:type="dxa"/>
            <w:noWrap w:val="0"/>
            <w:vAlign w:val="top"/>
          </w:tcPr>
          <w:p w14:paraId="741532F7">
            <w:pPr>
              <w:widowControl/>
              <w:jc w:val="center"/>
              <w:rPr>
                <w:rFonts w:ascii="宋体" w:cs="宋体"/>
                <w:kern w:val="0"/>
                <w:sz w:val="20"/>
                <w:szCs w:val="20"/>
              </w:rPr>
            </w:pPr>
            <w:r>
              <w:rPr>
                <w:rFonts w:ascii="宋体" w:hAnsi="宋体" w:cs="宋体"/>
                <w:kern w:val="0"/>
                <w:sz w:val="20"/>
                <w:szCs w:val="20"/>
              </w:rPr>
              <w:t>430</w:t>
            </w:r>
          </w:p>
        </w:tc>
        <w:tc>
          <w:tcPr>
            <w:tcW w:w="2801" w:type="dxa"/>
            <w:vMerge w:val="continue"/>
            <w:noWrap w:val="0"/>
            <w:vAlign w:val="center"/>
          </w:tcPr>
          <w:p w14:paraId="4BCB3BC7">
            <w:pPr>
              <w:widowControl/>
              <w:jc w:val="left"/>
              <w:rPr>
                <w:rFonts w:ascii="宋体" w:cs="宋体"/>
                <w:kern w:val="0"/>
                <w:sz w:val="20"/>
                <w:szCs w:val="20"/>
              </w:rPr>
            </w:pPr>
          </w:p>
        </w:tc>
        <w:tc>
          <w:tcPr>
            <w:tcW w:w="3108" w:type="dxa"/>
            <w:noWrap w:val="0"/>
            <w:vAlign w:val="top"/>
          </w:tcPr>
          <w:p w14:paraId="1DA98A51">
            <w:pPr>
              <w:widowControl/>
              <w:jc w:val="left"/>
              <w:rPr>
                <w:rFonts w:ascii="宋体" w:cs="宋体"/>
                <w:kern w:val="0"/>
                <w:sz w:val="20"/>
                <w:szCs w:val="20"/>
              </w:rPr>
            </w:pPr>
            <w:r>
              <w:rPr>
                <w:rFonts w:hint="eastAsia" w:ascii="宋体" w:hAnsi="宋体" w:cs="宋体"/>
                <w:kern w:val="0"/>
                <w:sz w:val="20"/>
                <w:szCs w:val="20"/>
              </w:rPr>
              <w:t>医院会计制度</w:t>
            </w:r>
          </w:p>
        </w:tc>
      </w:tr>
      <w:tr w14:paraId="74C2A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1319" w:type="dxa"/>
            <w:noWrap w:val="0"/>
            <w:vAlign w:val="top"/>
          </w:tcPr>
          <w:p w14:paraId="1A443319">
            <w:pPr>
              <w:widowControl/>
              <w:jc w:val="center"/>
              <w:rPr>
                <w:rFonts w:ascii="宋体" w:cs="宋体"/>
                <w:kern w:val="0"/>
                <w:sz w:val="20"/>
                <w:szCs w:val="20"/>
              </w:rPr>
            </w:pPr>
            <w:r>
              <w:rPr>
                <w:rFonts w:ascii="宋体" w:hAnsi="宋体" w:cs="宋体"/>
                <w:kern w:val="0"/>
                <w:sz w:val="20"/>
                <w:szCs w:val="20"/>
              </w:rPr>
              <w:t>440</w:t>
            </w:r>
          </w:p>
        </w:tc>
        <w:tc>
          <w:tcPr>
            <w:tcW w:w="2801" w:type="dxa"/>
            <w:vMerge w:val="continue"/>
            <w:noWrap w:val="0"/>
            <w:vAlign w:val="center"/>
          </w:tcPr>
          <w:p w14:paraId="10B880AB">
            <w:pPr>
              <w:widowControl/>
              <w:jc w:val="left"/>
              <w:rPr>
                <w:rFonts w:ascii="宋体" w:cs="宋体"/>
                <w:kern w:val="0"/>
                <w:sz w:val="20"/>
                <w:szCs w:val="20"/>
              </w:rPr>
            </w:pPr>
          </w:p>
        </w:tc>
        <w:tc>
          <w:tcPr>
            <w:tcW w:w="3108" w:type="dxa"/>
            <w:noWrap w:val="0"/>
            <w:vAlign w:val="top"/>
          </w:tcPr>
          <w:p w14:paraId="65DC94C3">
            <w:pPr>
              <w:widowControl/>
              <w:jc w:val="left"/>
              <w:rPr>
                <w:rFonts w:ascii="宋体" w:cs="宋体"/>
                <w:kern w:val="0"/>
                <w:sz w:val="20"/>
                <w:szCs w:val="20"/>
              </w:rPr>
            </w:pPr>
            <w:r>
              <w:rPr>
                <w:rFonts w:hint="eastAsia" w:ascii="宋体" w:hAnsi="宋体" w:cs="宋体"/>
                <w:kern w:val="0"/>
                <w:sz w:val="20"/>
                <w:szCs w:val="20"/>
              </w:rPr>
              <w:t>高等学校会计制度</w:t>
            </w:r>
          </w:p>
        </w:tc>
      </w:tr>
      <w:tr w14:paraId="2345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1319" w:type="dxa"/>
            <w:noWrap w:val="0"/>
            <w:vAlign w:val="top"/>
          </w:tcPr>
          <w:p w14:paraId="5E2B382A">
            <w:pPr>
              <w:widowControl/>
              <w:jc w:val="center"/>
              <w:rPr>
                <w:rFonts w:ascii="宋体" w:cs="宋体"/>
                <w:kern w:val="0"/>
                <w:sz w:val="20"/>
                <w:szCs w:val="20"/>
              </w:rPr>
            </w:pPr>
            <w:r>
              <w:rPr>
                <w:rFonts w:ascii="宋体" w:hAnsi="宋体" w:cs="宋体"/>
                <w:kern w:val="0"/>
                <w:sz w:val="20"/>
                <w:szCs w:val="20"/>
              </w:rPr>
              <w:t>450</w:t>
            </w:r>
          </w:p>
        </w:tc>
        <w:tc>
          <w:tcPr>
            <w:tcW w:w="2801" w:type="dxa"/>
            <w:vMerge w:val="continue"/>
            <w:noWrap w:val="0"/>
            <w:vAlign w:val="center"/>
          </w:tcPr>
          <w:p w14:paraId="3C05D28B">
            <w:pPr>
              <w:widowControl/>
              <w:jc w:val="left"/>
              <w:rPr>
                <w:rFonts w:ascii="宋体" w:cs="宋体"/>
                <w:kern w:val="0"/>
                <w:sz w:val="20"/>
                <w:szCs w:val="20"/>
              </w:rPr>
            </w:pPr>
          </w:p>
        </w:tc>
        <w:tc>
          <w:tcPr>
            <w:tcW w:w="3108" w:type="dxa"/>
            <w:noWrap w:val="0"/>
            <w:vAlign w:val="top"/>
          </w:tcPr>
          <w:p w14:paraId="42FC5363">
            <w:pPr>
              <w:widowControl/>
              <w:jc w:val="left"/>
              <w:rPr>
                <w:rFonts w:ascii="宋体" w:cs="宋体"/>
                <w:kern w:val="0"/>
                <w:sz w:val="20"/>
                <w:szCs w:val="20"/>
              </w:rPr>
            </w:pPr>
            <w:r>
              <w:rPr>
                <w:rFonts w:hint="eastAsia" w:ascii="宋体" w:hAnsi="宋体" w:cs="宋体"/>
                <w:kern w:val="0"/>
                <w:sz w:val="20"/>
                <w:szCs w:val="20"/>
              </w:rPr>
              <w:t>中小学校会计制度</w:t>
            </w:r>
          </w:p>
        </w:tc>
      </w:tr>
      <w:tr w14:paraId="503E1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 w:hRule="atLeast"/>
          <w:jc w:val="center"/>
        </w:trPr>
        <w:tc>
          <w:tcPr>
            <w:tcW w:w="1319" w:type="dxa"/>
            <w:noWrap w:val="0"/>
            <w:vAlign w:val="top"/>
          </w:tcPr>
          <w:p w14:paraId="0C51C662">
            <w:pPr>
              <w:widowControl/>
              <w:jc w:val="center"/>
              <w:rPr>
                <w:rFonts w:ascii="宋体" w:cs="宋体"/>
                <w:kern w:val="0"/>
                <w:sz w:val="20"/>
                <w:szCs w:val="20"/>
              </w:rPr>
            </w:pPr>
            <w:r>
              <w:rPr>
                <w:rFonts w:ascii="宋体" w:hAnsi="宋体" w:cs="宋体"/>
                <w:kern w:val="0"/>
                <w:sz w:val="20"/>
                <w:szCs w:val="20"/>
              </w:rPr>
              <w:t>460</w:t>
            </w:r>
          </w:p>
        </w:tc>
        <w:tc>
          <w:tcPr>
            <w:tcW w:w="2801" w:type="dxa"/>
            <w:vMerge w:val="continue"/>
            <w:noWrap w:val="0"/>
            <w:vAlign w:val="center"/>
          </w:tcPr>
          <w:p w14:paraId="3254DD93">
            <w:pPr>
              <w:widowControl/>
              <w:jc w:val="left"/>
              <w:rPr>
                <w:rFonts w:ascii="宋体" w:cs="宋体"/>
                <w:kern w:val="0"/>
                <w:sz w:val="20"/>
                <w:szCs w:val="20"/>
              </w:rPr>
            </w:pPr>
          </w:p>
        </w:tc>
        <w:tc>
          <w:tcPr>
            <w:tcW w:w="3108" w:type="dxa"/>
            <w:noWrap w:val="0"/>
            <w:vAlign w:val="top"/>
          </w:tcPr>
          <w:p w14:paraId="0B204E70">
            <w:pPr>
              <w:widowControl/>
              <w:jc w:val="left"/>
              <w:rPr>
                <w:rFonts w:ascii="宋体" w:cs="宋体"/>
                <w:kern w:val="0"/>
                <w:sz w:val="20"/>
                <w:szCs w:val="20"/>
              </w:rPr>
            </w:pPr>
            <w:r>
              <w:rPr>
                <w:rFonts w:hint="eastAsia" w:ascii="宋体" w:hAnsi="宋体" w:cs="宋体"/>
                <w:kern w:val="0"/>
                <w:sz w:val="20"/>
                <w:szCs w:val="20"/>
              </w:rPr>
              <w:t>彩票机构会计制度</w:t>
            </w:r>
          </w:p>
        </w:tc>
      </w:tr>
      <w:tr w14:paraId="1BA37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0AE6C32B">
            <w:pPr>
              <w:widowControl/>
              <w:jc w:val="center"/>
              <w:rPr>
                <w:rFonts w:ascii="宋体" w:cs="宋体"/>
                <w:kern w:val="0"/>
                <w:sz w:val="20"/>
                <w:szCs w:val="20"/>
              </w:rPr>
            </w:pPr>
            <w:r>
              <w:rPr>
                <w:rFonts w:ascii="宋体" w:hAnsi="宋体" w:cs="宋体"/>
                <w:kern w:val="0"/>
                <w:sz w:val="20"/>
                <w:szCs w:val="20"/>
              </w:rPr>
              <w:t>500</w:t>
            </w:r>
          </w:p>
        </w:tc>
        <w:tc>
          <w:tcPr>
            <w:tcW w:w="5909" w:type="dxa"/>
            <w:gridSpan w:val="2"/>
            <w:noWrap w:val="0"/>
            <w:vAlign w:val="center"/>
          </w:tcPr>
          <w:p w14:paraId="0966B9C9">
            <w:pPr>
              <w:widowControl/>
              <w:jc w:val="left"/>
              <w:rPr>
                <w:rFonts w:ascii="宋体" w:cs="宋体"/>
                <w:kern w:val="0"/>
                <w:sz w:val="20"/>
                <w:szCs w:val="20"/>
              </w:rPr>
            </w:pPr>
            <w:r>
              <w:rPr>
                <w:rFonts w:hint="eastAsia" w:ascii="宋体" w:hAnsi="宋体" w:cs="宋体"/>
                <w:kern w:val="0"/>
                <w:sz w:val="20"/>
                <w:szCs w:val="20"/>
              </w:rPr>
              <w:t>民间非营利组织会计制度</w:t>
            </w:r>
          </w:p>
        </w:tc>
      </w:tr>
      <w:tr w14:paraId="7B439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34C83599">
            <w:pPr>
              <w:widowControl/>
              <w:jc w:val="center"/>
              <w:rPr>
                <w:rFonts w:ascii="宋体" w:cs="宋体"/>
                <w:kern w:val="0"/>
                <w:sz w:val="20"/>
                <w:szCs w:val="20"/>
              </w:rPr>
            </w:pPr>
            <w:r>
              <w:rPr>
                <w:rFonts w:ascii="宋体" w:hAnsi="宋体" w:cs="宋体"/>
                <w:kern w:val="0"/>
                <w:sz w:val="20"/>
                <w:szCs w:val="20"/>
              </w:rPr>
              <w:t>600</w:t>
            </w:r>
          </w:p>
        </w:tc>
        <w:tc>
          <w:tcPr>
            <w:tcW w:w="5909" w:type="dxa"/>
            <w:gridSpan w:val="2"/>
            <w:noWrap w:val="0"/>
            <w:vAlign w:val="center"/>
          </w:tcPr>
          <w:p w14:paraId="0B83043B">
            <w:pPr>
              <w:widowControl/>
              <w:jc w:val="left"/>
              <w:rPr>
                <w:rFonts w:ascii="宋体" w:cs="宋体"/>
                <w:kern w:val="0"/>
                <w:sz w:val="20"/>
                <w:szCs w:val="20"/>
              </w:rPr>
            </w:pPr>
            <w:r>
              <w:rPr>
                <w:rFonts w:hint="eastAsia" w:ascii="宋体" w:hAnsi="宋体" w:cs="宋体"/>
                <w:kern w:val="0"/>
                <w:sz w:val="20"/>
                <w:szCs w:val="20"/>
              </w:rPr>
              <w:t>村集体经济组织会计制度</w:t>
            </w:r>
          </w:p>
        </w:tc>
      </w:tr>
      <w:tr w14:paraId="43D45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9" w:type="dxa"/>
            <w:noWrap w:val="0"/>
            <w:vAlign w:val="top"/>
          </w:tcPr>
          <w:p w14:paraId="0ADC4788">
            <w:pPr>
              <w:widowControl/>
              <w:jc w:val="center"/>
              <w:rPr>
                <w:rFonts w:ascii="宋体" w:cs="宋体"/>
                <w:kern w:val="0"/>
                <w:sz w:val="20"/>
                <w:szCs w:val="20"/>
              </w:rPr>
            </w:pPr>
            <w:r>
              <w:rPr>
                <w:rFonts w:ascii="宋体" w:hAnsi="宋体" w:cs="宋体"/>
                <w:kern w:val="0"/>
                <w:sz w:val="20"/>
                <w:szCs w:val="20"/>
              </w:rPr>
              <w:t>700</w:t>
            </w:r>
          </w:p>
        </w:tc>
        <w:tc>
          <w:tcPr>
            <w:tcW w:w="5909" w:type="dxa"/>
            <w:gridSpan w:val="2"/>
            <w:noWrap w:val="0"/>
            <w:vAlign w:val="center"/>
          </w:tcPr>
          <w:p w14:paraId="29A87E8B">
            <w:pPr>
              <w:widowControl/>
              <w:jc w:val="left"/>
              <w:rPr>
                <w:rFonts w:ascii="宋体" w:cs="宋体"/>
                <w:kern w:val="0"/>
                <w:sz w:val="20"/>
                <w:szCs w:val="20"/>
              </w:rPr>
            </w:pPr>
            <w:r>
              <w:rPr>
                <w:rFonts w:hint="eastAsia" w:ascii="宋体" w:hAnsi="宋体" w:cs="宋体"/>
                <w:kern w:val="0"/>
                <w:sz w:val="20"/>
                <w:szCs w:val="20"/>
              </w:rPr>
              <w:t>农民专业合作社财务会计制度（试行）</w:t>
            </w:r>
          </w:p>
        </w:tc>
      </w:tr>
      <w:tr w14:paraId="7A62F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1319" w:type="dxa"/>
            <w:noWrap w:val="0"/>
            <w:vAlign w:val="top"/>
          </w:tcPr>
          <w:p w14:paraId="55D53647">
            <w:pPr>
              <w:widowControl/>
              <w:jc w:val="center"/>
              <w:rPr>
                <w:rFonts w:ascii="宋体" w:cs="宋体"/>
                <w:kern w:val="0"/>
                <w:sz w:val="20"/>
                <w:szCs w:val="20"/>
              </w:rPr>
            </w:pPr>
            <w:r>
              <w:rPr>
                <w:rFonts w:ascii="宋体" w:hAnsi="宋体" w:cs="宋体"/>
                <w:kern w:val="0"/>
                <w:sz w:val="20"/>
                <w:szCs w:val="20"/>
              </w:rPr>
              <w:t>999</w:t>
            </w:r>
          </w:p>
        </w:tc>
        <w:tc>
          <w:tcPr>
            <w:tcW w:w="5909" w:type="dxa"/>
            <w:gridSpan w:val="2"/>
            <w:noWrap w:val="0"/>
            <w:vAlign w:val="center"/>
          </w:tcPr>
          <w:p w14:paraId="65B1F9F2">
            <w:pPr>
              <w:widowControl/>
              <w:jc w:val="left"/>
              <w:rPr>
                <w:rFonts w:ascii="宋体" w:cs="宋体"/>
                <w:kern w:val="0"/>
                <w:sz w:val="20"/>
                <w:szCs w:val="20"/>
              </w:rPr>
            </w:pPr>
            <w:r>
              <w:rPr>
                <w:rFonts w:hint="eastAsia" w:ascii="宋体" w:hAnsi="宋体" w:cs="宋体"/>
                <w:kern w:val="0"/>
                <w:sz w:val="20"/>
                <w:szCs w:val="20"/>
              </w:rPr>
              <w:t>其他</w:t>
            </w:r>
          </w:p>
        </w:tc>
      </w:tr>
    </w:tbl>
    <w:p w14:paraId="497DBAA9">
      <w:pPr>
        <w:pStyle w:val="8"/>
      </w:pPr>
      <w:r>
        <w:t>8.</w:t>
      </w:r>
      <w:r>
        <w:rPr>
          <w:rFonts w:hint="eastAsia"/>
        </w:rPr>
        <w:t>“</w:t>
      </w:r>
      <w:r>
        <w:t>108</w:t>
      </w:r>
      <w:r>
        <w:rPr>
          <w:rFonts w:hint="eastAsia"/>
        </w:rPr>
        <w:t>采用一般企业财务报表格式（</w:t>
      </w:r>
      <w:r>
        <w:t>2019</w:t>
      </w:r>
      <w:r>
        <w:rPr>
          <w:rFonts w:hint="eastAsia"/>
        </w:rPr>
        <w:t>年版）”：纳税人根据《财政部关于修订印发</w:t>
      </w:r>
      <w:r>
        <w:t>2019</w:t>
      </w:r>
      <w:r>
        <w:rPr>
          <w:rFonts w:hint="eastAsia"/>
        </w:rPr>
        <w:t>年度一般企业财务报表格式的通知》（财会〔</w:t>
      </w:r>
      <w:r>
        <w:t>2019</w:t>
      </w:r>
      <w:r>
        <w:rPr>
          <w:rFonts w:hint="eastAsia"/>
        </w:rPr>
        <w:t>〕</w:t>
      </w:r>
      <w:r>
        <w:t>6</w:t>
      </w:r>
      <w:r>
        <w:rPr>
          <w:rFonts w:hint="eastAsia"/>
        </w:rPr>
        <w:t>号）和《财政部关于修订印发</w:t>
      </w:r>
      <w:r>
        <w:t>201</w:t>
      </w:r>
      <w:r>
        <w:rPr>
          <w:rFonts w:hint="eastAsia"/>
        </w:rPr>
        <w:t>8年度金融企业财务报表格式的通知》（财会〔</w:t>
      </w:r>
      <w:r>
        <w:t>201</w:t>
      </w:r>
      <w:r>
        <w:rPr>
          <w:rFonts w:hint="eastAsia"/>
        </w:rPr>
        <w:t>8〕3</w:t>
      </w:r>
      <w:r>
        <w:t>6</w:t>
      </w:r>
      <w:r>
        <w:rPr>
          <w:rFonts w:hint="eastAsia"/>
        </w:rPr>
        <w:t>号）规定的格式编制财务报表的，选择“是”，其他选择“否”。</w:t>
      </w:r>
    </w:p>
    <w:p w14:paraId="3495D32A">
      <w:pPr>
        <w:pStyle w:val="8"/>
      </w:pPr>
      <w:r>
        <w:t>9.</w:t>
      </w:r>
      <w:r>
        <w:rPr>
          <w:rFonts w:hint="eastAsia"/>
        </w:rPr>
        <w:t>“</w:t>
      </w:r>
      <w:r>
        <w:t>109</w:t>
      </w:r>
      <w:r>
        <w:rPr>
          <w:rFonts w:hint="eastAsia"/>
        </w:rPr>
        <w:t>小型微利企业”：纳税人符合小型微利企业普惠性所得税减免政策条件的，选择“是”，其他选择“否”。</w:t>
      </w:r>
    </w:p>
    <w:p w14:paraId="68975C35">
      <w:pPr>
        <w:pStyle w:val="8"/>
      </w:pPr>
      <w:r>
        <w:t>10.</w:t>
      </w:r>
      <w:r>
        <w:rPr>
          <w:rFonts w:hint="eastAsia"/>
        </w:rPr>
        <w:t>“</w:t>
      </w:r>
      <w:r>
        <w:t>110</w:t>
      </w:r>
      <w:r>
        <w:rPr>
          <w:rFonts w:hint="eastAsia"/>
        </w:rPr>
        <w:t>上市公司”：纳税人在中国境内上市的选择“境内”；在中国境外上市的选择“境外”；在境内外同时上市的可同时选择；其他选择“否”。纳税人在中国香港上市的，参照境外上市相关规定选择。</w:t>
      </w:r>
    </w:p>
    <w:p w14:paraId="2353F19A">
      <w:pPr>
        <w:pStyle w:val="10"/>
        <w:ind w:firstLine="482"/>
        <w:rPr>
          <w:rFonts w:cs="Times New Roman"/>
        </w:rPr>
      </w:pPr>
      <w:bookmarkStart w:id="7" w:name="_Toc21711185"/>
      <w:bookmarkStart w:id="8" w:name="_Toc21712223"/>
      <w:bookmarkStart w:id="9" w:name="_Toc24965006"/>
      <w:bookmarkStart w:id="10" w:name="_Toc21703702"/>
      <w:r>
        <w:rPr>
          <w:rFonts w:hint="eastAsia"/>
        </w:rPr>
        <w:t>二、</w:t>
      </w:r>
      <w:bookmarkStart w:id="11" w:name="_Hlk524760322"/>
      <w:r>
        <w:rPr>
          <w:rFonts w:hint="eastAsia"/>
        </w:rPr>
        <w:t>有关涉税事项</w:t>
      </w:r>
      <w:bookmarkEnd w:id="11"/>
      <w:r>
        <w:rPr>
          <w:rFonts w:hint="eastAsia"/>
        </w:rPr>
        <w:t>情况</w:t>
      </w:r>
      <w:bookmarkEnd w:id="7"/>
      <w:bookmarkEnd w:id="8"/>
      <w:bookmarkEnd w:id="9"/>
      <w:bookmarkEnd w:id="10"/>
    </w:p>
    <w:p w14:paraId="1608AD39">
      <w:pPr>
        <w:pStyle w:val="8"/>
      </w:pPr>
      <w:r>
        <w:rPr>
          <w:rFonts w:hint="eastAsia"/>
        </w:rPr>
        <w:t>本部分所列项目为条件必填（必选）内容，当纳税人存在或发生下列事项时，必须填报。纳税人未填报的，视同不存在或未发生下列事项。</w:t>
      </w:r>
    </w:p>
    <w:p w14:paraId="1DD0E84F">
      <w:pPr>
        <w:pStyle w:val="8"/>
      </w:pPr>
      <w:r>
        <w:t>1.</w:t>
      </w:r>
      <w:r>
        <w:rPr>
          <w:rFonts w:hint="eastAsia"/>
        </w:rPr>
        <w:t>“</w:t>
      </w:r>
      <w:r>
        <w:t>201</w:t>
      </w:r>
      <w:r>
        <w:rPr>
          <w:rFonts w:hint="eastAsia"/>
        </w:rPr>
        <w:t>从事股权投资业务”：纳税人从事股权投资业务的（包括集团公司总部、创业投资企业等），选择“是”。</w:t>
      </w:r>
    </w:p>
    <w:p w14:paraId="30B5D92E">
      <w:pPr>
        <w:pStyle w:val="8"/>
      </w:pPr>
      <w:r>
        <w:t>2.</w:t>
      </w:r>
      <w:r>
        <w:rPr>
          <w:rFonts w:hint="eastAsia"/>
        </w:rPr>
        <w:t>“</w:t>
      </w:r>
      <w:r>
        <w:t>202</w:t>
      </w:r>
      <w:r>
        <w:rPr>
          <w:rFonts w:hint="eastAsia"/>
        </w:rPr>
        <w:t>存在境外关联交易”：纳税人存在境外关联交易的，选择“是”。</w:t>
      </w:r>
    </w:p>
    <w:p w14:paraId="271546A0">
      <w:pPr>
        <w:pStyle w:val="8"/>
      </w:pPr>
      <w:r>
        <w:t>3.</w:t>
      </w:r>
      <w:r>
        <w:rPr>
          <w:rFonts w:hint="eastAsia"/>
        </w:rPr>
        <w:t>“</w:t>
      </w:r>
      <w:r>
        <w:t>203</w:t>
      </w:r>
      <w:r>
        <w:rPr>
          <w:rFonts w:hint="eastAsia"/>
        </w:rPr>
        <w:t>选择采用的境外所得抵免方式”：纳税人适用境外所得税收抵免政策，且根据《财政部</w:t>
      </w:r>
      <w:r>
        <w:t xml:space="preserve"> </w:t>
      </w:r>
      <w:r>
        <w:rPr>
          <w:rFonts w:hint="eastAsia"/>
        </w:rPr>
        <w:t>税务总局关于完善企业境外所得税收抵免政策问题的通知》（财税〔</w:t>
      </w:r>
      <w:r>
        <w:t>2017</w:t>
      </w:r>
      <w:r>
        <w:rPr>
          <w:rFonts w:hint="eastAsia"/>
        </w:rPr>
        <w:t>〕</w:t>
      </w:r>
      <w:r>
        <w:t>84</w:t>
      </w:r>
      <w:r>
        <w:rPr>
          <w:rFonts w:hint="eastAsia"/>
        </w:rPr>
        <w:t>号）文件规定选择按国（地区）别分别计算其来源于境外的应纳税所得额，即“分国（地区）不分项”的，选择“分国（地区）不分项”；纳税人适用境外所得税收抵免政策，且根据财税〔</w:t>
      </w:r>
      <w:r>
        <w:t>2017</w:t>
      </w:r>
      <w:r>
        <w:rPr>
          <w:rFonts w:hint="eastAsia"/>
        </w:rPr>
        <w:t>〕</w:t>
      </w:r>
      <w:r>
        <w:t>84</w:t>
      </w:r>
      <w:r>
        <w:rPr>
          <w:rFonts w:hint="eastAsia"/>
        </w:rPr>
        <w:t>号文件规定选择不按国（地区）别汇总计算其来源于境外的应纳税所得额，即“不分国（地区）不分项”的，选择“不分国（地区）不分项”。境外所得抵免方式一经选择，</w:t>
      </w:r>
      <w:r>
        <w:t>5</w:t>
      </w:r>
      <w:r>
        <w:rPr>
          <w:rFonts w:hint="eastAsia"/>
        </w:rPr>
        <w:t>年内不得变更。</w:t>
      </w:r>
    </w:p>
    <w:p w14:paraId="156C1246">
      <w:pPr>
        <w:pStyle w:val="8"/>
      </w:pPr>
      <w:r>
        <w:t>4.</w:t>
      </w:r>
      <w:r>
        <w:rPr>
          <w:rFonts w:hint="eastAsia"/>
        </w:rPr>
        <w:t>“</w:t>
      </w:r>
      <w:r>
        <w:t>204</w:t>
      </w:r>
      <w:r>
        <w:rPr>
          <w:rFonts w:hint="eastAsia"/>
        </w:rPr>
        <w:t>有限合伙制创业投资企业的法人合伙人”：纳税人投资于有限合伙制创业投资企业且为其法人合伙人的，选择“是”。本项目中的有限合伙制创业投资企业的法人合伙人是指符合《中华人民共和国合伙企业法》《创业投资企业管理暂行办法》（国家发展和改革委员会令第</w:t>
      </w:r>
      <w:r>
        <w:t>39</w:t>
      </w:r>
      <w:r>
        <w:rPr>
          <w:rFonts w:hint="eastAsia"/>
        </w:rPr>
        <w:t>号）、《外商投资创业投资企业管理规定》（外经贸部、科技部、工商总局、税务总局、外汇管理局令</w:t>
      </w:r>
      <w:r>
        <w:t>2003</w:t>
      </w:r>
      <w:r>
        <w:rPr>
          <w:rFonts w:hint="eastAsia"/>
        </w:rPr>
        <w:t>年第</w:t>
      </w:r>
      <w:r>
        <w:t>2</w:t>
      </w:r>
      <w:r>
        <w:rPr>
          <w:rFonts w:hint="eastAsia"/>
        </w:rPr>
        <w:t>号发布，商务部令</w:t>
      </w:r>
      <w:r>
        <w:t>2015</w:t>
      </w:r>
      <w:r>
        <w:rPr>
          <w:rFonts w:hint="eastAsia"/>
        </w:rPr>
        <w:t>年第</w:t>
      </w:r>
      <w:r>
        <w:t>2</w:t>
      </w:r>
      <w:r>
        <w:rPr>
          <w:rFonts w:hint="eastAsia"/>
        </w:rPr>
        <w:t>号修改）、《私募投资基金监督管理暂行办法》</w:t>
      </w:r>
      <w:r>
        <w:t>(</w:t>
      </w:r>
      <w:r>
        <w:rPr>
          <w:rFonts w:hint="eastAsia"/>
        </w:rPr>
        <w:t>证监会令第</w:t>
      </w:r>
      <w:r>
        <w:t>105</w:t>
      </w:r>
      <w:r>
        <w:rPr>
          <w:rFonts w:hint="eastAsia"/>
        </w:rPr>
        <w:t>号</w:t>
      </w:r>
      <w:r>
        <w:t>)</w:t>
      </w:r>
      <w:r>
        <w:rPr>
          <w:rFonts w:hint="eastAsia"/>
        </w:rPr>
        <w:t>关于创业投资基金的特别规定等规定的创业投资企业法人合伙人。有限合伙制创业投资企业的法人合伙人无论是否享受企业所得税优惠</w:t>
      </w:r>
      <w:bookmarkStart w:id="12" w:name="_Hlk528834280"/>
      <w:r>
        <w:rPr>
          <w:rFonts w:hint="eastAsia"/>
        </w:rPr>
        <w:t>政策</w:t>
      </w:r>
      <w:bookmarkEnd w:id="12"/>
      <w:r>
        <w:rPr>
          <w:rFonts w:hint="eastAsia"/>
        </w:rPr>
        <w:t>，均应填报本项。</w:t>
      </w:r>
    </w:p>
    <w:p w14:paraId="4D078B45">
      <w:pPr>
        <w:pStyle w:val="8"/>
      </w:pPr>
      <w:r>
        <w:t>5.</w:t>
      </w:r>
      <w:r>
        <w:rPr>
          <w:rFonts w:hint="eastAsia"/>
        </w:rPr>
        <w:t>“</w:t>
      </w:r>
      <w:r>
        <w:t>205</w:t>
      </w:r>
      <w:r>
        <w:rPr>
          <w:rFonts w:hint="eastAsia"/>
        </w:rPr>
        <w:t>创业投资企业”：纳税人为创业投资企业的，选择“是”。本项目中的创业投资企业是指依照《创业投资企业管理暂行办法》（国家发展和改革委员会令第</w:t>
      </w:r>
      <w:r>
        <w:t>39</w:t>
      </w:r>
      <w:r>
        <w:rPr>
          <w:rFonts w:hint="eastAsia"/>
        </w:rPr>
        <w:t>号）和《外商投资创业投资企业管理规定》（外经贸部、科技部、工商总局、税务总局、外汇管理局令</w:t>
      </w:r>
      <w:r>
        <w:t>2003</w:t>
      </w:r>
      <w:r>
        <w:rPr>
          <w:rFonts w:hint="eastAsia"/>
        </w:rPr>
        <w:t>年第</w:t>
      </w:r>
      <w:r>
        <w:t>2</w:t>
      </w:r>
      <w:r>
        <w:rPr>
          <w:rFonts w:hint="eastAsia"/>
        </w:rPr>
        <w:t>号发布，商务部令</w:t>
      </w:r>
      <w:r>
        <w:t>2015</w:t>
      </w:r>
      <w:r>
        <w:rPr>
          <w:rFonts w:hint="eastAsia"/>
        </w:rPr>
        <w:t>年第</w:t>
      </w:r>
      <w:r>
        <w:t>2</w:t>
      </w:r>
      <w:r>
        <w:rPr>
          <w:rFonts w:hint="eastAsia"/>
        </w:rPr>
        <w:t>号修改）、《私募投资基金监督管理暂行办法》</w:t>
      </w:r>
      <w:r>
        <w:t>(</w:t>
      </w:r>
      <w:r>
        <w:rPr>
          <w:rFonts w:hint="eastAsia"/>
        </w:rPr>
        <w:t>证监会令第</w:t>
      </w:r>
      <w:r>
        <w:t>105</w:t>
      </w:r>
      <w:r>
        <w:rPr>
          <w:rFonts w:hint="eastAsia"/>
        </w:rPr>
        <w:t>号</w:t>
      </w:r>
      <w:r>
        <w:t>)</w:t>
      </w:r>
      <w:r>
        <w:rPr>
          <w:rFonts w:hint="eastAsia"/>
        </w:rPr>
        <w:t>关于创业投资基金的特别规定等规定，在中华人民共和国境内设立的专门从事创业投资活动的企业或其他经济组织。创业投资企业无论是否享受企业所得税优惠政策，均应填报本项。</w:t>
      </w:r>
    </w:p>
    <w:p w14:paraId="4262BDB6">
      <w:pPr>
        <w:pStyle w:val="8"/>
      </w:pPr>
      <w:r>
        <w:t>6.</w:t>
      </w:r>
      <w:r>
        <w:rPr>
          <w:rFonts w:hint="eastAsia"/>
        </w:rPr>
        <w:t>“</w:t>
      </w:r>
      <w:bookmarkStart w:id="13" w:name="_Hlk525117424"/>
      <w:r>
        <w:t>206</w:t>
      </w:r>
      <w:r>
        <w:rPr>
          <w:rFonts w:hint="eastAsia"/>
        </w:rPr>
        <w:t>技术先进型服务企业类型</w:t>
      </w:r>
      <w:bookmarkEnd w:id="13"/>
      <w:r>
        <w:rPr>
          <w:rFonts w:hint="eastAsia"/>
        </w:rPr>
        <w:t>”：纳税人为经认定的技术先进型服务企业的，从《技术先进型服务企业类型代码表》中选择相应的代码填报本项。本项目中的经认定的技术先进型服务企业是指符合《财政部</w:t>
      </w:r>
      <w:r>
        <w:t xml:space="preserve"> </w:t>
      </w:r>
      <w:r>
        <w:rPr>
          <w:rFonts w:hint="eastAsia"/>
        </w:rPr>
        <w:t>税务总局 商务部 科技部 国家发展改革委关于将技术先进型服务企业所得税政策推广至全国实施的通知》（财税〔</w:t>
      </w:r>
      <w:r>
        <w:t>2017</w:t>
      </w:r>
      <w:r>
        <w:rPr>
          <w:rFonts w:hint="eastAsia"/>
        </w:rPr>
        <w:t>〕</w:t>
      </w:r>
      <w:r>
        <w:t>79</w:t>
      </w:r>
      <w:r>
        <w:rPr>
          <w:rFonts w:hint="eastAsia"/>
        </w:rPr>
        <w:t>号）、《财政部</w:t>
      </w:r>
      <w:r>
        <w:t xml:space="preserve"> </w:t>
      </w:r>
      <w:r>
        <w:rPr>
          <w:rFonts w:hint="eastAsia"/>
        </w:rPr>
        <w:t>税务总局 商务部 科技部 国家发展改革委关于将服务贸易创新发展试点地区技术先进型服务企业所得税政策推广至全国实施的通知》（财税〔</w:t>
      </w:r>
      <w:r>
        <w:t>2018</w:t>
      </w:r>
      <w:r>
        <w:rPr>
          <w:rFonts w:hint="eastAsia"/>
        </w:rPr>
        <w:t>〕</w:t>
      </w:r>
      <w:r>
        <w:t>44</w:t>
      </w:r>
      <w:r>
        <w:rPr>
          <w:rFonts w:hint="eastAsia"/>
        </w:rPr>
        <w:t>号）等文件规定的企业。经认定的技术先进型服务企业无论是否享受企业所得税优惠政策，均应填报本项。</w:t>
      </w:r>
    </w:p>
    <w:p w14:paraId="5EAAC6E8">
      <w:pPr>
        <w:pStyle w:val="11"/>
        <w:rPr>
          <w:rFonts w:cs="Times New Roman"/>
        </w:rPr>
      </w:pPr>
      <w:bookmarkStart w:id="14" w:name="_Hlk525117364"/>
      <w:r>
        <w:rPr>
          <w:rFonts w:hint="eastAsia"/>
        </w:rPr>
        <w:t>技术先进型服务企业</w:t>
      </w:r>
      <w:bookmarkEnd w:id="14"/>
      <w:r>
        <w:rPr>
          <w:rFonts w:hint="eastAsia"/>
        </w:rPr>
        <w:t>类型代码表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3066"/>
        <w:gridCol w:w="3681"/>
      </w:tblGrid>
      <w:tr w14:paraId="34C71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1252" w:type="dxa"/>
            <w:vMerge w:val="restart"/>
            <w:noWrap w:val="0"/>
            <w:vAlign w:val="center"/>
          </w:tcPr>
          <w:p w14:paraId="44D9E39B">
            <w:pPr>
              <w:widowControl/>
              <w:jc w:val="center"/>
              <w:rPr>
                <w:rFonts w:ascii="宋体" w:cs="宋体"/>
                <w:b/>
                <w:kern w:val="0"/>
                <w:sz w:val="20"/>
                <w:szCs w:val="20"/>
              </w:rPr>
            </w:pPr>
            <w:r>
              <w:rPr>
                <w:rFonts w:hint="eastAsia" w:ascii="宋体" w:hAnsi="宋体" w:cs="宋体"/>
                <w:b/>
                <w:kern w:val="0"/>
                <w:sz w:val="20"/>
                <w:szCs w:val="20"/>
              </w:rPr>
              <w:t>代码</w:t>
            </w:r>
          </w:p>
        </w:tc>
        <w:tc>
          <w:tcPr>
            <w:tcW w:w="6747" w:type="dxa"/>
            <w:gridSpan w:val="2"/>
            <w:noWrap w:val="0"/>
            <w:vAlign w:val="center"/>
          </w:tcPr>
          <w:p w14:paraId="574A8C0C">
            <w:pPr>
              <w:widowControl/>
              <w:jc w:val="center"/>
              <w:rPr>
                <w:rFonts w:ascii="宋体" w:cs="宋体"/>
                <w:b/>
                <w:kern w:val="0"/>
                <w:sz w:val="20"/>
                <w:szCs w:val="20"/>
              </w:rPr>
            </w:pPr>
            <w:r>
              <w:rPr>
                <w:rFonts w:hint="eastAsia" w:ascii="宋体" w:hAnsi="宋体" w:cs="宋体"/>
                <w:b/>
                <w:kern w:val="0"/>
                <w:sz w:val="20"/>
                <w:szCs w:val="20"/>
              </w:rPr>
              <w:t>类型</w:t>
            </w:r>
          </w:p>
        </w:tc>
      </w:tr>
      <w:tr w14:paraId="53A8A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1252" w:type="dxa"/>
            <w:vMerge w:val="continue"/>
            <w:noWrap w:val="0"/>
            <w:vAlign w:val="center"/>
          </w:tcPr>
          <w:p w14:paraId="68A91E70">
            <w:pPr>
              <w:widowControl/>
              <w:jc w:val="center"/>
              <w:rPr>
                <w:rFonts w:ascii="宋体" w:cs="宋体"/>
                <w:b/>
                <w:kern w:val="0"/>
                <w:sz w:val="20"/>
                <w:szCs w:val="20"/>
              </w:rPr>
            </w:pPr>
          </w:p>
        </w:tc>
        <w:tc>
          <w:tcPr>
            <w:tcW w:w="3066" w:type="dxa"/>
            <w:noWrap w:val="0"/>
            <w:vAlign w:val="center"/>
          </w:tcPr>
          <w:p w14:paraId="54018F40">
            <w:pPr>
              <w:widowControl/>
              <w:jc w:val="center"/>
              <w:rPr>
                <w:rFonts w:ascii="宋体" w:cs="宋体"/>
                <w:b/>
                <w:kern w:val="0"/>
                <w:sz w:val="20"/>
                <w:szCs w:val="20"/>
              </w:rPr>
            </w:pPr>
            <w:r>
              <w:rPr>
                <w:rFonts w:hint="eastAsia" w:ascii="宋体" w:hAnsi="宋体" w:cs="宋体"/>
                <w:b/>
                <w:kern w:val="0"/>
                <w:sz w:val="20"/>
                <w:szCs w:val="20"/>
              </w:rPr>
              <w:t>大类</w:t>
            </w:r>
          </w:p>
        </w:tc>
        <w:tc>
          <w:tcPr>
            <w:tcW w:w="3681" w:type="dxa"/>
            <w:noWrap w:val="0"/>
            <w:vAlign w:val="center"/>
          </w:tcPr>
          <w:p w14:paraId="5B1B495C">
            <w:pPr>
              <w:widowControl/>
              <w:jc w:val="center"/>
              <w:rPr>
                <w:rFonts w:ascii="宋体" w:cs="宋体"/>
                <w:b/>
                <w:kern w:val="0"/>
                <w:sz w:val="20"/>
                <w:szCs w:val="20"/>
              </w:rPr>
            </w:pPr>
            <w:r>
              <w:rPr>
                <w:rFonts w:hint="eastAsia" w:ascii="宋体" w:hAnsi="宋体" w:cs="宋体"/>
                <w:b/>
                <w:kern w:val="0"/>
                <w:sz w:val="20"/>
                <w:szCs w:val="20"/>
              </w:rPr>
              <w:t>小类</w:t>
            </w:r>
          </w:p>
        </w:tc>
      </w:tr>
      <w:tr w14:paraId="60206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252" w:type="dxa"/>
            <w:noWrap w:val="0"/>
            <w:vAlign w:val="top"/>
          </w:tcPr>
          <w:p w14:paraId="1CC6939C">
            <w:pPr>
              <w:widowControl/>
              <w:jc w:val="center"/>
              <w:rPr>
                <w:rFonts w:ascii="宋体" w:cs="宋体"/>
                <w:kern w:val="0"/>
                <w:sz w:val="20"/>
                <w:szCs w:val="20"/>
              </w:rPr>
            </w:pPr>
            <w:r>
              <w:rPr>
                <w:rFonts w:ascii="宋体" w:hAnsi="宋体" w:cs="宋体"/>
                <w:kern w:val="0"/>
                <w:sz w:val="20"/>
                <w:szCs w:val="20"/>
              </w:rPr>
              <w:t>110</w:t>
            </w:r>
          </w:p>
        </w:tc>
        <w:tc>
          <w:tcPr>
            <w:tcW w:w="3066" w:type="dxa"/>
            <w:vMerge w:val="restart"/>
            <w:noWrap w:val="0"/>
            <w:vAlign w:val="center"/>
          </w:tcPr>
          <w:p w14:paraId="3BC087BE">
            <w:pPr>
              <w:widowControl/>
              <w:jc w:val="left"/>
              <w:rPr>
                <w:rFonts w:ascii="宋体" w:cs="宋体"/>
                <w:kern w:val="0"/>
                <w:sz w:val="20"/>
                <w:szCs w:val="20"/>
              </w:rPr>
            </w:pPr>
            <w:r>
              <w:rPr>
                <w:rFonts w:hint="eastAsia" w:ascii="宋体" w:hAnsi="宋体" w:cs="宋体"/>
                <w:kern w:val="0"/>
                <w:sz w:val="20"/>
                <w:szCs w:val="20"/>
              </w:rPr>
              <w:t>服务外包类</w:t>
            </w:r>
          </w:p>
        </w:tc>
        <w:tc>
          <w:tcPr>
            <w:tcW w:w="3681" w:type="dxa"/>
            <w:noWrap w:val="0"/>
            <w:vAlign w:val="center"/>
          </w:tcPr>
          <w:p w14:paraId="39F88068">
            <w:pPr>
              <w:widowControl/>
              <w:jc w:val="left"/>
              <w:rPr>
                <w:rFonts w:ascii="宋体" w:cs="宋体"/>
                <w:kern w:val="0"/>
                <w:sz w:val="20"/>
                <w:szCs w:val="20"/>
              </w:rPr>
            </w:pPr>
            <w:r>
              <w:rPr>
                <w:rFonts w:hint="eastAsia" w:ascii="宋体" w:hAnsi="宋体" w:cs="宋体"/>
                <w:kern w:val="0"/>
                <w:sz w:val="20"/>
                <w:szCs w:val="20"/>
              </w:rPr>
              <w:t>信息技术外包服务（</w:t>
            </w:r>
            <w:r>
              <w:rPr>
                <w:rFonts w:ascii="宋体" w:hAnsi="宋体" w:cs="宋体"/>
                <w:kern w:val="0"/>
                <w:sz w:val="20"/>
                <w:szCs w:val="20"/>
              </w:rPr>
              <w:t>ITO</w:t>
            </w:r>
            <w:r>
              <w:rPr>
                <w:rFonts w:hint="eastAsia" w:ascii="宋体" w:hAnsi="宋体" w:cs="宋体"/>
                <w:kern w:val="0"/>
                <w:sz w:val="20"/>
                <w:szCs w:val="20"/>
              </w:rPr>
              <w:t>）</w:t>
            </w:r>
          </w:p>
        </w:tc>
      </w:tr>
      <w:tr w14:paraId="73BAC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52" w:type="dxa"/>
            <w:noWrap w:val="0"/>
            <w:vAlign w:val="top"/>
          </w:tcPr>
          <w:p w14:paraId="1F5DFD84">
            <w:pPr>
              <w:widowControl/>
              <w:jc w:val="center"/>
              <w:rPr>
                <w:rFonts w:ascii="宋体" w:cs="宋体"/>
                <w:kern w:val="0"/>
                <w:sz w:val="20"/>
                <w:szCs w:val="20"/>
              </w:rPr>
            </w:pPr>
            <w:r>
              <w:rPr>
                <w:rFonts w:ascii="宋体" w:hAnsi="宋体" w:cs="宋体"/>
                <w:kern w:val="0"/>
                <w:sz w:val="20"/>
                <w:szCs w:val="20"/>
              </w:rPr>
              <w:t>120</w:t>
            </w:r>
          </w:p>
        </w:tc>
        <w:tc>
          <w:tcPr>
            <w:tcW w:w="3066" w:type="dxa"/>
            <w:vMerge w:val="continue"/>
            <w:noWrap w:val="0"/>
            <w:vAlign w:val="center"/>
          </w:tcPr>
          <w:p w14:paraId="05BE5EFD">
            <w:pPr>
              <w:widowControl/>
              <w:jc w:val="left"/>
              <w:rPr>
                <w:rFonts w:ascii="宋体" w:cs="宋体"/>
                <w:kern w:val="0"/>
                <w:sz w:val="20"/>
                <w:szCs w:val="20"/>
              </w:rPr>
            </w:pPr>
          </w:p>
        </w:tc>
        <w:tc>
          <w:tcPr>
            <w:tcW w:w="3681" w:type="dxa"/>
            <w:noWrap w:val="0"/>
            <w:vAlign w:val="center"/>
          </w:tcPr>
          <w:p w14:paraId="58C16E63">
            <w:pPr>
              <w:widowControl/>
              <w:jc w:val="left"/>
              <w:rPr>
                <w:rFonts w:ascii="宋体" w:cs="宋体"/>
                <w:kern w:val="0"/>
                <w:sz w:val="20"/>
                <w:szCs w:val="20"/>
              </w:rPr>
            </w:pPr>
            <w:r>
              <w:rPr>
                <w:rFonts w:hint="eastAsia" w:ascii="宋体" w:hAnsi="宋体" w:cs="宋体"/>
                <w:kern w:val="0"/>
                <w:sz w:val="20"/>
                <w:szCs w:val="20"/>
              </w:rPr>
              <w:t>技术性业务流程外包服务（</w:t>
            </w:r>
            <w:r>
              <w:rPr>
                <w:rFonts w:ascii="宋体" w:hAnsi="宋体" w:cs="宋体"/>
                <w:kern w:val="0"/>
                <w:sz w:val="20"/>
                <w:szCs w:val="20"/>
              </w:rPr>
              <w:t>BPO</w:t>
            </w:r>
            <w:r>
              <w:rPr>
                <w:rFonts w:hint="eastAsia" w:ascii="宋体" w:hAnsi="宋体" w:cs="宋体"/>
                <w:kern w:val="0"/>
                <w:sz w:val="20"/>
                <w:szCs w:val="20"/>
              </w:rPr>
              <w:t>）</w:t>
            </w:r>
          </w:p>
        </w:tc>
      </w:tr>
      <w:tr w14:paraId="35E46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52" w:type="dxa"/>
            <w:noWrap w:val="0"/>
            <w:vAlign w:val="top"/>
          </w:tcPr>
          <w:p w14:paraId="051AE827">
            <w:pPr>
              <w:widowControl/>
              <w:jc w:val="center"/>
              <w:rPr>
                <w:rFonts w:ascii="宋体" w:cs="宋体"/>
                <w:kern w:val="0"/>
                <w:sz w:val="20"/>
                <w:szCs w:val="20"/>
              </w:rPr>
            </w:pPr>
            <w:r>
              <w:rPr>
                <w:rFonts w:ascii="宋体" w:hAnsi="宋体" w:cs="宋体"/>
                <w:kern w:val="0"/>
                <w:sz w:val="20"/>
                <w:szCs w:val="20"/>
              </w:rPr>
              <w:t>130</w:t>
            </w:r>
          </w:p>
        </w:tc>
        <w:tc>
          <w:tcPr>
            <w:tcW w:w="3066" w:type="dxa"/>
            <w:vMerge w:val="continue"/>
            <w:noWrap w:val="0"/>
            <w:vAlign w:val="center"/>
          </w:tcPr>
          <w:p w14:paraId="477C0C7E">
            <w:pPr>
              <w:widowControl/>
              <w:jc w:val="left"/>
              <w:rPr>
                <w:rFonts w:ascii="宋体" w:cs="宋体"/>
                <w:kern w:val="0"/>
                <w:sz w:val="20"/>
                <w:szCs w:val="20"/>
              </w:rPr>
            </w:pPr>
          </w:p>
        </w:tc>
        <w:tc>
          <w:tcPr>
            <w:tcW w:w="3681" w:type="dxa"/>
            <w:noWrap w:val="0"/>
            <w:vAlign w:val="center"/>
          </w:tcPr>
          <w:p w14:paraId="6A6F7D91">
            <w:pPr>
              <w:jc w:val="left"/>
              <w:rPr>
                <w:rFonts w:ascii="宋体" w:cs="宋体"/>
                <w:kern w:val="0"/>
                <w:sz w:val="20"/>
                <w:szCs w:val="20"/>
              </w:rPr>
            </w:pPr>
            <w:r>
              <w:rPr>
                <w:rFonts w:hint="eastAsia" w:ascii="宋体" w:hAnsi="宋体" w:cs="宋体"/>
                <w:kern w:val="0"/>
                <w:sz w:val="20"/>
                <w:szCs w:val="20"/>
              </w:rPr>
              <w:t>技术性知识流程外包服务（</w:t>
            </w:r>
            <w:r>
              <w:rPr>
                <w:rFonts w:ascii="宋体" w:hAnsi="宋体" w:cs="宋体"/>
                <w:kern w:val="0"/>
                <w:sz w:val="20"/>
                <w:szCs w:val="20"/>
              </w:rPr>
              <w:t>KPO</w:t>
            </w:r>
            <w:r>
              <w:rPr>
                <w:rFonts w:hint="eastAsia" w:ascii="宋体" w:hAnsi="宋体" w:cs="宋体"/>
                <w:kern w:val="0"/>
                <w:sz w:val="20"/>
                <w:szCs w:val="20"/>
              </w:rPr>
              <w:t>）</w:t>
            </w:r>
          </w:p>
        </w:tc>
      </w:tr>
      <w:tr w14:paraId="608B1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 w:hRule="atLeast"/>
          <w:jc w:val="center"/>
        </w:trPr>
        <w:tc>
          <w:tcPr>
            <w:tcW w:w="1252" w:type="dxa"/>
            <w:noWrap w:val="0"/>
            <w:vAlign w:val="top"/>
          </w:tcPr>
          <w:p w14:paraId="0FFD11EA">
            <w:pPr>
              <w:widowControl/>
              <w:jc w:val="center"/>
              <w:rPr>
                <w:rFonts w:ascii="宋体" w:cs="宋体"/>
                <w:kern w:val="0"/>
                <w:sz w:val="20"/>
                <w:szCs w:val="20"/>
              </w:rPr>
            </w:pPr>
            <w:r>
              <w:rPr>
                <w:rFonts w:ascii="宋体" w:hAnsi="宋体" w:cs="宋体"/>
                <w:kern w:val="0"/>
                <w:sz w:val="20"/>
                <w:szCs w:val="20"/>
              </w:rPr>
              <w:t>210</w:t>
            </w:r>
          </w:p>
        </w:tc>
        <w:tc>
          <w:tcPr>
            <w:tcW w:w="3066" w:type="dxa"/>
            <w:vMerge w:val="restart"/>
            <w:noWrap w:val="0"/>
            <w:vAlign w:val="center"/>
          </w:tcPr>
          <w:p w14:paraId="347BBD81">
            <w:pPr>
              <w:widowControl/>
              <w:jc w:val="left"/>
              <w:rPr>
                <w:rFonts w:ascii="宋体" w:cs="宋体"/>
                <w:kern w:val="0"/>
                <w:sz w:val="20"/>
                <w:szCs w:val="20"/>
              </w:rPr>
            </w:pPr>
            <w:r>
              <w:rPr>
                <w:rFonts w:hint="eastAsia" w:ascii="宋体" w:hAnsi="宋体" w:cs="宋体"/>
                <w:kern w:val="0"/>
                <w:sz w:val="20"/>
                <w:szCs w:val="20"/>
              </w:rPr>
              <w:t>服务贸易类</w:t>
            </w:r>
          </w:p>
        </w:tc>
        <w:tc>
          <w:tcPr>
            <w:tcW w:w="3681" w:type="dxa"/>
            <w:noWrap w:val="0"/>
            <w:vAlign w:val="center"/>
          </w:tcPr>
          <w:p w14:paraId="584CCE1E">
            <w:pPr>
              <w:widowControl/>
              <w:jc w:val="left"/>
              <w:rPr>
                <w:rFonts w:ascii="宋体" w:cs="宋体"/>
                <w:kern w:val="0"/>
                <w:sz w:val="20"/>
                <w:szCs w:val="20"/>
              </w:rPr>
            </w:pPr>
            <w:r>
              <w:rPr>
                <w:rFonts w:hint="eastAsia" w:ascii="宋体" w:hAnsi="宋体" w:cs="宋体"/>
                <w:kern w:val="0"/>
                <w:sz w:val="20"/>
                <w:szCs w:val="20"/>
              </w:rPr>
              <w:t>计算机和信息服务</w:t>
            </w:r>
          </w:p>
        </w:tc>
      </w:tr>
      <w:tr w14:paraId="1D8B3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52" w:type="dxa"/>
            <w:noWrap w:val="0"/>
            <w:vAlign w:val="top"/>
          </w:tcPr>
          <w:p w14:paraId="5750412C">
            <w:pPr>
              <w:widowControl/>
              <w:jc w:val="center"/>
              <w:rPr>
                <w:rFonts w:ascii="宋体" w:cs="宋体"/>
                <w:kern w:val="0"/>
                <w:sz w:val="20"/>
                <w:szCs w:val="20"/>
              </w:rPr>
            </w:pPr>
            <w:r>
              <w:rPr>
                <w:rFonts w:ascii="宋体" w:hAnsi="宋体" w:cs="宋体"/>
                <w:kern w:val="0"/>
                <w:sz w:val="20"/>
                <w:szCs w:val="20"/>
              </w:rPr>
              <w:t>220</w:t>
            </w:r>
          </w:p>
        </w:tc>
        <w:tc>
          <w:tcPr>
            <w:tcW w:w="3066" w:type="dxa"/>
            <w:vMerge w:val="continue"/>
            <w:noWrap w:val="0"/>
            <w:vAlign w:val="center"/>
          </w:tcPr>
          <w:p w14:paraId="780D5E59">
            <w:pPr>
              <w:widowControl/>
              <w:jc w:val="left"/>
              <w:rPr>
                <w:rFonts w:ascii="宋体" w:cs="宋体"/>
                <w:kern w:val="0"/>
                <w:sz w:val="20"/>
                <w:szCs w:val="20"/>
              </w:rPr>
            </w:pPr>
          </w:p>
        </w:tc>
        <w:tc>
          <w:tcPr>
            <w:tcW w:w="3681" w:type="dxa"/>
            <w:noWrap w:val="0"/>
            <w:vAlign w:val="center"/>
          </w:tcPr>
          <w:p w14:paraId="05220F62">
            <w:pPr>
              <w:widowControl/>
              <w:jc w:val="left"/>
              <w:rPr>
                <w:rFonts w:ascii="宋体" w:cs="宋体"/>
                <w:kern w:val="0"/>
                <w:sz w:val="20"/>
                <w:szCs w:val="20"/>
              </w:rPr>
            </w:pPr>
            <w:r>
              <w:rPr>
                <w:rFonts w:hint="eastAsia" w:ascii="宋体" w:hAnsi="宋体" w:cs="宋体"/>
                <w:kern w:val="0"/>
                <w:sz w:val="20"/>
                <w:szCs w:val="20"/>
              </w:rPr>
              <w:t>研究开发和技术服务</w:t>
            </w:r>
          </w:p>
        </w:tc>
      </w:tr>
      <w:tr w14:paraId="356FC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52" w:type="dxa"/>
            <w:noWrap w:val="0"/>
            <w:vAlign w:val="top"/>
          </w:tcPr>
          <w:p w14:paraId="39E6B1F0">
            <w:pPr>
              <w:widowControl/>
              <w:jc w:val="center"/>
              <w:rPr>
                <w:rFonts w:ascii="宋体" w:cs="宋体"/>
                <w:kern w:val="0"/>
                <w:sz w:val="20"/>
                <w:szCs w:val="20"/>
              </w:rPr>
            </w:pPr>
            <w:r>
              <w:rPr>
                <w:rFonts w:ascii="宋体" w:hAnsi="宋体" w:cs="宋体"/>
                <w:kern w:val="0"/>
                <w:sz w:val="20"/>
                <w:szCs w:val="20"/>
              </w:rPr>
              <w:t>230</w:t>
            </w:r>
          </w:p>
        </w:tc>
        <w:tc>
          <w:tcPr>
            <w:tcW w:w="3066" w:type="dxa"/>
            <w:vMerge w:val="continue"/>
            <w:noWrap w:val="0"/>
            <w:vAlign w:val="center"/>
          </w:tcPr>
          <w:p w14:paraId="6F0E7AAC">
            <w:pPr>
              <w:widowControl/>
              <w:jc w:val="left"/>
              <w:rPr>
                <w:rFonts w:ascii="宋体" w:cs="宋体"/>
                <w:kern w:val="0"/>
                <w:sz w:val="20"/>
                <w:szCs w:val="20"/>
              </w:rPr>
            </w:pPr>
          </w:p>
        </w:tc>
        <w:tc>
          <w:tcPr>
            <w:tcW w:w="3681" w:type="dxa"/>
            <w:noWrap w:val="0"/>
            <w:vAlign w:val="center"/>
          </w:tcPr>
          <w:p w14:paraId="15B07F56">
            <w:pPr>
              <w:widowControl/>
              <w:jc w:val="left"/>
              <w:rPr>
                <w:rFonts w:ascii="宋体" w:cs="宋体"/>
                <w:kern w:val="0"/>
                <w:sz w:val="20"/>
                <w:szCs w:val="20"/>
              </w:rPr>
            </w:pPr>
            <w:r>
              <w:rPr>
                <w:rFonts w:hint="eastAsia" w:ascii="宋体" w:hAnsi="宋体" w:cs="宋体"/>
                <w:kern w:val="0"/>
                <w:sz w:val="20"/>
                <w:szCs w:val="20"/>
              </w:rPr>
              <w:t>文化技术服务</w:t>
            </w:r>
          </w:p>
        </w:tc>
      </w:tr>
      <w:tr w14:paraId="78A55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52" w:type="dxa"/>
            <w:noWrap w:val="0"/>
            <w:vAlign w:val="top"/>
          </w:tcPr>
          <w:p w14:paraId="6D34046B">
            <w:pPr>
              <w:widowControl/>
              <w:jc w:val="center"/>
              <w:rPr>
                <w:rFonts w:ascii="宋体" w:cs="宋体"/>
                <w:kern w:val="0"/>
                <w:sz w:val="20"/>
                <w:szCs w:val="20"/>
              </w:rPr>
            </w:pPr>
            <w:r>
              <w:rPr>
                <w:rFonts w:ascii="宋体" w:hAnsi="宋体" w:cs="宋体"/>
                <w:kern w:val="0"/>
                <w:sz w:val="20"/>
                <w:szCs w:val="20"/>
              </w:rPr>
              <w:t>240</w:t>
            </w:r>
          </w:p>
        </w:tc>
        <w:tc>
          <w:tcPr>
            <w:tcW w:w="3066" w:type="dxa"/>
            <w:vMerge w:val="continue"/>
            <w:noWrap w:val="0"/>
            <w:vAlign w:val="center"/>
          </w:tcPr>
          <w:p w14:paraId="4B376F72">
            <w:pPr>
              <w:widowControl/>
              <w:jc w:val="left"/>
              <w:rPr>
                <w:rFonts w:ascii="宋体" w:cs="宋体"/>
                <w:kern w:val="0"/>
                <w:sz w:val="20"/>
                <w:szCs w:val="20"/>
              </w:rPr>
            </w:pPr>
          </w:p>
        </w:tc>
        <w:tc>
          <w:tcPr>
            <w:tcW w:w="3681" w:type="dxa"/>
            <w:noWrap w:val="0"/>
            <w:vAlign w:val="center"/>
          </w:tcPr>
          <w:p w14:paraId="1189799A">
            <w:pPr>
              <w:widowControl/>
              <w:jc w:val="left"/>
              <w:rPr>
                <w:rFonts w:ascii="宋体" w:cs="宋体"/>
                <w:kern w:val="0"/>
                <w:sz w:val="20"/>
                <w:szCs w:val="20"/>
              </w:rPr>
            </w:pPr>
            <w:r>
              <w:rPr>
                <w:rFonts w:hint="eastAsia" w:ascii="宋体" w:hAnsi="宋体" w:cs="宋体"/>
                <w:kern w:val="0"/>
                <w:sz w:val="20"/>
                <w:szCs w:val="20"/>
              </w:rPr>
              <w:t>中医药医疗服务</w:t>
            </w:r>
          </w:p>
        </w:tc>
      </w:tr>
    </w:tbl>
    <w:p w14:paraId="687321B8">
      <w:pPr>
        <w:pStyle w:val="8"/>
      </w:pPr>
      <w:r>
        <w:t>7.</w:t>
      </w:r>
      <w:r>
        <w:rPr>
          <w:rFonts w:hint="eastAsia"/>
        </w:rPr>
        <w:t>“</w:t>
      </w:r>
      <w:r>
        <w:t>207</w:t>
      </w:r>
      <w:r>
        <w:rPr>
          <w:rFonts w:hint="eastAsia"/>
        </w:rPr>
        <w:t>非营利组织”：纳税人为非营利组织的，选择“是”。</w:t>
      </w:r>
    </w:p>
    <w:p w14:paraId="0B02B685">
      <w:pPr>
        <w:pStyle w:val="8"/>
      </w:pPr>
      <w:r>
        <w:t>8</w:t>
      </w:r>
      <w:r>
        <w:rPr>
          <w:rFonts w:hint="eastAsia"/>
        </w:rPr>
        <w:t>．“</w:t>
      </w:r>
      <w:r>
        <w:t>208</w:t>
      </w:r>
      <w:r>
        <w:rPr>
          <w:rFonts w:hint="eastAsia"/>
        </w:rPr>
        <w:t>软件、集成电路企业类型”：纳税人按照企业类型从《软件、集成电路企业类型代码表》中选择相应的代码填入本项。软件、集成电路企业若符合相关企业所得税优惠政策条件的，无论是否享受企业所得税优惠，均应填报本项。</w:t>
      </w:r>
    </w:p>
    <w:p w14:paraId="0DAB2664">
      <w:pPr>
        <w:pStyle w:val="11"/>
        <w:rPr>
          <w:rFonts w:cs="Times New Roman"/>
        </w:rPr>
      </w:pPr>
      <w:r>
        <w:rPr>
          <w:rFonts w:hint="eastAsia"/>
        </w:rPr>
        <w:t>软件、集成电路企业类型代码表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947"/>
        <w:gridCol w:w="2205"/>
        <w:gridCol w:w="3015"/>
      </w:tblGrid>
      <w:tr w14:paraId="42679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722" w:type="dxa"/>
            <w:vMerge w:val="restart"/>
            <w:noWrap w:val="0"/>
            <w:vAlign w:val="center"/>
          </w:tcPr>
          <w:p w14:paraId="6EF1E81F">
            <w:pPr>
              <w:jc w:val="center"/>
              <w:rPr>
                <w:rFonts w:ascii="宋体" w:cs="宋体"/>
                <w:kern w:val="0"/>
                <w:sz w:val="20"/>
                <w:szCs w:val="20"/>
              </w:rPr>
            </w:pPr>
            <w:r>
              <w:rPr>
                <w:rFonts w:hint="eastAsia" w:ascii="宋体" w:hAnsi="宋体" w:cs="宋体"/>
                <w:kern w:val="0"/>
                <w:sz w:val="20"/>
                <w:szCs w:val="20"/>
              </w:rPr>
              <w:t>代码　</w:t>
            </w:r>
          </w:p>
        </w:tc>
        <w:tc>
          <w:tcPr>
            <w:tcW w:w="7167" w:type="dxa"/>
            <w:gridSpan w:val="3"/>
            <w:noWrap w:val="0"/>
            <w:vAlign w:val="center"/>
          </w:tcPr>
          <w:p w14:paraId="553B73FC">
            <w:pPr>
              <w:widowControl/>
              <w:jc w:val="center"/>
              <w:rPr>
                <w:rFonts w:ascii="宋体" w:cs="宋体"/>
                <w:kern w:val="0"/>
                <w:sz w:val="20"/>
                <w:szCs w:val="20"/>
              </w:rPr>
            </w:pPr>
            <w:r>
              <w:rPr>
                <w:rFonts w:hint="eastAsia" w:ascii="宋体" w:hAnsi="宋体" w:cs="宋体"/>
                <w:kern w:val="0"/>
                <w:sz w:val="20"/>
                <w:szCs w:val="20"/>
              </w:rPr>
              <w:t>　类型　</w:t>
            </w:r>
          </w:p>
        </w:tc>
      </w:tr>
      <w:tr w14:paraId="19F89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22" w:type="dxa"/>
            <w:vMerge w:val="continue"/>
            <w:noWrap w:val="0"/>
            <w:vAlign w:val="center"/>
          </w:tcPr>
          <w:p w14:paraId="3872A74C">
            <w:pPr>
              <w:widowControl/>
              <w:jc w:val="center"/>
              <w:rPr>
                <w:rFonts w:ascii="宋体" w:cs="宋体"/>
                <w:kern w:val="0"/>
                <w:sz w:val="20"/>
                <w:szCs w:val="20"/>
              </w:rPr>
            </w:pPr>
          </w:p>
        </w:tc>
        <w:tc>
          <w:tcPr>
            <w:tcW w:w="1947" w:type="dxa"/>
            <w:noWrap w:val="0"/>
            <w:vAlign w:val="center"/>
          </w:tcPr>
          <w:p w14:paraId="7C732974">
            <w:pPr>
              <w:widowControl/>
              <w:jc w:val="center"/>
              <w:rPr>
                <w:rFonts w:ascii="宋体" w:cs="宋体"/>
                <w:kern w:val="0"/>
                <w:sz w:val="20"/>
                <w:szCs w:val="20"/>
              </w:rPr>
            </w:pPr>
            <w:r>
              <w:rPr>
                <w:rFonts w:hint="eastAsia" w:ascii="宋体" w:hAnsi="宋体" w:cs="宋体"/>
                <w:kern w:val="0"/>
                <w:sz w:val="20"/>
                <w:szCs w:val="20"/>
              </w:rPr>
              <w:t>　大类</w:t>
            </w:r>
          </w:p>
        </w:tc>
        <w:tc>
          <w:tcPr>
            <w:tcW w:w="2205" w:type="dxa"/>
            <w:noWrap w:val="0"/>
            <w:vAlign w:val="center"/>
          </w:tcPr>
          <w:p w14:paraId="47F3B2B2">
            <w:pPr>
              <w:widowControl/>
              <w:jc w:val="center"/>
              <w:rPr>
                <w:rFonts w:ascii="宋体" w:cs="宋体"/>
                <w:kern w:val="0"/>
                <w:sz w:val="20"/>
                <w:szCs w:val="20"/>
              </w:rPr>
            </w:pPr>
            <w:r>
              <w:rPr>
                <w:rFonts w:hint="eastAsia" w:ascii="宋体" w:hAnsi="宋体" w:cs="宋体"/>
                <w:kern w:val="0"/>
                <w:sz w:val="20"/>
                <w:szCs w:val="20"/>
              </w:rPr>
              <w:t>中类　</w:t>
            </w:r>
          </w:p>
        </w:tc>
        <w:tc>
          <w:tcPr>
            <w:tcW w:w="3015" w:type="dxa"/>
            <w:noWrap w:val="0"/>
            <w:vAlign w:val="center"/>
          </w:tcPr>
          <w:p w14:paraId="090A491C">
            <w:pPr>
              <w:widowControl/>
              <w:jc w:val="center"/>
              <w:rPr>
                <w:rFonts w:ascii="宋体" w:cs="宋体"/>
                <w:kern w:val="0"/>
                <w:sz w:val="20"/>
                <w:szCs w:val="20"/>
              </w:rPr>
            </w:pPr>
            <w:r>
              <w:rPr>
                <w:rFonts w:hint="eastAsia" w:ascii="宋体" w:hAnsi="宋体" w:cs="宋体"/>
                <w:kern w:val="0"/>
                <w:sz w:val="20"/>
                <w:szCs w:val="20"/>
              </w:rPr>
              <w:t>　小类</w:t>
            </w:r>
          </w:p>
        </w:tc>
      </w:tr>
      <w:tr w14:paraId="68613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722" w:type="dxa"/>
            <w:noWrap w:val="0"/>
            <w:vAlign w:val="center"/>
          </w:tcPr>
          <w:p w14:paraId="19E24A30">
            <w:pPr>
              <w:widowControl/>
              <w:jc w:val="center"/>
              <w:rPr>
                <w:rFonts w:ascii="宋体" w:cs="宋体"/>
                <w:kern w:val="0"/>
                <w:sz w:val="20"/>
                <w:szCs w:val="20"/>
              </w:rPr>
            </w:pPr>
            <w:r>
              <w:rPr>
                <w:rFonts w:ascii="宋体" w:hAnsi="宋体" w:cs="宋体"/>
                <w:kern w:val="0"/>
                <w:sz w:val="20"/>
                <w:szCs w:val="20"/>
              </w:rPr>
              <w:t>110</w:t>
            </w:r>
          </w:p>
        </w:tc>
        <w:tc>
          <w:tcPr>
            <w:tcW w:w="1947" w:type="dxa"/>
            <w:vMerge w:val="restart"/>
            <w:noWrap w:val="0"/>
            <w:vAlign w:val="center"/>
          </w:tcPr>
          <w:p w14:paraId="07EB2B12">
            <w:pPr>
              <w:widowControl/>
              <w:jc w:val="left"/>
              <w:rPr>
                <w:rFonts w:ascii="宋体" w:cs="宋体"/>
                <w:kern w:val="0"/>
                <w:sz w:val="20"/>
                <w:szCs w:val="20"/>
              </w:rPr>
            </w:pPr>
            <w:r>
              <w:rPr>
                <w:rFonts w:hint="eastAsia" w:ascii="宋体" w:hAnsi="宋体" w:cs="宋体"/>
                <w:kern w:val="0"/>
                <w:sz w:val="20"/>
                <w:szCs w:val="20"/>
              </w:rPr>
              <w:t>集成电路生产企业</w:t>
            </w:r>
          </w:p>
        </w:tc>
        <w:tc>
          <w:tcPr>
            <w:tcW w:w="5220" w:type="dxa"/>
            <w:gridSpan w:val="2"/>
            <w:noWrap w:val="0"/>
            <w:vAlign w:val="center"/>
          </w:tcPr>
          <w:p w14:paraId="041DFDEF">
            <w:pPr>
              <w:widowControl/>
              <w:jc w:val="left"/>
              <w:rPr>
                <w:rFonts w:ascii="宋体" w:cs="宋体"/>
                <w:kern w:val="0"/>
                <w:sz w:val="20"/>
                <w:szCs w:val="20"/>
              </w:rPr>
            </w:pPr>
            <w:r>
              <w:rPr>
                <w:rFonts w:hint="eastAsia" w:ascii="宋体" w:hAnsi="宋体" w:cs="宋体"/>
                <w:kern w:val="0"/>
                <w:sz w:val="20"/>
                <w:szCs w:val="20"/>
              </w:rPr>
              <w:t>线宽小于</w:t>
            </w:r>
            <w:r>
              <w:rPr>
                <w:rFonts w:ascii="宋体" w:hAnsi="宋体" w:cs="宋体"/>
                <w:kern w:val="0"/>
                <w:sz w:val="20"/>
                <w:szCs w:val="20"/>
              </w:rPr>
              <w:t>0.8</w:t>
            </w:r>
            <w:r>
              <w:rPr>
                <w:rFonts w:hint="eastAsia" w:ascii="宋体" w:hAnsi="宋体" w:cs="宋体"/>
                <w:kern w:val="0"/>
                <w:sz w:val="20"/>
                <w:szCs w:val="20"/>
              </w:rPr>
              <w:t>微米（含）的企业</w:t>
            </w:r>
          </w:p>
        </w:tc>
      </w:tr>
      <w:tr w14:paraId="01349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722" w:type="dxa"/>
            <w:noWrap w:val="0"/>
            <w:vAlign w:val="center"/>
          </w:tcPr>
          <w:p w14:paraId="036BAC1F">
            <w:pPr>
              <w:widowControl/>
              <w:jc w:val="center"/>
              <w:rPr>
                <w:rFonts w:ascii="宋体" w:cs="宋体"/>
                <w:kern w:val="0"/>
                <w:sz w:val="20"/>
                <w:szCs w:val="20"/>
              </w:rPr>
            </w:pPr>
            <w:r>
              <w:rPr>
                <w:rFonts w:ascii="宋体" w:hAnsi="宋体" w:cs="宋体"/>
                <w:kern w:val="0"/>
                <w:sz w:val="20"/>
                <w:szCs w:val="20"/>
              </w:rPr>
              <w:t>120</w:t>
            </w:r>
          </w:p>
        </w:tc>
        <w:tc>
          <w:tcPr>
            <w:tcW w:w="1947" w:type="dxa"/>
            <w:vMerge w:val="continue"/>
            <w:noWrap w:val="0"/>
            <w:vAlign w:val="center"/>
          </w:tcPr>
          <w:p w14:paraId="47657CD0">
            <w:pPr>
              <w:widowControl/>
              <w:jc w:val="left"/>
              <w:rPr>
                <w:rFonts w:ascii="宋体" w:cs="宋体"/>
                <w:kern w:val="0"/>
                <w:sz w:val="20"/>
                <w:szCs w:val="20"/>
              </w:rPr>
            </w:pPr>
          </w:p>
        </w:tc>
        <w:tc>
          <w:tcPr>
            <w:tcW w:w="5220" w:type="dxa"/>
            <w:gridSpan w:val="2"/>
            <w:noWrap w:val="0"/>
            <w:vAlign w:val="center"/>
          </w:tcPr>
          <w:p w14:paraId="6860D0C6">
            <w:pPr>
              <w:widowControl/>
              <w:jc w:val="left"/>
              <w:rPr>
                <w:rFonts w:ascii="宋体" w:cs="宋体"/>
                <w:kern w:val="0"/>
                <w:sz w:val="20"/>
                <w:szCs w:val="20"/>
              </w:rPr>
            </w:pPr>
            <w:r>
              <w:rPr>
                <w:rFonts w:hint="eastAsia" w:ascii="宋体" w:hAnsi="宋体" w:cs="宋体"/>
                <w:kern w:val="0"/>
                <w:sz w:val="20"/>
                <w:szCs w:val="20"/>
              </w:rPr>
              <w:t>线宽小于</w:t>
            </w:r>
            <w:r>
              <w:rPr>
                <w:rFonts w:ascii="宋体" w:hAnsi="宋体" w:cs="宋体"/>
                <w:kern w:val="0"/>
                <w:sz w:val="20"/>
                <w:szCs w:val="20"/>
              </w:rPr>
              <w:t>0.25</w:t>
            </w:r>
            <w:r>
              <w:rPr>
                <w:rFonts w:hint="eastAsia" w:ascii="宋体" w:hAnsi="宋体" w:cs="宋体"/>
                <w:kern w:val="0"/>
                <w:sz w:val="20"/>
                <w:szCs w:val="20"/>
              </w:rPr>
              <w:t>微米的企业</w:t>
            </w:r>
          </w:p>
        </w:tc>
      </w:tr>
      <w:tr w14:paraId="7FA2A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722" w:type="dxa"/>
            <w:noWrap w:val="0"/>
            <w:vAlign w:val="center"/>
          </w:tcPr>
          <w:p w14:paraId="0C63B4C2">
            <w:pPr>
              <w:widowControl/>
              <w:jc w:val="center"/>
              <w:rPr>
                <w:rFonts w:ascii="宋体" w:cs="宋体"/>
                <w:kern w:val="0"/>
                <w:sz w:val="20"/>
                <w:szCs w:val="20"/>
              </w:rPr>
            </w:pPr>
            <w:r>
              <w:rPr>
                <w:rFonts w:ascii="宋体" w:hAnsi="宋体" w:cs="宋体"/>
                <w:kern w:val="0"/>
                <w:sz w:val="20"/>
                <w:szCs w:val="20"/>
              </w:rPr>
              <w:t>130</w:t>
            </w:r>
          </w:p>
        </w:tc>
        <w:tc>
          <w:tcPr>
            <w:tcW w:w="1947" w:type="dxa"/>
            <w:vMerge w:val="continue"/>
            <w:noWrap w:val="0"/>
            <w:vAlign w:val="center"/>
          </w:tcPr>
          <w:p w14:paraId="389B33DC">
            <w:pPr>
              <w:widowControl/>
              <w:jc w:val="left"/>
              <w:rPr>
                <w:rFonts w:ascii="宋体" w:cs="宋体"/>
                <w:kern w:val="0"/>
                <w:sz w:val="20"/>
                <w:szCs w:val="20"/>
              </w:rPr>
            </w:pPr>
          </w:p>
        </w:tc>
        <w:tc>
          <w:tcPr>
            <w:tcW w:w="5220" w:type="dxa"/>
            <w:gridSpan w:val="2"/>
            <w:noWrap w:val="0"/>
            <w:vAlign w:val="center"/>
          </w:tcPr>
          <w:p w14:paraId="4D07DF12">
            <w:pPr>
              <w:widowControl/>
              <w:jc w:val="left"/>
              <w:rPr>
                <w:rFonts w:ascii="宋体" w:cs="宋体"/>
                <w:kern w:val="0"/>
                <w:sz w:val="20"/>
                <w:szCs w:val="20"/>
              </w:rPr>
            </w:pPr>
            <w:r>
              <w:rPr>
                <w:rFonts w:hint="eastAsia" w:ascii="宋体" w:hAnsi="宋体" w:cs="宋体"/>
                <w:kern w:val="0"/>
                <w:sz w:val="20"/>
                <w:szCs w:val="20"/>
              </w:rPr>
              <w:t>投资额超过</w:t>
            </w:r>
            <w:r>
              <w:rPr>
                <w:rFonts w:ascii="宋体" w:hAnsi="宋体" w:cs="宋体"/>
                <w:kern w:val="0"/>
                <w:sz w:val="20"/>
                <w:szCs w:val="20"/>
              </w:rPr>
              <w:t>80</w:t>
            </w:r>
            <w:r>
              <w:rPr>
                <w:rFonts w:hint="eastAsia" w:ascii="宋体" w:hAnsi="宋体" w:cs="宋体"/>
                <w:kern w:val="0"/>
                <w:sz w:val="20"/>
                <w:szCs w:val="20"/>
              </w:rPr>
              <w:t>亿元的企业</w:t>
            </w:r>
          </w:p>
        </w:tc>
      </w:tr>
      <w:tr w14:paraId="71037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722" w:type="dxa"/>
            <w:noWrap w:val="0"/>
            <w:vAlign w:val="center"/>
          </w:tcPr>
          <w:p w14:paraId="2F72F711">
            <w:pPr>
              <w:widowControl/>
              <w:jc w:val="center"/>
              <w:rPr>
                <w:rFonts w:ascii="宋体" w:cs="宋体"/>
                <w:kern w:val="0"/>
                <w:sz w:val="20"/>
                <w:szCs w:val="20"/>
              </w:rPr>
            </w:pPr>
            <w:r>
              <w:rPr>
                <w:rFonts w:ascii="宋体" w:hAnsi="宋体" w:cs="宋体"/>
                <w:kern w:val="0"/>
                <w:sz w:val="20"/>
                <w:szCs w:val="20"/>
              </w:rPr>
              <w:t>140</w:t>
            </w:r>
          </w:p>
        </w:tc>
        <w:tc>
          <w:tcPr>
            <w:tcW w:w="1947" w:type="dxa"/>
            <w:vMerge w:val="continue"/>
            <w:noWrap w:val="0"/>
            <w:vAlign w:val="center"/>
          </w:tcPr>
          <w:p w14:paraId="45D9DB3E">
            <w:pPr>
              <w:widowControl/>
              <w:jc w:val="left"/>
              <w:rPr>
                <w:rFonts w:ascii="宋体" w:cs="宋体"/>
                <w:kern w:val="0"/>
                <w:sz w:val="20"/>
                <w:szCs w:val="20"/>
              </w:rPr>
            </w:pPr>
          </w:p>
        </w:tc>
        <w:tc>
          <w:tcPr>
            <w:tcW w:w="5220" w:type="dxa"/>
            <w:gridSpan w:val="2"/>
            <w:noWrap w:val="0"/>
            <w:vAlign w:val="center"/>
          </w:tcPr>
          <w:p w14:paraId="0D5FFBEC">
            <w:pPr>
              <w:widowControl/>
              <w:jc w:val="left"/>
              <w:rPr>
                <w:rFonts w:ascii="宋体" w:cs="宋体"/>
                <w:kern w:val="0"/>
                <w:sz w:val="20"/>
                <w:szCs w:val="20"/>
              </w:rPr>
            </w:pPr>
            <w:r>
              <w:rPr>
                <w:rFonts w:hint="eastAsia" w:ascii="宋体" w:hAnsi="宋体" w:cs="宋体"/>
                <w:kern w:val="0"/>
                <w:sz w:val="20"/>
                <w:szCs w:val="20"/>
              </w:rPr>
              <w:t>线宽小于</w:t>
            </w:r>
            <w:r>
              <w:rPr>
                <w:rFonts w:ascii="宋体" w:hAnsi="宋体" w:cs="宋体"/>
                <w:kern w:val="0"/>
                <w:sz w:val="20"/>
                <w:szCs w:val="20"/>
              </w:rPr>
              <w:t>130</w:t>
            </w:r>
            <w:r>
              <w:rPr>
                <w:rFonts w:hint="eastAsia" w:ascii="宋体" w:hAnsi="宋体" w:cs="宋体"/>
                <w:kern w:val="0"/>
                <w:sz w:val="20"/>
                <w:szCs w:val="20"/>
              </w:rPr>
              <w:t>纳米的企业</w:t>
            </w:r>
          </w:p>
        </w:tc>
      </w:tr>
      <w:tr w14:paraId="16ACB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22" w:type="dxa"/>
            <w:noWrap w:val="0"/>
            <w:vAlign w:val="center"/>
          </w:tcPr>
          <w:p w14:paraId="1718BC3C">
            <w:pPr>
              <w:widowControl/>
              <w:jc w:val="center"/>
              <w:rPr>
                <w:rFonts w:ascii="宋体" w:cs="宋体"/>
                <w:kern w:val="0"/>
                <w:sz w:val="20"/>
                <w:szCs w:val="20"/>
              </w:rPr>
            </w:pPr>
            <w:r>
              <w:rPr>
                <w:rFonts w:ascii="宋体" w:hAnsi="宋体" w:cs="宋体"/>
                <w:kern w:val="0"/>
                <w:sz w:val="20"/>
                <w:szCs w:val="20"/>
              </w:rPr>
              <w:t>150</w:t>
            </w:r>
          </w:p>
        </w:tc>
        <w:tc>
          <w:tcPr>
            <w:tcW w:w="1947" w:type="dxa"/>
            <w:vMerge w:val="continue"/>
            <w:noWrap w:val="0"/>
            <w:vAlign w:val="center"/>
          </w:tcPr>
          <w:p w14:paraId="71C1578C">
            <w:pPr>
              <w:widowControl/>
              <w:jc w:val="left"/>
              <w:rPr>
                <w:rFonts w:ascii="宋体" w:cs="宋体"/>
                <w:kern w:val="0"/>
                <w:sz w:val="20"/>
                <w:szCs w:val="20"/>
              </w:rPr>
            </w:pPr>
          </w:p>
        </w:tc>
        <w:tc>
          <w:tcPr>
            <w:tcW w:w="5220" w:type="dxa"/>
            <w:gridSpan w:val="2"/>
            <w:noWrap w:val="0"/>
            <w:vAlign w:val="center"/>
          </w:tcPr>
          <w:p w14:paraId="3AF1723C">
            <w:pPr>
              <w:widowControl/>
              <w:jc w:val="left"/>
              <w:rPr>
                <w:rFonts w:ascii="宋体" w:cs="宋体"/>
                <w:kern w:val="0"/>
                <w:sz w:val="20"/>
                <w:szCs w:val="20"/>
              </w:rPr>
            </w:pPr>
            <w:r>
              <w:rPr>
                <w:rFonts w:hint="eastAsia" w:ascii="宋体" w:hAnsi="宋体" w:cs="宋体"/>
                <w:kern w:val="0"/>
                <w:sz w:val="20"/>
                <w:szCs w:val="20"/>
              </w:rPr>
              <w:t>线宽小于</w:t>
            </w:r>
            <w:r>
              <w:rPr>
                <w:rFonts w:ascii="宋体" w:hAnsi="宋体" w:cs="宋体"/>
                <w:kern w:val="0"/>
                <w:sz w:val="20"/>
                <w:szCs w:val="20"/>
              </w:rPr>
              <w:t>65</w:t>
            </w:r>
            <w:r>
              <w:rPr>
                <w:rFonts w:hint="eastAsia" w:ascii="宋体" w:hAnsi="宋体" w:cs="宋体"/>
                <w:kern w:val="0"/>
                <w:sz w:val="20"/>
                <w:szCs w:val="20"/>
              </w:rPr>
              <w:t>纳米或投资额超过</w:t>
            </w:r>
            <w:r>
              <w:rPr>
                <w:rFonts w:ascii="宋体" w:hAnsi="宋体" w:cs="宋体"/>
                <w:kern w:val="0"/>
                <w:sz w:val="20"/>
                <w:szCs w:val="20"/>
              </w:rPr>
              <w:t>150</w:t>
            </w:r>
            <w:r>
              <w:rPr>
                <w:rFonts w:hint="eastAsia" w:ascii="宋体" w:hAnsi="宋体" w:cs="宋体"/>
                <w:kern w:val="0"/>
                <w:sz w:val="20"/>
                <w:szCs w:val="20"/>
              </w:rPr>
              <w:t>亿元的企业</w:t>
            </w:r>
          </w:p>
        </w:tc>
      </w:tr>
      <w:tr w14:paraId="69955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722" w:type="dxa"/>
            <w:noWrap w:val="0"/>
            <w:vAlign w:val="center"/>
          </w:tcPr>
          <w:p w14:paraId="07AF6176">
            <w:pPr>
              <w:widowControl/>
              <w:jc w:val="center"/>
              <w:rPr>
                <w:rFonts w:ascii="宋体" w:cs="宋体"/>
                <w:kern w:val="0"/>
                <w:sz w:val="20"/>
                <w:szCs w:val="20"/>
              </w:rPr>
            </w:pPr>
            <w:r>
              <w:rPr>
                <w:rFonts w:ascii="宋体" w:hAnsi="宋体" w:cs="宋体"/>
                <w:kern w:val="0"/>
                <w:sz w:val="20"/>
                <w:szCs w:val="20"/>
              </w:rPr>
              <w:t>210</w:t>
            </w:r>
          </w:p>
        </w:tc>
        <w:tc>
          <w:tcPr>
            <w:tcW w:w="1947" w:type="dxa"/>
            <w:vMerge w:val="restart"/>
            <w:noWrap w:val="0"/>
            <w:vAlign w:val="center"/>
          </w:tcPr>
          <w:p w14:paraId="6933FF50">
            <w:pPr>
              <w:widowControl/>
              <w:jc w:val="left"/>
              <w:rPr>
                <w:rFonts w:ascii="宋体" w:cs="宋体"/>
                <w:kern w:val="0"/>
                <w:sz w:val="20"/>
                <w:szCs w:val="20"/>
              </w:rPr>
            </w:pPr>
            <w:r>
              <w:rPr>
                <w:rFonts w:hint="eastAsia" w:ascii="宋体" w:hAnsi="宋体" w:cs="宋体"/>
                <w:kern w:val="0"/>
                <w:sz w:val="20"/>
                <w:szCs w:val="20"/>
              </w:rPr>
              <w:t>集成电路设计企业</w:t>
            </w:r>
          </w:p>
        </w:tc>
        <w:tc>
          <w:tcPr>
            <w:tcW w:w="5220" w:type="dxa"/>
            <w:gridSpan w:val="2"/>
            <w:noWrap w:val="0"/>
            <w:vAlign w:val="center"/>
          </w:tcPr>
          <w:p w14:paraId="23BAD8D1">
            <w:pPr>
              <w:widowControl/>
              <w:jc w:val="left"/>
              <w:rPr>
                <w:rFonts w:ascii="宋体" w:cs="宋体"/>
                <w:kern w:val="0"/>
                <w:sz w:val="20"/>
                <w:szCs w:val="20"/>
              </w:rPr>
            </w:pPr>
            <w:r>
              <w:rPr>
                <w:rFonts w:hint="eastAsia" w:ascii="宋体" w:hAnsi="宋体" w:cs="宋体"/>
                <w:kern w:val="0"/>
                <w:sz w:val="20"/>
                <w:szCs w:val="20"/>
              </w:rPr>
              <w:t>新办符合条件企业</w:t>
            </w:r>
          </w:p>
        </w:tc>
      </w:tr>
      <w:tr w14:paraId="56F4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722" w:type="dxa"/>
            <w:noWrap w:val="0"/>
            <w:vAlign w:val="center"/>
          </w:tcPr>
          <w:p w14:paraId="5FFD9B73">
            <w:pPr>
              <w:widowControl/>
              <w:jc w:val="center"/>
              <w:rPr>
                <w:rFonts w:ascii="宋体" w:cs="宋体"/>
                <w:kern w:val="0"/>
                <w:sz w:val="20"/>
                <w:szCs w:val="20"/>
              </w:rPr>
            </w:pPr>
            <w:r>
              <w:rPr>
                <w:rFonts w:ascii="宋体" w:hAnsi="宋体" w:cs="宋体"/>
                <w:kern w:val="0"/>
                <w:sz w:val="20"/>
                <w:szCs w:val="20"/>
              </w:rPr>
              <w:t>220</w:t>
            </w:r>
          </w:p>
        </w:tc>
        <w:tc>
          <w:tcPr>
            <w:tcW w:w="1947" w:type="dxa"/>
            <w:vMerge w:val="continue"/>
            <w:noWrap w:val="0"/>
            <w:vAlign w:val="center"/>
          </w:tcPr>
          <w:p w14:paraId="7A2CEC93">
            <w:pPr>
              <w:widowControl/>
              <w:jc w:val="left"/>
              <w:rPr>
                <w:rFonts w:ascii="宋体" w:cs="宋体"/>
                <w:kern w:val="0"/>
                <w:sz w:val="20"/>
                <w:szCs w:val="20"/>
              </w:rPr>
            </w:pPr>
          </w:p>
        </w:tc>
        <w:tc>
          <w:tcPr>
            <w:tcW w:w="5220" w:type="dxa"/>
            <w:gridSpan w:val="2"/>
            <w:noWrap w:val="0"/>
            <w:vAlign w:val="center"/>
          </w:tcPr>
          <w:p w14:paraId="7ED62BCA">
            <w:pPr>
              <w:widowControl/>
              <w:jc w:val="left"/>
              <w:rPr>
                <w:rFonts w:ascii="宋体" w:cs="宋体"/>
                <w:kern w:val="0"/>
                <w:sz w:val="20"/>
                <w:szCs w:val="20"/>
              </w:rPr>
            </w:pPr>
            <w:r>
              <w:rPr>
                <w:rFonts w:hint="eastAsia" w:ascii="宋体" w:hAnsi="宋体" w:cs="宋体"/>
                <w:kern w:val="0"/>
                <w:sz w:val="20"/>
                <w:szCs w:val="20"/>
              </w:rPr>
              <w:t>符合规模条件的重点集成电路设计企业</w:t>
            </w:r>
          </w:p>
        </w:tc>
      </w:tr>
      <w:tr w14:paraId="7A854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722" w:type="dxa"/>
            <w:noWrap w:val="0"/>
            <w:vAlign w:val="center"/>
          </w:tcPr>
          <w:p w14:paraId="38BF97F3">
            <w:pPr>
              <w:widowControl/>
              <w:jc w:val="center"/>
              <w:rPr>
                <w:rFonts w:ascii="宋体" w:cs="宋体"/>
                <w:kern w:val="0"/>
                <w:sz w:val="20"/>
                <w:szCs w:val="20"/>
              </w:rPr>
            </w:pPr>
            <w:r>
              <w:rPr>
                <w:rFonts w:ascii="宋体" w:hAnsi="宋体" w:cs="宋体"/>
                <w:kern w:val="0"/>
                <w:sz w:val="20"/>
                <w:szCs w:val="20"/>
              </w:rPr>
              <w:t>230</w:t>
            </w:r>
          </w:p>
        </w:tc>
        <w:tc>
          <w:tcPr>
            <w:tcW w:w="1947" w:type="dxa"/>
            <w:vMerge w:val="continue"/>
            <w:noWrap w:val="0"/>
            <w:vAlign w:val="center"/>
          </w:tcPr>
          <w:p w14:paraId="5FEE913D">
            <w:pPr>
              <w:widowControl/>
              <w:jc w:val="left"/>
              <w:rPr>
                <w:rFonts w:ascii="宋体" w:cs="宋体"/>
                <w:kern w:val="0"/>
                <w:sz w:val="20"/>
                <w:szCs w:val="20"/>
              </w:rPr>
            </w:pPr>
          </w:p>
        </w:tc>
        <w:tc>
          <w:tcPr>
            <w:tcW w:w="5220" w:type="dxa"/>
            <w:gridSpan w:val="2"/>
            <w:noWrap w:val="0"/>
            <w:vAlign w:val="center"/>
          </w:tcPr>
          <w:p w14:paraId="66CEB8F2">
            <w:pPr>
              <w:widowControl/>
              <w:jc w:val="left"/>
              <w:rPr>
                <w:rFonts w:ascii="宋体" w:cs="宋体"/>
                <w:kern w:val="0"/>
                <w:sz w:val="20"/>
                <w:szCs w:val="20"/>
              </w:rPr>
            </w:pPr>
            <w:r>
              <w:rPr>
                <w:rFonts w:hint="eastAsia" w:ascii="宋体" w:hAnsi="宋体" w:cs="宋体"/>
                <w:kern w:val="0"/>
                <w:sz w:val="20"/>
                <w:szCs w:val="20"/>
              </w:rPr>
              <w:t>符合领域的重点集成电路设计企业</w:t>
            </w:r>
          </w:p>
        </w:tc>
      </w:tr>
      <w:tr w14:paraId="34DC4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722" w:type="dxa"/>
            <w:noWrap w:val="0"/>
            <w:vAlign w:val="center"/>
          </w:tcPr>
          <w:p w14:paraId="61D2D3FF">
            <w:pPr>
              <w:widowControl/>
              <w:jc w:val="center"/>
              <w:rPr>
                <w:rFonts w:ascii="宋体" w:cs="宋体"/>
                <w:kern w:val="0"/>
                <w:sz w:val="20"/>
                <w:szCs w:val="20"/>
              </w:rPr>
            </w:pPr>
            <w:r>
              <w:rPr>
                <w:rFonts w:ascii="宋体" w:hAnsi="宋体" w:cs="宋体"/>
                <w:kern w:val="0"/>
                <w:sz w:val="20"/>
                <w:szCs w:val="20"/>
              </w:rPr>
              <w:t>311</w:t>
            </w:r>
          </w:p>
        </w:tc>
        <w:tc>
          <w:tcPr>
            <w:tcW w:w="1947" w:type="dxa"/>
            <w:vMerge w:val="restart"/>
            <w:noWrap w:val="0"/>
            <w:vAlign w:val="center"/>
          </w:tcPr>
          <w:p w14:paraId="7752B5AD">
            <w:pPr>
              <w:widowControl/>
              <w:jc w:val="left"/>
              <w:rPr>
                <w:rFonts w:ascii="宋体" w:cs="宋体"/>
                <w:kern w:val="0"/>
                <w:sz w:val="20"/>
                <w:szCs w:val="20"/>
              </w:rPr>
            </w:pPr>
            <w:r>
              <w:rPr>
                <w:rFonts w:hint="eastAsia" w:ascii="宋体" w:hAnsi="宋体" w:cs="宋体"/>
                <w:kern w:val="0"/>
                <w:sz w:val="20"/>
                <w:szCs w:val="20"/>
              </w:rPr>
              <w:t>软件企业</w:t>
            </w:r>
          </w:p>
        </w:tc>
        <w:tc>
          <w:tcPr>
            <w:tcW w:w="2205" w:type="dxa"/>
            <w:vMerge w:val="restart"/>
            <w:noWrap w:val="0"/>
            <w:vAlign w:val="center"/>
          </w:tcPr>
          <w:p w14:paraId="6DB1C2B0">
            <w:pPr>
              <w:widowControl/>
              <w:jc w:val="left"/>
              <w:rPr>
                <w:rFonts w:ascii="宋体" w:cs="宋体"/>
                <w:kern w:val="0"/>
                <w:sz w:val="20"/>
                <w:szCs w:val="20"/>
              </w:rPr>
            </w:pPr>
            <w:r>
              <w:rPr>
                <w:rFonts w:hint="eastAsia" w:ascii="宋体" w:hAnsi="宋体" w:cs="宋体"/>
                <w:kern w:val="0"/>
                <w:sz w:val="20"/>
                <w:szCs w:val="20"/>
              </w:rPr>
              <w:t>一般软件企业</w:t>
            </w:r>
          </w:p>
        </w:tc>
        <w:tc>
          <w:tcPr>
            <w:tcW w:w="3015" w:type="dxa"/>
            <w:noWrap w:val="0"/>
            <w:vAlign w:val="center"/>
          </w:tcPr>
          <w:p w14:paraId="572FCFB7">
            <w:pPr>
              <w:widowControl/>
              <w:jc w:val="left"/>
              <w:rPr>
                <w:rFonts w:ascii="宋体" w:cs="宋体"/>
                <w:kern w:val="0"/>
                <w:sz w:val="20"/>
                <w:szCs w:val="20"/>
              </w:rPr>
            </w:pPr>
            <w:r>
              <w:rPr>
                <w:rFonts w:hint="eastAsia" w:ascii="宋体" w:hAnsi="宋体" w:cs="宋体"/>
                <w:kern w:val="0"/>
                <w:sz w:val="20"/>
                <w:szCs w:val="20"/>
              </w:rPr>
              <w:t>新办符合条件企业</w:t>
            </w:r>
          </w:p>
        </w:tc>
      </w:tr>
      <w:tr w14:paraId="6D2EF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722" w:type="dxa"/>
            <w:noWrap w:val="0"/>
            <w:vAlign w:val="center"/>
          </w:tcPr>
          <w:p w14:paraId="521540AF">
            <w:pPr>
              <w:widowControl/>
              <w:jc w:val="center"/>
              <w:rPr>
                <w:rFonts w:ascii="宋体" w:cs="宋体"/>
                <w:kern w:val="0"/>
                <w:sz w:val="20"/>
                <w:szCs w:val="20"/>
              </w:rPr>
            </w:pPr>
            <w:r>
              <w:rPr>
                <w:rFonts w:ascii="宋体" w:hAnsi="宋体" w:cs="宋体"/>
                <w:kern w:val="0"/>
                <w:sz w:val="20"/>
                <w:szCs w:val="20"/>
              </w:rPr>
              <w:t>312</w:t>
            </w:r>
          </w:p>
        </w:tc>
        <w:tc>
          <w:tcPr>
            <w:tcW w:w="1947" w:type="dxa"/>
            <w:vMerge w:val="continue"/>
            <w:noWrap w:val="0"/>
            <w:vAlign w:val="center"/>
          </w:tcPr>
          <w:p w14:paraId="5FB75618">
            <w:pPr>
              <w:widowControl/>
              <w:jc w:val="left"/>
              <w:rPr>
                <w:rFonts w:ascii="宋体" w:cs="宋体"/>
                <w:kern w:val="0"/>
                <w:sz w:val="20"/>
                <w:szCs w:val="20"/>
              </w:rPr>
            </w:pPr>
          </w:p>
        </w:tc>
        <w:tc>
          <w:tcPr>
            <w:tcW w:w="2205" w:type="dxa"/>
            <w:vMerge w:val="continue"/>
            <w:noWrap w:val="0"/>
            <w:vAlign w:val="center"/>
          </w:tcPr>
          <w:p w14:paraId="17D4F0A4">
            <w:pPr>
              <w:widowControl/>
              <w:jc w:val="left"/>
              <w:rPr>
                <w:rFonts w:ascii="宋体" w:cs="宋体"/>
                <w:kern w:val="0"/>
                <w:sz w:val="20"/>
                <w:szCs w:val="20"/>
              </w:rPr>
            </w:pPr>
          </w:p>
        </w:tc>
        <w:tc>
          <w:tcPr>
            <w:tcW w:w="3015" w:type="dxa"/>
            <w:noWrap w:val="0"/>
            <w:vAlign w:val="center"/>
          </w:tcPr>
          <w:p w14:paraId="4681A2B1">
            <w:pPr>
              <w:widowControl/>
              <w:jc w:val="left"/>
              <w:rPr>
                <w:rFonts w:ascii="宋体" w:cs="宋体"/>
                <w:kern w:val="0"/>
                <w:sz w:val="20"/>
                <w:szCs w:val="20"/>
              </w:rPr>
            </w:pPr>
            <w:r>
              <w:rPr>
                <w:rFonts w:hint="eastAsia" w:ascii="宋体" w:hAnsi="宋体" w:cs="宋体"/>
                <w:kern w:val="0"/>
                <w:sz w:val="20"/>
                <w:szCs w:val="20"/>
              </w:rPr>
              <w:t>符合规模条件的重点软件企业</w:t>
            </w:r>
          </w:p>
        </w:tc>
      </w:tr>
      <w:tr w14:paraId="7A122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 w:hRule="atLeast"/>
          <w:jc w:val="center"/>
        </w:trPr>
        <w:tc>
          <w:tcPr>
            <w:tcW w:w="722" w:type="dxa"/>
            <w:noWrap w:val="0"/>
            <w:vAlign w:val="center"/>
          </w:tcPr>
          <w:p w14:paraId="26D2AC83">
            <w:pPr>
              <w:widowControl/>
              <w:jc w:val="center"/>
              <w:rPr>
                <w:rFonts w:ascii="宋体" w:cs="宋体"/>
                <w:kern w:val="0"/>
                <w:sz w:val="20"/>
                <w:szCs w:val="20"/>
              </w:rPr>
            </w:pPr>
            <w:r>
              <w:rPr>
                <w:rFonts w:ascii="宋体" w:hAnsi="宋体" w:cs="宋体"/>
                <w:kern w:val="0"/>
                <w:sz w:val="20"/>
                <w:szCs w:val="20"/>
              </w:rPr>
              <w:t>313</w:t>
            </w:r>
          </w:p>
        </w:tc>
        <w:tc>
          <w:tcPr>
            <w:tcW w:w="1947" w:type="dxa"/>
            <w:vMerge w:val="continue"/>
            <w:noWrap w:val="0"/>
            <w:vAlign w:val="center"/>
          </w:tcPr>
          <w:p w14:paraId="3246DB8E">
            <w:pPr>
              <w:widowControl/>
              <w:jc w:val="left"/>
              <w:rPr>
                <w:rFonts w:ascii="宋体" w:cs="宋体"/>
                <w:kern w:val="0"/>
                <w:sz w:val="20"/>
                <w:szCs w:val="20"/>
              </w:rPr>
            </w:pPr>
          </w:p>
        </w:tc>
        <w:tc>
          <w:tcPr>
            <w:tcW w:w="2205" w:type="dxa"/>
            <w:vMerge w:val="continue"/>
            <w:noWrap w:val="0"/>
            <w:vAlign w:val="center"/>
          </w:tcPr>
          <w:p w14:paraId="3BA0D225">
            <w:pPr>
              <w:widowControl/>
              <w:jc w:val="left"/>
              <w:rPr>
                <w:rFonts w:ascii="宋体" w:cs="宋体"/>
                <w:kern w:val="0"/>
                <w:sz w:val="20"/>
                <w:szCs w:val="20"/>
              </w:rPr>
            </w:pPr>
          </w:p>
        </w:tc>
        <w:tc>
          <w:tcPr>
            <w:tcW w:w="3015" w:type="dxa"/>
            <w:noWrap w:val="0"/>
            <w:vAlign w:val="center"/>
          </w:tcPr>
          <w:p w14:paraId="18B57381">
            <w:pPr>
              <w:widowControl/>
              <w:jc w:val="left"/>
              <w:rPr>
                <w:rFonts w:ascii="宋体" w:cs="宋体"/>
                <w:kern w:val="0"/>
                <w:sz w:val="20"/>
                <w:szCs w:val="20"/>
              </w:rPr>
            </w:pPr>
            <w:r>
              <w:rPr>
                <w:rFonts w:hint="eastAsia" w:ascii="宋体" w:hAnsi="宋体" w:cs="宋体"/>
                <w:kern w:val="0"/>
                <w:sz w:val="20"/>
                <w:szCs w:val="20"/>
              </w:rPr>
              <w:t>符合领域条件的重点软件企业</w:t>
            </w:r>
          </w:p>
        </w:tc>
      </w:tr>
      <w:tr w14:paraId="531E5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 w:hRule="atLeast"/>
          <w:jc w:val="center"/>
        </w:trPr>
        <w:tc>
          <w:tcPr>
            <w:tcW w:w="722" w:type="dxa"/>
            <w:noWrap w:val="0"/>
            <w:vAlign w:val="center"/>
          </w:tcPr>
          <w:p w14:paraId="39981D54">
            <w:pPr>
              <w:widowControl/>
              <w:jc w:val="center"/>
              <w:rPr>
                <w:rFonts w:ascii="宋体" w:cs="宋体"/>
                <w:kern w:val="0"/>
                <w:sz w:val="20"/>
                <w:szCs w:val="20"/>
              </w:rPr>
            </w:pPr>
            <w:r>
              <w:rPr>
                <w:rFonts w:ascii="宋体" w:hAnsi="宋体" w:cs="宋体"/>
                <w:kern w:val="0"/>
                <w:sz w:val="20"/>
                <w:szCs w:val="20"/>
              </w:rPr>
              <w:t>314</w:t>
            </w:r>
          </w:p>
        </w:tc>
        <w:tc>
          <w:tcPr>
            <w:tcW w:w="1947" w:type="dxa"/>
            <w:vMerge w:val="continue"/>
            <w:noWrap w:val="0"/>
            <w:vAlign w:val="center"/>
          </w:tcPr>
          <w:p w14:paraId="3C613A36">
            <w:pPr>
              <w:widowControl/>
              <w:jc w:val="left"/>
              <w:rPr>
                <w:rFonts w:ascii="宋体" w:cs="宋体"/>
                <w:kern w:val="0"/>
                <w:sz w:val="20"/>
                <w:szCs w:val="20"/>
              </w:rPr>
            </w:pPr>
          </w:p>
        </w:tc>
        <w:tc>
          <w:tcPr>
            <w:tcW w:w="2205" w:type="dxa"/>
            <w:vMerge w:val="continue"/>
            <w:noWrap w:val="0"/>
            <w:vAlign w:val="center"/>
          </w:tcPr>
          <w:p w14:paraId="7E0D2B44">
            <w:pPr>
              <w:widowControl/>
              <w:jc w:val="left"/>
              <w:rPr>
                <w:rFonts w:ascii="宋体" w:cs="宋体"/>
                <w:kern w:val="0"/>
                <w:sz w:val="20"/>
                <w:szCs w:val="20"/>
              </w:rPr>
            </w:pPr>
          </w:p>
        </w:tc>
        <w:tc>
          <w:tcPr>
            <w:tcW w:w="3015" w:type="dxa"/>
            <w:noWrap w:val="0"/>
            <w:vAlign w:val="center"/>
          </w:tcPr>
          <w:p w14:paraId="55A5E3DE">
            <w:pPr>
              <w:widowControl/>
              <w:jc w:val="left"/>
              <w:rPr>
                <w:rFonts w:ascii="宋体" w:cs="宋体"/>
                <w:kern w:val="0"/>
                <w:sz w:val="20"/>
                <w:szCs w:val="20"/>
              </w:rPr>
            </w:pPr>
            <w:r>
              <w:rPr>
                <w:rFonts w:hint="eastAsia" w:ascii="宋体" w:hAnsi="宋体" w:cs="宋体"/>
                <w:kern w:val="0"/>
                <w:sz w:val="20"/>
                <w:szCs w:val="20"/>
              </w:rPr>
              <w:t>符合出口条件的重点软件企业</w:t>
            </w:r>
          </w:p>
        </w:tc>
      </w:tr>
      <w:tr w14:paraId="0F4BB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722" w:type="dxa"/>
            <w:noWrap w:val="0"/>
            <w:vAlign w:val="center"/>
          </w:tcPr>
          <w:p w14:paraId="4B840ADD">
            <w:pPr>
              <w:widowControl/>
              <w:jc w:val="center"/>
              <w:rPr>
                <w:rFonts w:ascii="宋体" w:cs="宋体"/>
                <w:kern w:val="0"/>
                <w:sz w:val="20"/>
                <w:szCs w:val="20"/>
              </w:rPr>
            </w:pPr>
            <w:r>
              <w:rPr>
                <w:rFonts w:ascii="宋体" w:hAnsi="宋体" w:cs="宋体"/>
                <w:kern w:val="0"/>
                <w:sz w:val="20"/>
                <w:szCs w:val="20"/>
              </w:rPr>
              <w:t>321</w:t>
            </w:r>
          </w:p>
        </w:tc>
        <w:tc>
          <w:tcPr>
            <w:tcW w:w="1947" w:type="dxa"/>
            <w:vMerge w:val="continue"/>
            <w:noWrap w:val="0"/>
            <w:vAlign w:val="center"/>
          </w:tcPr>
          <w:p w14:paraId="73B94F50">
            <w:pPr>
              <w:widowControl/>
              <w:jc w:val="left"/>
              <w:rPr>
                <w:rFonts w:ascii="宋体" w:cs="宋体"/>
                <w:kern w:val="0"/>
                <w:sz w:val="20"/>
                <w:szCs w:val="20"/>
              </w:rPr>
            </w:pPr>
          </w:p>
        </w:tc>
        <w:tc>
          <w:tcPr>
            <w:tcW w:w="2205" w:type="dxa"/>
            <w:vMerge w:val="restart"/>
            <w:noWrap w:val="0"/>
            <w:vAlign w:val="center"/>
          </w:tcPr>
          <w:p w14:paraId="6D7F2258">
            <w:pPr>
              <w:widowControl/>
              <w:jc w:val="left"/>
              <w:rPr>
                <w:rFonts w:ascii="宋体" w:cs="宋体"/>
                <w:kern w:val="0"/>
                <w:sz w:val="20"/>
                <w:szCs w:val="20"/>
              </w:rPr>
            </w:pPr>
            <w:r>
              <w:rPr>
                <w:rFonts w:hint="eastAsia" w:ascii="宋体" w:hAnsi="宋体" w:cs="宋体"/>
                <w:kern w:val="0"/>
                <w:sz w:val="20"/>
                <w:szCs w:val="20"/>
              </w:rPr>
              <w:t>嵌入式或信息系统集成软件</w:t>
            </w:r>
          </w:p>
        </w:tc>
        <w:tc>
          <w:tcPr>
            <w:tcW w:w="3015" w:type="dxa"/>
            <w:noWrap w:val="0"/>
            <w:vAlign w:val="center"/>
          </w:tcPr>
          <w:p w14:paraId="6ED084D7">
            <w:pPr>
              <w:widowControl/>
              <w:jc w:val="left"/>
              <w:rPr>
                <w:rFonts w:ascii="宋体" w:cs="宋体"/>
                <w:kern w:val="0"/>
                <w:sz w:val="20"/>
                <w:szCs w:val="20"/>
              </w:rPr>
            </w:pPr>
            <w:r>
              <w:rPr>
                <w:rFonts w:hint="eastAsia" w:ascii="宋体" w:hAnsi="宋体" w:cs="宋体"/>
                <w:kern w:val="0"/>
                <w:sz w:val="20"/>
                <w:szCs w:val="20"/>
              </w:rPr>
              <w:t>新办符合条件企业</w:t>
            </w:r>
          </w:p>
        </w:tc>
      </w:tr>
      <w:tr w14:paraId="241F2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722" w:type="dxa"/>
            <w:noWrap w:val="0"/>
            <w:vAlign w:val="center"/>
          </w:tcPr>
          <w:p w14:paraId="4A6AB778">
            <w:pPr>
              <w:widowControl/>
              <w:jc w:val="center"/>
              <w:rPr>
                <w:rFonts w:ascii="宋体" w:cs="宋体"/>
                <w:kern w:val="0"/>
                <w:sz w:val="20"/>
                <w:szCs w:val="20"/>
              </w:rPr>
            </w:pPr>
            <w:r>
              <w:rPr>
                <w:rFonts w:ascii="宋体" w:hAnsi="宋体" w:cs="宋体"/>
                <w:kern w:val="0"/>
                <w:sz w:val="20"/>
                <w:szCs w:val="20"/>
              </w:rPr>
              <w:t>322</w:t>
            </w:r>
          </w:p>
        </w:tc>
        <w:tc>
          <w:tcPr>
            <w:tcW w:w="1947" w:type="dxa"/>
            <w:vMerge w:val="continue"/>
            <w:noWrap w:val="0"/>
            <w:vAlign w:val="center"/>
          </w:tcPr>
          <w:p w14:paraId="452A66B9">
            <w:pPr>
              <w:widowControl/>
              <w:jc w:val="left"/>
              <w:rPr>
                <w:rFonts w:ascii="宋体" w:cs="宋体"/>
                <w:kern w:val="0"/>
                <w:sz w:val="20"/>
                <w:szCs w:val="20"/>
              </w:rPr>
            </w:pPr>
          </w:p>
        </w:tc>
        <w:tc>
          <w:tcPr>
            <w:tcW w:w="2205" w:type="dxa"/>
            <w:vMerge w:val="continue"/>
            <w:noWrap w:val="0"/>
            <w:vAlign w:val="center"/>
          </w:tcPr>
          <w:p w14:paraId="0FE5316B">
            <w:pPr>
              <w:widowControl/>
              <w:jc w:val="left"/>
              <w:rPr>
                <w:rFonts w:ascii="宋体" w:cs="宋体"/>
                <w:kern w:val="0"/>
                <w:sz w:val="20"/>
                <w:szCs w:val="20"/>
              </w:rPr>
            </w:pPr>
          </w:p>
        </w:tc>
        <w:tc>
          <w:tcPr>
            <w:tcW w:w="3015" w:type="dxa"/>
            <w:noWrap w:val="0"/>
            <w:vAlign w:val="center"/>
          </w:tcPr>
          <w:p w14:paraId="36F7CE30">
            <w:pPr>
              <w:widowControl/>
              <w:jc w:val="left"/>
              <w:rPr>
                <w:rFonts w:ascii="宋体" w:cs="宋体"/>
                <w:kern w:val="0"/>
                <w:sz w:val="20"/>
                <w:szCs w:val="20"/>
              </w:rPr>
            </w:pPr>
            <w:r>
              <w:rPr>
                <w:rFonts w:hint="eastAsia" w:ascii="宋体" w:hAnsi="宋体" w:cs="宋体"/>
                <w:kern w:val="0"/>
                <w:sz w:val="20"/>
                <w:szCs w:val="20"/>
              </w:rPr>
              <w:t>符合规模条件的重点软件企业</w:t>
            </w:r>
          </w:p>
        </w:tc>
      </w:tr>
      <w:tr w14:paraId="2005A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722" w:type="dxa"/>
            <w:noWrap w:val="0"/>
            <w:vAlign w:val="center"/>
          </w:tcPr>
          <w:p w14:paraId="1B801CB8">
            <w:pPr>
              <w:widowControl/>
              <w:jc w:val="center"/>
              <w:rPr>
                <w:rFonts w:ascii="宋体" w:cs="宋体"/>
                <w:kern w:val="0"/>
                <w:sz w:val="20"/>
                <w:szCs w:val="20"/>
              </w:rPr>
            </w:pPr>
            <w:r>
              <w:rPr>
                <w:rFonts w:ascii="宋体" w:hAnsi="宋体" w:cs="宋体"/>
                <w:kern w:val="0"/>
                <w:sz w:val="20"/>
                <w:szCs w:val="20"/>
              </w:rPr>
              <w:t>323</w:t>
            </w:r>
          </w:p>
        </w:tc>
        <w:tc>
          <w:tcPr>
            <w:tcW w:w="1947" w:type="dxa"/>
            <w:vMerge w:val="continue"/>
            <w:noWrap w:val="0"/>
            <w:vAlign w:val="center"/>
          </w:tcPr>
          <w:p w14:paraId="40A16E05">
            <w:pPr>
              <w:widowControl/>
              <w:jc w:val="left"/>
              <w:rPr>
                <w:rFonts w:ascii="宋体" w:cs="宋体"/>
                <w:kern w:val="0"/>
                <w:sz w:val="20"/>
                <w:szCs w:val="20"/>
              </w:rPr>
            </w:pPr>
          </w:p>
        </w:tc>
        <w:tc>
          <w:tcPr>
            <w:tcW w:w="2205" w:type="dxa"/>
            <w:vMerge w:val="continue"/>
            <w:noWrap w:val="0"/>
            <w:vAlign w:val="center"/>
          </w:tcPr>
          <w:p w14:paraId="616CDDE9">
            <w:pPr>
              <w:widowControl/>
              <w:jc w:val="left"/>
              <w:rPr>
                <w:rFonts w:ascii="宋体" w:cs="宋体"/>
                <w:kern w:val="0"/>
                <w:sz w:val="20"/>
                <w:szCs w:val="20"/>
              </w:rPr>
            </w:pPr>
          </w:p>
        </w:tc>
        <w:tc>
          <w:tcPr>
            <w:tcW w:w="3015" w:type="dxa"/>
            <w:noWrap w:val="0"/>
            <w:vAlign w:val="center"/>
          </w:tcPr>
          <w:p w14:paraId="4F252649">
            <w:pPr>
              <w:widowControl/>
              <w:jc w:val="left"/>
              <w:rPr>
                <w:rFonts w:ascii="宋体" w:cs="宋体"/>
                <w:kern w:val="0"/>
                <w:sz w:val="20"/>
                <w:szCs w:val="20"/>
              </w:rPr>
            </w:pPr>
            <w:r>
              <w:rPr>
                <w:rFonts w:hint="eastAsia" w:ascii="宋体" w:hAnsi="宋体" w:cs="宋体"/>
                <w:kern w:val="0"/>
                <w:sz w:val="20"/>
                <w:szCs w:val="20"/>
              </w:rPr>
              <w:t>符合领域条件的重点软件企业</w:t>
            </w:r>
          </w:p>
        </w:tc>
      </w:tr>
      <w:tr w14:paraId="40BD6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 w:hRule="atLeast"/>
          <w:jc w:val="center"/>
        </w:trPr>
        <w:tc>
          <w:tcPr>
            <w:tcW w:w="722" w:type="dxa"/>
            <w:noWrap w:val="0"/>
            <w:vAlign w:val="center"/>
          </w:tcPr>
          <w:p w14:paraId="2ABD1F54">
            <w:pPr>
              <w:widowControl/>
              <w:jc w:val="center"/>
              <w:rPr>
                <w:rFonts w:ascii="宋体" w:cs="宋体"/>
                <w:kern w:val="0"/>
                <w:sz w:val="20"/>
                <w:szCs w:val="20"/>
              </w:rPr>
            </w:pPr>
            <w:r>
              <w:rPr>
                <w:rFonts w:ascii="宋体" w:hAnsi="宋体" w:cs="宋体"/>
                <w:kern w:val="0"/>
                <w:sz w:val="20"/>
                <w:szCs w:val="20"/>
              </w:rPr>
              <w:t>324</w:t>
            </w:r>
          </w:p>
        </w:tc>
        <w:tc>
          <w:tcPr>
            <w:tcW w:w="1947" w:type="dxa"/>
            <w:vMerge w:val="continue"/>
            <w:noWrap w:val="0"/>
            <w:vAlign w:val="center"/>
          </w:tcPr>
          <w:p w14:paraId="60354CC7">
            <w:pPr>
              <w:widowControl/>
              <w:jc w:val="left"/>
              <w:rPr>
                <w:rFonts w:ascii="宋体" w:cs="宋体"/>
                <w:kern w:val="0"/>
                <w:sz w:val="20"/>
                <w:szCs w:val="20"/>
              </w:rPr>
            </w:pPr>
          </w:p>
        </w:tc>
        <w:tc>
          <w:tcPr>
            <w:tcW w:w="2205" w:type="dxa"/>
            <w:vMerge w:val="continue"/>
            <w:noWrap w:val="0"/>
            <w:vAlign w:val="center"/>
          </w:tcPr>
          <w:p w14:paraId="6D08A84F">
            <w:pPr>
              <w:widowControl/>
              <w:jc w:val="left"/>
              <w:rPr>
                <w:rFonts w:ascii="宋体" w:cs="宋体"/>
                <w:kern w:val="0"/>
                <w:sz w:val="20"/>
                <w:szCs w:val="20"/>
              </w:rPr>
            </w:pPr>
          </w:p>
        </w:tc>
        <w:tc>
          <w:tcPr>
            <w:tcW w:w="3015" w:type="dxa"/>
            <w:noWrap w:val="0"/>
            <w:vAlign w:val="center"/>
          </w:tcPr>
          <w:p w14:paraId="052623B9">
            <w:pPr>
              <w:widowControl/>
              <w:jc w:val="left"/>
              <w:rPr>
                <w:rFonts w:ascii="宋体" w:cs="宋体"/>
                <w:kern w:val="0"/>
                <w:sz w:val="20"/>
                <w:szCs w:val="20"/>
              </w:rPr>
            </w:pPr>
            <w:r>
              <w:rPr>
                <w:rFonts w:hint="eastAsia" w:ascii="宋体" w:hAnsi="宋体" w:cs="宋体"/>
                <w:kern w:val="0"/>
                <w:sz w:val="20"/>
                <w:szCs w:val="20"/>
              </w:rPr>
              <w:t>符合出口条件的重点软件企业</w:t>
            </w:r>
          </w:p>
        </w:tc>
      </w:tr>
      <w:tr w14:paraId="6E3DA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722" w:type="dxa"/>
            <w:noWrap w:val="0"/>
            <w:vAlign w:val="center"/>
          </w:tcPr>
          <w:p w14:paraId="322BD255">
            <w:pPr>
              <w:widowControl/>
              <w:jc w:val="center"/>
              <w:rPr>
                <w:rFonts w:ascii="宋体" w:cs="宋体"/>
                <w:kern w:val="0"/>
                <w:sz w:val="20"/>
                <w:szCs w:val="20"/>
              </w:rPr>
            </w:pPr>
            <w:r>
              <w:rPr>
                <w:rFonts w:ascii="宋体" w:hAnsi="宋体" w:cs="宋体"/>
                <w:kern w:val="0"/>
                <w:sz w:val="20"/>
                <w:szCs w:val="20"/>
              </w:rPr>
              <w:t>400</w:t>
            </w:r>
          </w:p>
        </w:tc>
        <w:tc>
          <w:tcPr>
            <w:tcW w:w="7167" w:type="dxa"/>
            <w:gridSpan w:val="3"/>
            <w:noWrap w:val="0"/>
            <w:vAlign w:val="center"/>
          </w:tcPr>
          <w:p w14:paraId="3C2DF93D">
            <w:pPr>
              <w:widowControl/>
              <w:jc w:val="left"/>
              <w:rPr>
                <w:rFonts w:ascii="宋体" w:cs="宋体"/>
                <w:kern w:val="0"/>
                <w:sz w:val="20"/>
                <w:szCs w:val="20"/>
              </w:rPr>
            </w:pPr>
            <w:r>
              <w:rPr>
                <w:rFonts w:hint="eastAsia" w:ascii="宋体" w:hAnsi="宋体" w:cs="宋体"/>
                <w:kern w:val="0"/>
                <w:sz w:val="20"/>
                <w:szCs w:val="20"/>
              </w:rPr>
              <w:t>集成电路封装测试企业</w:t>
            </w:r>
          </w:p>
        </w:tc>
      </w:tr>
      <w:tr w14:paraId="00EA1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722" w:type="dxa"/>
            <w:noWrap w:val="0"/>
            <w:vAlign w:val="center"/>
          </w:tcPr>
          <w:p w14:paraId="1FC54BCA">
            <w:pPr>
              <w:widowControl/>
              <w:jc w:val="center"/>
              <w:rPr>
                <w:rFonts w:ascii="宋体" w:cs="宋体"/>
                <w:kern w:val="0"/>
                <w:sz w:val="20"/>
                <w:szCs w:val="20"/>
              </w:rPr>
            </w:pPr>
            <w:r>
              <w:rPr>
                <w:rFonts w:ascii="宋体" w:hAnsi="宋体" w:cs="宋体"/>
                <w:kern w:val="0"/>
                <w:sz w:val="20"/>
                <w:szCs w:val="20"/>
              </w:rPr>
              <w:t>500</w:t>
            </w:r>
          </w:p>
        </w:tc>
        <w:tc>
          <w:tcPr>
            <w:tcW w:w="7167" w:type="dxa"/>
            <w:gridSpan w:val="3"/>
            <w:noWrap w:val="0"/>
            <w:vAlign w:val="center"/>
          </w:tcPr>
          <w:p w14:paraId="477E3255">
            <w:pPr>
              <w:widowControl/>
              <w:jc w:val="left"/>
              <w:rPr>
                <w:rFonts w:ascii="宋体" w:cs="宋体"/>
                <w:kern w:val="0"/>
                <w:sz w:val="20"/>
                <w:szCs w:val="20"/>
              </w:rPr>
            </w:pPr>
            <w:r>
              <w:rPr>
                <w:rFonts w:hint="eastAsia" w:ascii="宋体" w:hAnsi="宋体" w:cs="宋体"/>
                <w:kern w:val="0"/>
                <w:sz w:val="20"/>
                <w:szCs w:val="20"/>
              </w:rPr>
              <w:t>集成电路关键专用材料生产企业</w:t>
            </w:r>
          </w:p>
        </w:tc>
      </w:tr>
      <w:tr w14:paraId="28719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722" w:type="dxa"/>
            <w:noWrap w:val="0"/>
            <w:vAlign w:val="center"/>
          </w:tcPr>
          <w:p w14:paraId="16009E91">
            <w:pPr>
              <w:widowControl/>
              <w:jc w:val="center"/>
              <w:rPr>
                <w:rFonts w:ascii="宋体" w:cs="宋体"/>
                <w:kern w:val="0"/>
                <w:sz w:val="20"/>
                <w:szCs w:val="20"/>
              </w:rPr>
            </w:pPr>
            <w:r>
              <w:rPr>
                <w:rFonts w:ascii="宋体" w:hAnsi="宋体" w:cs="宋体"/>
                <w:kern w:val="0"/>
                <w:sz w:val="20"/>
                <w:szCs w:val="20"/>
              </w:rPr>
              <w:t>600</w:t>
            </w:r>
          </w:p>
        </w:tc>
        <w:tc>
          <w:tcPr>
            <w:tcW w:w="7167" w:type="dxa"/>
            <w:gridSpan w:val="3"/>
            <w:noWrap w:val="0"/>
            <w:vAlign w:val="center"/>
          </w:tcPr>
          <w:p w14:paraId="692FF47B">
            <w:pPr>
              <w:widowControl/>
              <w:jc w:val="left"/>
              <w:rPr>
                <w:rFonts w:ascii="宋体" w:cs="宋体"/>
                <w:kern w:val="0"/>
                <w:sz w:val="20"/>
                <w:szCs w:val="20"/>
              </w:rPr>
            </w:pPr>
            <w:r>
              <w:rPr>
                <w:rFonts w:hint="eastAsia" w:ascii="宋体" w:hAnsi="宋体" w:cs="宋体"/>
                <w:kern w:val="0"/>
                <w:sz w:val="20"/>
                <w:szCs w:val="20"/>
              </w:rPr>
              <w:t>集成电路专用设备生产企业</w:t>
            </w:r>
          </w:p>
        </w:tc>
      </w:tr>
    </w:tbl>
    <w:p w14:paraId="3762F43D">
      <w:pPr>
        <w:pStyle w:val="8"/>
      </w:pPr>
      <w:r>
        <w:rPr>
          <w:rFonts w:hint="eastAsia"/>
        </w:rPr>
        <w:t>代码说明：</w:t>
      </w:r>
    </w:p>
    <w:p w14:paraId="040AA5F0">
      <w:pPr>
        <w:pStyle w:val="8"/>
      </w:pPr>
      <w:r>
        <w:rPr>
          <w:rFonts w:hint="eastAsia"/>
        </w:rPr>
        <w:t>“集成电路生产企业”：符合《财政部</w:t>
      </w:r>
      <w:r>
        <w:t xml:space="preserve"> </w:t>
      </w:r>
      <w:r>
        <w:rPr>
          <w:rFonts w:hint="eastAsia"/>
        </w:rPr>
        <w:t>国家税务总局 发展改革委 工业和信息化部关于软件和集成电路产业企业所得税优惠政策有关问题的通知》（财税〔</w:t>
      </w:r>
      <w:r>
        <w:t>2016</w:t>
      </w:r>
      <w:r>
        <w:rPr>
          <w:rFonts w:hint="eastAsia"/>
        </w:rPr>
        <w:t>〕</w:t>
      </w:r>
      <w:r>
        <w:t>49</w:t>
      </w:r>
      <w:r>
        <w:rPr>
          <w:rFonts w:hint="eastAsia"/>
        </w:rPr>
        <w:t>号）、《财政部</w:t>
      </w:r>
      <w:r>
        <w:t xml:space="preserve"> </w:t>
      </w:r>
      <w:r>
        <w:rPr>
          <w:rFonts w:hint="eastAsia"/>
        </w:rPr>
        <w:t>税务总局</w:t>
      </w:r>
      <w:r>
        <w:t xml:space="preserve"> </w:t>
      </w:r>
      <w:r>
        <w:rPr>
          <w:rFonts w:hint="eastAsia"/>
        </w:rPr>
        <w:t>国家发展改革委</w:t>
      </w:r>
      <w:r>
        <w:t xml:space="preserve"> </w:t>
      </w:r>
      <w:r>
        <w:rPr>
          <w:rFonts w:hint="eastAsia"/>
        </w:rPr>
        <w:t>工业和信息化部关于集成电路生产企业有关企业所得税政策问题的通知》（财税〔</w:t>
      </w:r>
      <w:r>
        <w:t>2018</w:t>
      </w:r>
      <w:r>
        <w:rPr>
          <w:rFonts w:hint="eastAsia"/>
        </w:rPr>
        <w:t>〕</w:t>
      </w:r>
      <w:r>
        <w:t>27</w:t>
      </w:r>
      <w:r>
        <w:rPr>
          <w:rFonts w:hint="eastAsia"/>
        </w:rPr>
        <w:t>号）等文件规定的集成电路生产企业。具体说明如下：</w:t>
      </w:r>
    </w:p>
    <w:p w14:paraId="429B21CC">
      <w:pPr>
        <w:pStyle w:val="8"/>
      </w:pPr>
      <w:r>
        <w:rPr>
          <w:rFonts w:hint="eastAsia"/>
        </w:rPr>
        <w:t>（</w:t>
      </w:r>
      <w:r>
        <w:t>1</w:t>
      </w:r>
      <w:r>
        <w:rPr>
          <w:rFonts w:hint="eastAsia"/>
        </w:rPr>
        <w:t>）“线宽小于</w:t>
      </w:r>
      <w:r>
        <w:t>0.8</w:t>
      </w:r>
      <w:r>
        <w:rPr>
          <w:rFonts w:hint="eastAsia"/>
        </w:rPr>
        <w:t>微米（含）的企业”是指可以享受第一年至第二年免征企业所得税，第三年至第五年按照</w:t>
      </w:r>
      <w:r>
        <w:t>25%</w:t>
      </w:r>
      <w:r>
        <w:rPr>
          <w:rFonts w:hint="eastAsia"/>
        </w:rPr>
        <w:t>的法定税率减半征收企业所得税优惠政策的集成电路线宽小于</w:t>
      </w:r>
      <w:r>
        <w:t>0.8</w:t>
      </w:r>
      <w:r>
        <w:rPr>
          <w:rFonts w:hint="eastAsia"/>
        </w:rPr>
        <w:t>微米（含）的集成电路生产企业。</w:t>
      </w:r>
    </w:p>
    <w:p w14:paraId="681C1A44">
      <w:pPr>
        <w:pStyle w:val="8"/>
      </w:pPr>
      <w:r>
        <w:rPr>
          <w:rFonts w:hint="eastAsia"/>
        </w:rPr>
        <w:t>（</w:t>
      </w:r>
      <w:r>
        <w:t>2</w:t>
      </w:r>
      <w:r>
        <w:rPr>
          <w:rFonts w:hint="eastAsia"/>
        </w:rPr>
        <w:t>）“线宽小于</w:t>
      </w:r>
      <w:r>
        <w:t>0.25</w:t>
      </w:r>
      <w:r>
        <w:rPr>
          <w:rFonts w:hint="eastAsia"/>
        </w:rPr>
        <w:t>微米的企业”是指可以享受减按</w:t>
      </w:r>
      <w:r>
        <w:t>15%</w:t>
      </w:r>
      <w:r>
        <w:rPr>
          <w:rFonts w:hint="eastAsia"/>
        </w:rPr>
        <w:t>的税率征收企业所得税优惠政策，或者第一年至第五年免征企业所得税，第六年至第十年按照</w:t>
      </w:r>
      <w:r>
        <w:t>25%</w:t>
      </w:r>
      <w:r>
        <w:rPr>
          <w:rFonts w:hint="eastAsia"/>
        </w:rPr>
        <w:t>的法定税率减半征收企业所得税优惠政策的集成电路线宽小于</w:t>
      </w:r>
      <w:r>
        <w:t>0.25</w:t>
      </w:r>
      <w:r>
        <w:rPr>
          <w:rFonts w:hint="eastAsia"/>
        </w:rPr>
        <w:t>微米的集成电路生产企业。</w:t>
      </w:r>
    </w:p>
    <w:p w14:paraId="503E611A">
      <w:pPr>
        <w:pStyle w:val="8"/>
      </w:pPr>
      <w:r>
        <w:rPr>
          <w:rFonts w:hint="eastAsia"/>
        </w:rPr>
        <w:t>（</w:t>
      </w:r>
      <w:r>
        <w:t>3</w:t>
      </w:r>
      <w:r>
        <w:rPr>
          <w:rFonts w:hint="eastAsia"/>
        </w:rPr>
        <w:t>）“投资额超过</w:t>
      </w:r>
      <w:r>
        <w:t>80</w:t>
      </w:r>
      <w:r>
        <w:rPr>
          <w:rFonts w:hint="eastAsia"/>
        </w:rPr>
        <w:t>亿元的企业”是指可以享受减按</w:t>
      </w:r>
      <w:r>
        <w:t>15%</w:t>
      </w:r>
      <w:r>
        <w:rPr>
          <w:rFonts w:hint="eastAsia"/>
        </w:rPr>
        <w:t>的税率征收企业所得税优惠政策，或者第一年至第五年免征企业所得税，第六年至第十年按照</w:t>
      </w:r>
      <w:r>
        <w:t>25%</w:t>
      </w:r>
      <w:r>
        <w:rPr>
          <w:rFonts w:hint="eastAsia"/>
        </w:rPr>
        <w:t>的法定税率减半征收企业所得税优惠政策的投资额超过</w:t>
      </w:r>
      <w:r>
        <w:t>80</w:t>
      </w:r>
      <w:r>
        <w:rPr>
          <w:rFonts w:hint="eastAsia"/>
        </w:rPr>
        <w:t>亿元的集成电路生产企业。</w:t>
      </w:r>
    </w:p>
    <w:p w14:paraId="588059E7">
      <w:pPr>
        <w:pStyle w:val="8"/>
      </w:pPr>
      <w:r>
        <w:rPr>
          <w:rFonts w:hint="eastAsia"/>
        </w:rPr>
        <w:t>（</w:t>
      </w:r>
      <w:r>
        <w:t>4</w:t>
      </w:r>
      <w:r>
        <w:rPr>
          <w:rFonts w:hint="eastAsia"/>
        </w:rPr>
        <w:t>）“线宽小于</w:t>
      </w:r>
      <w:r>
        <w:t>130</w:t>
      </w:r>
      <w:r>
        <w:rPr>
          <w:rFonts w:hint="eastAsia"/>
        </w:rPr>
        <w:t>纳米的企业”是指可以享受第一年至第二年免征企业所得税，第三年至第五年按照</w:t>
      </w:r>
      <w:r>
        <w:t>25%</w:t>
      </w:r>
      <w:r>
        <w:rPr>
          <w:rFonts w:hint="eastAsia"/>
        </w:rPr>
        <w:t>的法定税率减半征收企业所得税优惠政策的集成电路线宽小于</w:t>
      </w:r>
      <w:r>
        <w:t>130</w:t>
      </w:r>
      <w:r>
        <w:rPr>
          <w:rFonts w:hint="eastAsia"/>
        </w:rPr>
        <w:t>纳米的集成电路生产企业。</w:t>
      </w:r>
    </w:p>
    <w:p w14:paraId="20C7A9BC">
      <w:pPr>
        <w:pStyle w:val="8"/>
      </w:pPr>
      <w:r>
        <w:rPr>
          <w:rFonts w:hint="eastAsia"/>
        </w:rPr>
        <w:t>（</w:t>
      </w:r>
      <w:r>
        <w:t>5</w:t>
      </w:r>
      <w:r>
        <w:rPr>
          <w:rFonts w:hint="eastAsia"/>
        </w:rPr>
        <w:t>）“线宽小于</w:t>
      </w:r>
      <w:r>
        <w:t>65</w:t>
      </w:r>
      <w:r>
        <w:rPr>
          <w:rFonts w:hint="eastAsia"/>
        </w:rPr>
        <w:t>纳米或投资额超过</w:t>
      </w:r>
      <w:r>
        <w:t>150</w:t>
      </w:r>
      <w:r>
        <w:rPr>
          <w:rFonts w:hint="eastAsia"/>
        </w:rPr>
        <w:t>亿元的企业”是指可以享受第一年至第五年免征企业所得税，第六年至第十年按照</w:t>
      </w:r>
      <w:r>
        <w:t>25%</w:t>
      </w:r>
      <w:r>
        <w:rPr>
          <w:rFonts w:hint="eastAsia"/>
        </w:rPr>
        <w:t>的法定税率减半征收企业所得税优惠政策的集成电路线宽小于</w:t>
      </w:r>
      <w:r>
        <w:t>65</w:t>
      </w:r>
      <w:r>
        <w:rPr>
          <w:rFonts w:hint="eastAsia"/>
        </w:rPr>
        <w:t>纳米或投资额超过</w:t>
      </w:r>
      <w:r>
        <w:t>150</w:t>
      </w:r>
      <w:r>
        <w:rPr>
          <w:rFonts w:hint="eastAsia"/>
        </w:rPr>
        <w:t>亿元的集成电路生产企业。</w:t>
      </w:r>
    </w:p>
    <w:p w14:paraId="1CC7F9BF">
      <w:pPr>
        <w:pStyle w:val="8"/>
      </w:pPr>
      <w:r>
        <w:t xml:space="preserve"> </w:t>
      </w:r>
      <w:r>
        <w:rPr>
          <w:rFonts w:hint="eastAsia"/>
        </w:rPr>
        <w:t>“集成电路设计企业”：符合《财政部</w:t>
      </w:r>
      <w:r>
        <w:t xml:space="preserve"> </w:t>
      </w:r>
      <w:r>
        <w:rPr>
          <w:rFonts w:hint="eastAsia"/>
        </w:rPr>
        <w:t>国家税务总局</w:t>
      </w:r>
      <w:r>
        <w:t xml:space="preserve"> </w:t>
      </w:r>
      <w:r>
        <w:rPr>
          <w:rFonts w:hint="eastAsia"/>
        </w:rPr>
        <w:t>发展改革委</w:t>
      </w:r>
      <w:r>
        <w:t xml:space="preserve"> </w:t>
      </w:r>
      <w:r>
        <w:rPr>
          <w:rFonts w:hint="eastAsia"/>
        </w:rPr>
        <w:t>工业和信息化部关于软件和集成电路产业企业所得税优惠政策有关问题的通知》（财税〔</w:t>
      </w:r>
      <w:r>
        <w:t>2016</w:t>
      </w:r>
      <w:r>
        <w:rPr>
          <w:rFonts w:hint="eastAsia"/>
        </w:rPr>
        <w:t>〕</w:t>
      </w:r>
      <w:r>
        <w:t>49</w:t>
      </w:r>
      <w:r>
        <w:rPr>
          <w:rFonts w:hint="eastAsia"/>
        </w:rPr>
        <w:t>号）、</w:t>
      </w:r>
      <w:r>
        <w:rPr>
          <w:rFonts w:hint="eastAsia" w:cs="宋体"/>
          <w:kern w:val="0"/>
        </w:rPr>
        <w:t>《财政部</w:t>
      </w:r>
      <w:r>
        <w:rPr>
          <w:rFonts w:cs="宋体"/>
          <w:kern w:val="0"/>
        </w:rPr>
        <w:t xml:space="preserve"> </w:t>
      </w:r>
      <w:r>
        <w:rPr>
          <w:rFonts w:hint="eastAsia" w:cs="宋体"/>
          <w:kern w:val="0"/>
        </w:rPr>
        <w:t>税务总局关于集成电路设计和软件产业企业所得税政策的公告》（财政部</w:t>
      </w:r>
      <w:r>
        <w:rPr>
          <w:rFonts w:cs="宋体"/>
          <w:kern w:val="0"/>
        </w:rPr>
        <w:t xml:space="preserve"> </w:t>
      </w:r>
      <w:r>
        <w:rPr>
          <w:rFonts w:hint="eastAsia" w:cs="宋体"/>
          <w:kern w:val="0"/>
        </w:rPr>
        <w:t>税务总局公告</w:t>
      </w:r>
      <w:r>
        <w:rPr>
          <w:rFonts w:cs="宋体"/>
          <w:kern w:val="0"/>
        </w:rPr>
        <w:t>2019</w:t>
      </w:r>
      <w:r>
        <w:rPr>
          <w:rFonts w:hint="eastAsia" w:cs="宋体"/>
          <w:kern w:val="0"/>
        </w:rPr>
        <w:t>年第</w:t>
      </w:r>
      <w:r>
        <w:rPr>
          <w:rFonts w:cs="宋体"/>
          <w:kern w:val="0"/>
        </w:rPr>
        <w:t>68</w:t>
      </w:r>
      <w:r>
        <w:rPr>
          <w:rFonts w:hint="eastAsia" w:cs="宋体"/>
          <w:kern w:val="0"/>
        </w:rPr>
        <w:t>号）</w:t>
      </w:r>
      <w:r>
        <w:rPr>
          <w:rFonts w:hint="eastAsia"/>
        </w:rPr>
        <w:t>等文件规定的集成电路设计企业、国家规划布局内的重点集成电路设计企业。具体说明如下：</w:t>
      </w:r>
    </w:p>
    <w:p w14:paraId="3F136A8F">
      <w:pPr>
        <w:pStyle w:val="8"/>
      </w:pPr>
      <w:r>
        <w:rPr>
          <w:rFonts w:hint="eastAsia"/>
        </w:rPr>
        <w:t>（</w:t>
      </w:r>
      <w:r>
        <w:t>1</w:t>
      </w:r>
      <w:r>
        <w:rPr>
          <w:rFonts w:hint="eastAsia"/>
        </w:rPr>
        <w:t>）“新办符合条件企业”是指可以享受第一年至第二年免征企业所得税，第三年至第五年按照</w:t>
      </w:r>
      <w:r>
        <w:t>25%</w:t>
      </w:r>
      <w:r>
        <w:rPr>
          <w:rFonts w:hint="eastAsia"/>
        </w:rPr>
        <w:t>的法定税率减半征收企业所得税优惠政策的集成电路设计企业。</w:t>
      </w:r>
    </w:p>
    <w:p w14:paraId="64D76A59">
      <w:pPr>
        <w:pStyle w:val="8"/>
      </w:pPr>
      <w:r>
        <w:rPr>
          <w:rFonts w:hint="eastAsia"/>
        </w:rPr>
        <w:t>（</w:t>
      </w:r>
      <w:r>
        <w:t>2</w:t>
      </w:r>
      <w:r>
        <w:rPr>
          <w:rFonts w:hint="eastAsia"/>
        </w:rPr>
        <w:t>）“符合规模条件的重点集成电路设计企业”是指可以享受减按</w:t>
      </w:r>
      <w:r>
        <w:t>10%</w:t>
      </w:r>
      <w:r>
        <w:rPr>
          <w:rFonts w:hint="eastAsia"/>
        </w:rPr>
        <w:t>的税率征收企业所得税优惠政策的国家规划布局内的重点集成电路设计企业，且其符合财税〔</w:t>
      </w:r>
      <w:r>
        <w:t>2016</w:t>
      </w:r>
      <w:r>
        <w:rPr>
          <w:rFonts w:hint="eastAsia"/>
        </w:rPr>
        <w:t>〕</w:t>
      </w:r>
      <w:r>
        <w:t>49</w:t>
      </w:r>
      <w:r>
        <w:rPr>
          <w:rFonts w:hint="eastAsia"/>
        </w:rPr>
        <w:t>号文件第五条第（一）项“汇算清缴年度集成电路设计销售（营业）收入不低于</w:t>
      </w:r>
      <w:r>
        <w:t>2</w:t>
      </w:r>
      <w:r>
        <w:rPr>
          <w:rFonts w:hint="eastAsia"/>
        </w:rPr>
        <w:t>亿元，年应纳税所得额不低于</w:t>
      </w:r>
      <w:r>
        <w:t>1000</w:t>
      </w:r>
      <w:r>
        <w:rPr>
          <w:rFonts w:hint="eastAsia"/>
        </w:rPr>
        <w:t>万元，研究开发人员占月平均职工总数的比例不低于</w:t>
      </w:r>
      <w:r>
        <w:t>25%</w:t>
      </w:r>
      <w:r>
        <w:rPr>
          <w:rFonts w:hint="eastAsia"/>
        </w:rPr>
        <w:t>”的规定。</w:t>
      </w:r>
    </w:p>
    <w:p w14:paraId="0CC0439A">
      <w:pPr>
        <w:pStyle w:val="8"/>
      </w:pPr>
      <w:r>
        <w:rPr>
          <w:rFonts w:hint="eastAsia"/>
        </w:rPr>
        <w:t>（</w:t>
      </w:r>
      <w:r>
        <w:t>3</w:t>
      </w:r>
      <w:r>
        <w:rPr>
          <w:rFonts w:hint="eastAsia"/>
        </w:rPr>
        <w:t>）“符合领域的重点集成电路设计企业”是指可以享受减按</w:t>
      </w:r>
      <w:r>
        <w:t>10%</w:t>
      </w:r>
      <w:r>
        <w:rPr>
          <w:rFonts w:hint="eastAsia"/>
        </w:rPr>
        <w:t>的税率征收企业所得税优惠政策的国家规划布局内的重点集成电路设计企业，且其符合财税〔</w:t>
      </w:r>
      <w:r>
        <w:t>2016</w:t>
      </w:r>
      <w:r>
        <w:rPr>
          <w:rFonts w:hint="eastAsia"/>
        </w:rPr>
        <w:t>〕</w:t>
      </w:r>
      <w:r>
        <w:t>49</w:t>
      </w:r>
      <w:r>
        <w:rPr>
          <w:rFonts w:hint="eastAsia"/>
        </w:rPr>
        <w:t>号文件第五条第（二）项“在国家规定的重点集成电路设计领域内，汇算清缴年度集成电路设计销售（营业）收入不低于</w:t>
      </w:r>
      <w:r>
        <w:t>2000</w:t>
      </w:r>
      <w:r>
        <w:rPr>
          <w:rFonts w:hint="eastAsia"/>
        </w:rPr>
        <w:t>万元，应纳税所得额不低于</w:t>
      </w:r>
      <w:r>
        <w:t>250</w:t>
      </w:r>
      <w:r>
        <w:rPr>
          <w:rFonts w:hint="eastAsia"/>
        </w:rPr>
        <w:t>万元，研究开发人员占月平均职工总数的比例不低于</w:t>
      </w:r>
      <w:r>
        <w:t>35%</w:t>
      </w:r>
      <w:r>
        <w:rPr>
          <w:rFonts w:hint="eastAsia"/>
        </w:rPr>
        <w:t>，企业在中国境内发生的研发开发费用金额占研究开发费用总额的比例不低于</w:t>
      </w:r>
      <w:r>
        <w:t>70%</w:t>
      </w:r>
      <w:r>
        <w:rPr>
          <w:rFonts w:hint="eastAsia"/>
        </w:rPr>
        <w:t>”的规定。</w:t>
      </w:r>
    </w:p>
    <w:p w14:paraId="5A8CE846">
      <w:pPr>
        <w:pStyle w:val="8"/>
      </w:pPr>
      <w:r>
        <w:rPr>
          <w:rFonts w:hint="eastAsia"/>
        </w:rPr>
        <w:t>“软件企业”：符合《财政部</w:t>
      </w:r>
      <w:r>
        <w:t xml:space="preserve"> </w:t>
      </w:r>
      <w:r>
        <w:rPr>
          <w:rFonts w:hint="eastAsia"/>
        </w:rPr>
        <w:t>国家税务总局 发展改革委 工业和信息化部关于软件和集成电路产业企业所得税优惠政策有关问题的通知》（财税〔</w:t>
      </w:r>
      <w:r>
        <w:t>2016</w:t>
      </w:r>
      <w:r>
        <w:rPr>
          <w:rFonts w:hint="eastAsia"/>
        </w:rPr>
        <w:t>〕</w:t>
      </w:r>
      <w:r>
        <w:t>49</w:t>
      </w:r>
      <w:r>
        <w:rPr>
          <w:rFonts w:hint="eastAsia"/>
        </w:rPr>
        <w:t>号）、</w:t>
      </w:r>
      <w:r>
        <w:rPr>
          <w:rFonts w:hint="eastAsia" w:cs="宋体"/>
          <w:kern w:val="0"/>
        </w:rPr>
        <w:t>《财政部</w:t>
      </w:r>
      <w:r>
        <w:rPr>
          <w:rFonts w:cs="宋体"/>
          <w:kern w:val="0"/>
        </w:rPr>
        <w:t xml:space="preserve"> </w:t>
      </w:r>
      <w:r>
        <w:rPr>
          <w:rFonts w:hint="eastAsia" w:cs="宋体"/>
          <w:kern w:val="0"/>
        </w:rPr>
        <w:t>税务总局关于集成电路设计和软件产业企业所得税政策的公告》（财政部</w:t>
      </w:r>
      <w:r>
        <w:rPr>
          <w:rFonts w:cs="宋体"/>
          <w:kern w:val="0"/>
        </w:rPr>
        <w:t xml:space="preserve"> </w:t>
      </w:r>
      <w:r>
        <w:rPr>
          <w:rFonts w:hint="eastAsia" w:cs="宋体"/>
          <w:kern w:val="0"/>
        </w:rPr>
        <w:t>税务总局公告</w:t>
      </w:r>
      <w:r>
        <w:rPr>
          <w:rFonts w:cs="宋体"/>
          <w:kern w:val="0"/>
        </w:rPr>
        <w:t>2019</w:t>
      </w:r>
      <w:r>
        <w:rPr>
          <w:rFonts w:hint="eastAsia" w:cs="宋体"/>
          <w:kern w:val="0"/>
        </w:rPr>
        <w:t>年第</w:t>
      </w:r>
      <w:r>
        <w:rPr>
          <w:rFonts w:cs="宋体"/>
          <w:kern w:val="0"/>
        </w:rPr>
        <w:t>68</w:t>
      </w:r>
      <w:r>
        <w:rPr>
          <w:rFonts w:hint="eastAsia" w:cs="宋体"/>
          <w:kern w:val="0"/>
        </w:rPr>
        <w:t>号）</w:t>
      </w:r>
      <w:r>
        <w:rPr>
          <w:rFonts w:hint="eastAsia"/>
        </w:rPr>
        <w:t>等文件规定的软件企业、国家规划布局内的重点软件企业。具体说明如下：</w:t>
      </w:r>
    </w:p>
    <w:p w14:paraId="4243A9E0">
      <w:pPr>
        <w:pStyle w:val="8"/>
      </w:pPr>
      <w:r>
        <w:rPr>
          <w:rFonts w:hint="eastAsia"/>
        </w:rPr>
        <w:t>（</w:t>
      </w:r>
      <w:r>
        <w:t>1</w:t>
      </w:r>
      <w:r>
        <w:rPr>
          <w:rFonts w:hint="eastAsia"/>
        </w:rPr>
        <w:t>）“一般软件企业</w:t>
      </w:r>
      <w:r>
        <w:t>——</w:t>
      </w:r>
      <w:r>
        <w:rPr>
          <w:rFonts w:hint="eastAsia"/>
        </w:rPr>
        <w:t>新办符合条件企业”是指可以享受第一年至第二年免征企业所得税，第三年至第五年按照</w:t>
      </w:r>
      <w:r>
        <w:t>25%</w:t>
      </w:r>
      <w:r>
        <w:rPr>
          <w:rFonts w:hint="eastAsia"/>
        </w:rPr>
        <w:t>的法定税率减半征收企业所得税优惠政策的符合条件的软件企业，且其符合财税〔</w:t>
      </w:r>
      <w:r>
        <w:t>2016</w:t>
      </w:r>
      <w:r>
        <w:rPr>
          <w:rFonts w:hint="eastAsia"/>
        </w:rPr>
        <w:t>〕</w:t>
      </w:r>
      <w:r>
        <w:t>49</w:t>
      </w:r>
      <w:r>
        <w:rPr>
          <w:rFonts w:hint="eastAsia"/>
        </w:rPr>
        <w:t>号文件第四条第（四）项“汇算清缴年度软件产品开发销售（营业）收入占企业收入总额的比例不低于</w:t>
      </w:r>
      <w:r>
        <w:t>50%</w:t>
      </w:r>
      <w:r>
        <w:rPr>
          <w:rFonts w:hint="eastAsia"/>
        </w:rPr>
        <w:t>，其中：软件产品自主开发销售（营业）收入占企业收入总额的比例不低于</w:t>
      </w:r>
      <w:r>
        <w:t>40%</w:t>
      </w:r>
      <w:r>
        <w:rPr>
          <w:rFonts w:hint="eastAsia"/>
        </w:rPr>
        <w:t>”的规定。</w:t>
      </w:r>
    </w:p>
    <w:p w14:paraId="08C00323">
      <w:pPr>
        <w:pStyle w:val="8"/>
      </w:pPr>
      <w:r>
        <w:rPr>
          <w:rFonts w:hint="eastAsia"/>
        </w:rPr>
        <w:t>（</w:t>
      </w:r>
      <w:r>
        <w:t>2</w:t>
      </w:r>
      <w:r>
        <w:rPr>
          <w:rFonts w:hint="eastAsia"/>
        </w:rPr>
        <w:t>）“一般软件企业</w:t>
      </w:r>
      <w:r>
        <w:t>——</w:t>
      </w:r>
      <w:r>
        <w:rPr>
          <w:rFonts w:hint="eastAsia"/>
        </w:rPr>
        <w:t>符合规模条件的重点软件企业”是指可以享受减按</w:t>
      </w:r>
      <w:r>
        <w:t>10%</w:t>
      </w:r>
      <w:r>
        <w:rPr>
          <w:rFonts w:hint="eastAsia"/>
        </w:rPr>
        <w:t>的税率征收企业所得税优惠政策的国家规划布局内的重点软件企业，且其符合财税〔</w:t>
      </w:r>
      <w:r>
        <w:t>2016</w:t>
      </w:r>
      <w:r>
        <w:rPr>
          <w:rFonts w:hint="eastAsia"/>
        </w:rPr>
        <w:t>〕</w:t>
      </w:r>
      <w:r>
        <w:t>49</w:t>
      </w:r>
      <w:r>
        <w:rPr>
          <w:rFonts w:hint="eastAsia"/>
        </w:rPr>
        <w:t>号文件第四条第（四）项“汇算清缴年度软件产品开发销售（营业）收入占企业收入总额的比例不低于</w:t>
      </w:r>
      <w:r>
        <w:t>50%</w:t>
      </w:r>
      <w:r>
        <w:rPr>
          <w:rFonts w:hint="eastAsia"/>
        </w:rPr>
        <w:t>，其中：软件产品自主开发销售（营业）收入占企业收入总额的比例不低于</w:t>
      </w:r>
      <w:r>
        <w:t>40%</w:t>
      </w:r>
      <w:r>
        <w:rPr>
          <w:rFonts w:hint="eastAsia"/>
        </w:rPr>
        <w:t>”和第六条第（一）项“汇算清缴年度软件产品开发销售（营业）收入不低于</w:t>
      </w:r>
      <w:r>
        <w:t>2</w:t>
      </w:r>
      <w:r>
        <w:rPr>
          <w:rFonts w:hint="eastAsia"/>
        </w:rPr>
        <w:t>亿元，应纳税所得额不低于</w:t>
      </w:r>
      <w:r>
        <w:t>1000</w:t>
      </w:r>
      <w:r>
        <w:rPr>
          <w:rFonts w:hint="eastAsia"/>
        </w:rPr>
        <w:t>万元，研究开发人员占企业月平均职工总数的比例不低于</w:t>
      </w:r>
      <w:r>
        <w:t>25%</w:t>
      </w:r>
      <w:r>
        <w:rPr>
          <w:rFonts w:hint="eastAsia"/>
        </w:rPr>
        <w:t>”的规定。</w:t>
      </w:r>
    </w:p>
    <w:p w14:paraId="682E81FF">
      <w:pPr>
        <w:pStyle w:val="8"/>
      </w:pPr>
      <w:r>
        <w:rPr>
          <w:rFonts w:hint="eastAsia"/>
        </w:rPr>
        <w:t>（</w:t>
      </w:r>
      <w:r>
        <w:t>3</w:t>
      </w:r>
      <w:r>
        <w:rPr>
          <w:rFonts w:hint="eastAsia"/>
        </w:rPr>
        <w:t>）“一般软件企业</w:t>
      </w:r>
      <w:r>
        <w:t>——</w:t>
      </w:r>
      <w:r>
        <w:rPr>
          <w:rFonts w:hint="eastAsia"/>
        </w:rPr>
        <w:t>符合领域条件的重点软件企业”是指可以享受减按</w:t>
      </w:r>
      <w:r>
        <w:t>10%</w:t>
      </w:r>
      <w:r>
        <w:rPr>
          <w:rFonts w:hint="eastAsia"/>
        </w:rPr>
        <w:t>的税率征收企业所得税优惠政策的国家规划布局内的重点软件企业，且其符合财税〔</w:t>
      </w:r>
      <w:r>
        <w:t>2016</w:t>
      </w:r>
      <w:r>
        <w:rPr>
          <w:rFonts w:hint="eastAsia"/>
        </w:rPr>
        <w:t>〕</w:t>
      </w:r>
      <w:r>
        <w:t>49</w:t>
      </w:r>
      <w:r>
        <w:rPr>
          <w:rFonts w:hint="eastAsia"/>
        </w:rPr>
        <w:t>号文件第四条第（四）项“汇算清缴年度软件产品开发销售（营业）收入占企业收入总额的比例不低于</w:t>
      </w:r>
      <w:r>
        <w:t>50%</w:t>
      </w:r>
      <w:r>
        <w:rPr>
          <w:rFonts w:hint="eastAsia"/>
        </w:rPr>
        <w:t>，其中：软件产品自主开发销售（营业）收入占企业收入总额的比例不低于</w:t>
      </w:r>
      <w:r>
        <w:t>40%</w:t>
      </w:r>
      <w:r>
        <w:rPr>
          <w:rFonts w:hint="eastAsia"/>
        </w:rPr>
        <w:t>”和第六条第（二）项“在国家规定的重点软件领域内，汇算清缴年度软件产品开发销售（营业）收入不低于</w:t>
      </w:r>
      <w:r>
        <w:t>5000</w:t>
      </w:r>
      <w:r>
        <w:rPr>
          <w:rFonts w:hint="eastAsia"/>
        </w:rPr>
        <w:t>万元，应纳税所得额不低于</w:t>
      </w:r>
      <w:r>
        <w:t>250</w:t>
      </w:r>
      <w:r>
        <w:rPr>
          <w:rFonts w:hint="eastAsia"/>
        </w:rPr>
        <w:t>万元，研究开发人员占企业月平均职工总数的比例不低于</w:t>
      </w:r>
      <w:r>
        <w:t>25%</w:t>
      </w:r>
      <w:r>
        <w:rPr>
          <w:rFonts w:hint="eastAsia"/>
        </w:rPr>
        <w:t>，企业在中国境内发生的研究开发费用金额占研究开发费用总额的比例不低于</w:t>
      </w:r>
      <w:r>
        <w:t>70%</w:t>
      </w:r>
      <w:r>
        <w:rPr>
          <w:rFonts w:hint="eastAsia"/>
        </w:rPr>
        <w:t>”的规定。</w:t>
      </w:r>
    </w:p>
    <w:p w14:paraId="67F1B535">
      <w:pPr>
        <w:pStyle w:val="8"/>
      </w:pPr>
      <w:r>
        <w:rPr>
          <w:rFonts w:hint="eastAsia"/>
        </w:rPr>
        <w:t>（</w:t>
      </w:r>
      <w:r>
        <w:t>4</w:t>
      </w:r>
      <w:r>
        <w:rPr>
          <w:rFonts w:hint="eastAsia"/>
        </w:rPr>
        <w:t>）“一般软件企业</w:t>
      </w:r>
      <w:r>
        <w:t>——</w:t>
      </w:r>
      <w:r>
        <w:rPr>
          <w:rFonts w:hint="eastAsia"/>
        </w:rPr>
        <w:t>符合出口条件的重点软件企业”是指可以享受减按</w:t>
      </w:r>
      <w:r>
        <w:t>10%</w:t>
      </w:r>
      <w:r>
        <w:rPr>
          <w:rFonts w:hint="eastAsia"/>
        </w:rPr>
        <w:t>的税率征收企业所得税优惠政策的国家规划布局内的重点软件企业，且其符合财税〔</w:t>
      </w:r>
      <w:r>
        <w:t>2016</w:t>
      </w:r>
      <w:r>
        <w:rPr>
          <w:rFonts w:hint="eastAsia"/>
        </w:rPr>
        <w:t>〕</w:t>
      </w:r>
      <w:r>
        <w:t>49</w:t>
      </w:r>
      <w:r>
        <w:rPr>
          <w:rFonts w:hint="eastAsia"/>
        </w:rPr>
        <w:t>号文件第四条第（四）项“汇算清缴年度软件产品开发销售（营业）收入占企业收入总额的比例不低于</w:t>
      </w:r>
      <w:r>
        <w:t>50%</w:t>
      </w:r>
      <w:r>
        <w:rPr>
          <w:rFonts w:hint="eastAsia"/>
        </w:rPr>
        <w:t>，其中：软件产品自主开发销售（营业）收入占企业收入总额的比例不低于</w:t>
      </w:r>
      <w:r>
        <w:t>40%</w:t>
      </w:r>
      <w:r>
        <w:rPr>
          <w:rFonts w:hint="eastAsia"/>
        </w:rPr>
        <w:t>”和第六条第（三）项“汇算清缴年度软件出口收入总额不低于</w:t>
      </w:r>
      <w:r>
        <w:t>800</w:t>
      </w:r>
      <w:r>
        <w:rPr>
          <w:rFonts w:hint="eastAsia"/>
        </w:rPr>
        <w:t>万美元，软件出口收入总额占本企业年度收入总额比例不低于</w:t>
      </w:r>
      <w:r>
        <w:t>50</w:t>
      </w:r>
      <w:r>
        <w:rPr>
          <w:rFonts w:hint="eastAsia"/>
        </w:rPr>
        <w:t>％，研究开发人员占企业月平均职工总数的比例不低于</w:t>
      </w:r>
      <w:r>
        <w:t>25%</w:t>
      </w:r>
      <w:r>
        <w:rPr>
          <w:rFonts w:hint="eastAsia"/>
        </w:rPr>
        <w:t>”的规定。</w:t>
      </w:r>
    </w:p>
    <w:p w14:paraId="4861CB3F">
      <w:pPr>
        <w:pStyle w:val="8"/>
      </w:pPr>
      <w:r>
        <w:rPr>
          <w:rFonts w:hint="eastAsia"/>
        </w:rPr>
        <w:t>（</w:t>
      </w:r>
      <w:r>
        <w:t>5</w:t>
      </w:r>
      <w:r>
        <w:rPr>
          <w:rFonts w:hint="eastAsia"/>
        </w:rPr>
        <w:t>）“嵌入式或信息系统集成软件</w:t>
      </w:r>
      <w:r>
        <w:t>——</w:t>
      </w:r>
      <w:r>
        <w:rPr>
          <w:rFonts w:hint="eastAsia"/>
        </w:rPr>
        <w:t>新办符合条件企业”是指可以享受第一年至第二年免征企业所得税，第三年至第五年按照</w:t>
      </w:r>
      <w:r>
        <w:t>25%</w:t>
      </w:r>
      <w:r>
        <w:rPr>
          <w:rFonts w:hint="eastAsia"/>
        </w:rPr>
        <w:t>的法定税率减半征收企业所得税优惠政策的符合条件的软件企业，且其符合财税〔</w:t>
      </w:r>
      <w:r>
        <w:t>2016</w:t>
      </w:r>
      <w:r>
        <w:rPr>
          <w:rFonts w:hint="eastAsia"/>
        </w:rPr>
        <w:t>〕</w:t>
      </w:r>
      <w:r>
        <w:t>49</w:t>
      </w:r>
      <w:r>
        <w:rPr>
          <w:rFonts w:hint="eastAsia"/>
        </w:rPr>
        <w:t>号文件第四条第（四）项“汇算清缴年度嵌入式软件产品和信息系统集成产品开发销售（营业）收入占企业收入总额的比例不低于</w:t>
      </w:r>
      <w:r>
        <w:t>40%</w:t>
      </w:r>
      <w:r>
        <w:rPr>
          <w:rFonts w:hint="eastAsia"/>
        </w:rPr>
        <w:t>，其中：嵌入式软件产品和信息系统集成产品自主开发销售（营业）收入占企业收入总额的比例不低于</w:t>
      </w:r>
      <w:r>
        <w:t>30%</w:t>
      </w:r>
      <w:r>
        <w:rPr>
          <w:rFonts w:hint="eastAsia"/>
        </w:rPr>
        <w:t>”的规定。</w:t>
      </w:r>
    </w:p>
    <w:p w14:paraId="7D9962CE">
      <w:pPr>
        <w:pStyle w:val="8"/>
      </w:pPr>
      <w:r>
        <w:rPr>
          <w:rFonts w:hint="eastAsia"/>
        </w:rPr>
        <w:t>（</w:t>
      </w:r>
      <w:r>
        <w:t>6</w:t>
      </w:r>
      <w:r>
        <w:rPr>
          <w:rFonts w:hint="eastAsia"/>
        </w:rPr>
        <w:t>）“嵌入式或信息系统集成软件</w:t>
      </w:r>
      <w:r>
        <w:t>——</w:t>
      </w:r>
      <w:r>
        <w:rPr>
          <w:rFonts w:hint="eastAsia"/>
        </w:rPr>
        <w:t>符合规模条件的重点软件企业”是指可以享受减按</w:t>
      </w:r>
      <w:r>
        <w:t>10%</w:t>
      </w:r>
      <w:r>
        <w:rPr>
          <w:rFonts w:hint="eastAsia"/>
        </w:rPr>
        <w:t>的税率征收企业所得税优惠政策的国家规划布局内的重点软件企业，且其符合财税〔</w:t>
      </w:r>
      <w:r>
        <w:t>2016</w:t>
      </w:r>
      <w:r>
        <w:rPr>
          <w:rFonts w:hint="eastAsia"/>
        </w:rPr>
        <w:t>〕</w:t>
      </w:r>
      <w:r>
        <w:t>49</w:t>
      </w:r>
      <w:r>
        <w:rPr>
          <w:rFonts w:hint="eastAsia"/>
        </w:rPr>
        <w:t>号文件第四条第（四）项“汇算清缴年度嵌入式软件产品和信息系统集成产品开发销售（营业）收入占企业收入总额的比例不低于</w:t>
      </w:r>
      <w:r>
        <w:t>40%</w:t>
      </w:r>
      <w:r>
        <w:rPr>
          <w:rFonts w:hint="eastAsia"/>
        </w:rPr>
        <w:t>，其中：嵌入式软件产品和信息系统集成产品自主开发销售（营业）收入占企业收入总额的比例不低于</w:t>
      </w:r>
      <w:r>
        <w:t>30%</w:t>
      </w:r>
      <w:r>
        <w:rPr>
          <w:rFonts w:hint="eastAsia"/>
        </w:rPr>
        <w:t>”和第六条第（一）项“汇算清缴年度软件产品开发销售（营业）收入不低于</w:t>
      </w:r>
      <w:r>
        <w:t>2</w:t>
      </w:r>
      <w:r>
        <w:rPr>
          <w:rFonts w:hint="eastAsia"/>
        </w:rPr>
        <w:t>亿元，应纳税所得额不低于</w:t>
      </w:r>
      <w:r>
        <w:t>1000</w:t>
      </w:r>
      <w:r>
        <w:rPr>
          <w:rFonts w:hint="eastAsia"/>
        </w:rPr>
        <w:t>万元，研究开发人员占企业月平均职工总数的比例不低于</w:t>
      </w:r>
      <w:r>
        <w:t>25%</w:t>
      </w:r>
      <w:r>
        <w:rPr>
          <w:rFonts w:hint="eastAsia"/>
        </w:rPr>
        <w:t>”的规定。</w:t>
      </w:r>
    </w:p>
    <w:p w14:paraId="0F66D2AD">
      <w:pPr>
        <w:pStyle w:val="8"/>
      </w:pPr>
      <w:r>
        <w:rPr>
          <w:rFonts w:hint="eastAsia"/>
        </w:rPr>
        <w:t>（</w:t>
      </w:r>
      <w:r>
        <w:t>7</w:t>
      </w:r>
      <w:r>
        <w:rPr>
          <w:rFonts w:hint="eastAsia"/>
        </w:rPr>
        <w:t>）“嵌入式或信息系统集成软件</w:t>
      </w:r>
      <w:r>
        <w:t>——</w:t>
      </w:r>
      <w:r>
        <w:rPr>
          <w:rFonts w:hint="eastAsia"/>
        </w:rPr>
        <w:t>符合领域条件的重点软件企业”是指可以享受减按</w:t>
      </w:r>
      <w:r>
        <w:t>10%</w:t>
      </w:r>
      <w:r>
        <w:rPr>
          <w:rFonts w:hint="eastAsia"/>
        </w:rPr>
        <w:t>的税率征收企业所得税优惠政策的国家规划布局内的重点软件企业，且其符合财税〔</w:t>
      </w:r>
      <w:r>
        <w:t>2016</w:t>
      </w:r>
      <w:r>
        <w:rPr>
          <w:rFonts w:hint="eastAsia"/>
        </w:rPr>
        <w:t>〕</w:t>
      </w:r>
      <w:r>
        <w:t>49</w:t>
      </w:r>
      <w:r>
        <w:rPr>
          <w:rFonts w:hint="eastAsia"/>
        </w:rPr>
        <w:t>号文件第四条第（四）项“汇算清缴年度嵌入式软件产品和信息系统集成产品开发销售（营业）收入占企业收入总额的比例不低于</w:t>
      </w:r>
      <w:r>
        <w:t>40%</w:t>
      </w:r>
      <w:r>
        <w:rPr>
          <w:rFonts w:hint="eastAsia"/>
        </w:rPr>
        <w:t>，其中：嵌入式软件产品和信息系统集成产品自主开发销售（营业）收入占企业收入总额的比例不低于</w:t>
      </w:r>
      <w:r>
        <w:t>30%</w:t>
      </w:r>
      <w:r>
        <w:rPr>
          <w:rFonts w:hint="eastAsia"/>
        </w:rPr>
        <w:t>”和第六条第（二）项“在国家规定的重点软件领域内，汇算清缴年度软件产品开发销售（营业）收入不低于</w:t>
      </w:r>
      <w:r>
        <w:t>5000</w:t>
      </w:r>
      <w:r>
        <w:rPr>
          <w:rFonts w:hint="eastAsia"/>
        </w:rPr>
        <w:t>万元，应纳税所得额不低于</w:t>
      </w:r>
      <w:r>
        <w:t>250</w:t>
      </w:r>
      <w:r>
        <w:rPr>
          <w:rFonts w:hint="eastAsia"/>
        </w:rPr>
        <w:t>万元，研究开发人员占企业月平均职工总数的比例不低于</w:t>
      </w:r>
      <w:r>
        <w:t>25%</w:t>
      </w:r>
      <w:r>
        <w:rPr>
          <w:rFonts w:hint="eastAsia"/>
        </w:rPr>
        <w:t>，企业在中国境内发生的研究开发费用金额占研究开发费用总额的比例不低于</w:t>
      </w:r>
      <w:r>
        <w:t>70%</w:t>
      </w:r>
      <w:r>
        <w:rPr>
          <w:rFonts w:hint="eastAsia"/>
        </w:rPr>
        <w:t>”的规定。</w:t>
      </w:r>
    </w:p>
    <w:p w14:paraId="148BE8D4">
      <w:pPr>
        <w:pStyle w:val="8"/>
      </w:pPr>
      <w:r>
        <w:rPr>
          <w:rFonts w:hint="eastAsia"/>
        </w:rPr>
        <w:t>（</w:t>
      </w:r>
      <w:r>
        <w:t>8</w:t>
      </w:r>
      <w:r>
        <w:rPr>
          <w:rFonts w:hint="eastAsia"/>
        </w:rPr>
        <w:t>）“嵌入式或信息系统集成软件</w:t>
      </w:r>
      <w:r>
        <w:t>——</w:t>
      </w:r>
      <w:r>
        <w:rPr>
          <w:rFonts w:hint="eastAsia"/>
        </w:rPr>
        <w:t>符合出口条件的重点软件企业”是指可以享受减按</w:t>
      </w:r>
      <w:r>
        <w:t>10%</w:t>
      </w:r>
      <w:r>
        <w:rPr>
          <w:rFonts w:hint="eastAsia"/>
        </w:rPr>
        <w:t>的税率征收企业所得税优惠政策的国家规划布局内的重点软件企业，且其符合财税〔</w:t>
      </w:r>
      <w:r>
        <w:t>2016</w:t>
      </w:r>
      <w:r>
        <w:rPr>
          <w:rFonts w:hint="eastAsia"/>
        </w:rPr>
        <w:t>〕</w:t>
      </w:r>
      <w:r>
        <w:t>49</w:t>
      </w:r>
      <w:r>
        <w:rPr>
          <w:rFonts w:hint="eastAsia"/>
        </w:rPr>
        <w:t>号文件第四条第（四）项“汇算清缴年度嵌入式软件产品和信息系统集成产品开发销售（营业）收入占企业收入总额的比例不低于</w:t>
      </w:r>
      <w:r>
        <w:t>40%</w:t>
      </w:r>
      <w:r>
        <w:rPr>
          <w:rFonts w:hint="eastAsia"/>
        </w:rPr>
        <w:t>，其中：嵌入式软件产品和信息系统集成产品自主开发销售（营业）收入占企业收入总额的比例不低于</w:t>
      </w:r>
      <w:r>
        <w:t>30%</w:t>
      </w:r>
      <w:r>
        <w:rPr>
          <w:rFonts w:hint="eastAsia"/>
        </w:rPr>
        <w:t>”和第六条第（三）项“汇算清缴年度软件出口收入总额不低于</w:t>
      </w:r>
      <w:r>
        <w:t>800</w:t>
      </w:r>
      <w:r>
        <w:rPr>
          <w:rFonts w:hint="eastAsia"/>
        </w:rPr>
        <w:t>万美元，软件出口收入总额占本企业年度收入总额比例不低于</w:t>
      </w:r>
      <w:r>
        <w:t>50</w:t>
      </w:r>
      <w:r>
        <w:rPr>
          <w:rFonts w:hint="eastAsia"/>
        </w:rPr>
        <w:t>％，研究开发人员占企业月平均职工总数的比例不低于</w:t>
      </w:r>
      <w:r>
        <w:t>25%</w:t>
      </w:r>
      <w:r>
        <w:rPr>
          <w:rFonts w:hint="eastAsia"/>
        </w:rPr>
        <w:t>”的规定。</w:t>
      </w:r>
    </w:p>
    <w:p w14:paraId="56CAEB94">
      <w:pPr>
        <w:pStyle w:val="8"/>
      </w:pPr>
      <w:r>
        <w:rPr>
          <w:rFonts w:hint="eastAsia"/>
        </w:rPr>
        <w:t>“集成电路封装测试企业”：符合《财政部</w:t>
      </w:r>
      <w:r>
        <w:t xml:space="preserve"> </w:t>
      </w:r>
      <w:r>
        <w:rPr>
          <w:rFonts w:hint="eastAsia"/>
        </w:rPr>
        <w:t>国家税务总局 发展改革委 工业和信息化部关于进一步鼓励集成电路产业发展企业所得税政策的通知》（财税〔</w:t>
      </w:r>
      <w:r>
        <w:t>2015</w:t>
      </w:r>
      <w:r>
        <w:rPr>
          <w:rFonts w:hint="eastAsia"/>
        </w:rPr>
        <w:t>〕</w:t>
      </w:r>
      <w:r>
        <w:t>6</w:t>
      </w:r>
      <w:r>
        <w:rPr>
          <w:rFonts w:hint="eastAsia"/>
        </w:rPr>
        <w:t>号）文件规定可以享受企业所得税优惠政策的集成电路封装、测试企业。</w:t>
      </w:r>
    </w:p>
    <w:p w14:paraId="7BD195CA">
      <w:pPr>
        <w:pStyle w:val="8"/>
      </w:pPr>
      <w:r>
        <w:rPr>
          <w:rFonts w:hint="eastAsia"/>
        </w:rPr>
        <w:t>“集成电路关键专用材料生产企业”：符合《财政部</w:t>
      </w:r>
      <w:r>
        <w:t xml:space="preserve"> </w:t>
      </w:r>
      <w:r>
        <w:rPr>
          <w:rFonts w:hint="eastAsia"/>
        </w:rPr>
        <w:t>国家税务总局</w:t>
      </w:r>
      <w:r>
        <w:t xml:space="preserve"> </w:t>
      </w:r>
      <w:r>
        <w:rPr>
          <w:rFonts w:hint="eastAsia"/>
        </w:rPr>
        <w:t>发展改革委</w:t>
      </w:r>
      <w:r>
        <w:t xml:space="preserve"> </w:t>
      </w:r>
      <w:r>
        <w:rPr>
          <w:rFonts w:hint="eastAsia"/>
        </w:rPr>
        <w:t>工业和信息化部关于进一步鼓励集成电路产业发展企业所得税政策的通知》（财税〔</w:t>
      </w:r>
      <w:r>
        <w:t>2015</w:t>
      </w:r>
      <w:r>
        <w:rPr>
          <w:rFonts w:hint="eastAsia"/>
        </w:rPr>
        <w:t>〕</w:t>
      </w:r>
      <w:r>
        <w:t>6</w:t>
      </w:r>
      <w:r>
        <w:rPr>
          <w:rFonts w:hint="eastAsia"/>
        </w:rPr>
        <w:t>号）文件规定可以享受企业所得税优惠政策的集成电路关键专用材料生产企业。</w:t>
      </w:r>
    </w:p>
    <w:p w14:paraId="1DABD814">
      <w:pPr>
        <w:pStyle w:val="8"/>
        <w:jc w:val="left"/>
      </w:pPr>
      <w:r>
        <w:rPr>
          <w:rFonts w:hint="eastAsia"/>
        </w:rPr>
        <w:t>“集成电路专用设备生产企业”：符合《财政部</w:t>
      </w:r>
      <w:r>
        <w:t xml:space="preserve"> </w:t>
      </w:r>
      <w:r>
        <w:rPr>
          <w:rFonts w:hint="eastAsia"/>
        </w:rPr>
        <w:t>国家税务总局</w:t>
      </w:r>
      <w:r>
        <w:t xml:space="preserve"> </w:t>
      </w:r>
      <w:r>
        <w:rPr>
          <w:rFonts w:hint="eastAsia"/>
        </w:rPr>
        <w:t>发展改革委</w:t>
      </w:r>
      <w:r>
        <w:t xml:space="preserve"> </w:t>
      </w:r>
      <w:r>
        <w:rPr>
          <w:rFonts w:hint="eastAsia"/>
        </w:rPr>
        <w:t>工业和信息化部关于进一步鼓励集成电路产业发展企业所得税政策的通知》（财税〔</w:t>
      </w:r>
      <w:r>
        <w:t>2015</w:t>
      </w:r>
      <w:r>
        <w:rPr>
          <w:rFonts w:hint="eastAsia"/>
        </w:rPr>
        <w:t>〕</w:t>
      </w:r>
      <w:r>
        <w:t>6</w:t>
      </w:r>
      <w:r>
        <w:rPr>
          <w:rFonts w:hint="eastAsia"/>
        </w:rPr>
        <w:t>号）文件规定可以享受企业所得税优惠政策的集成电路专用设备生产企业。</w:t>
      </w:r>
    </w:p>
    <w:p w14:paraId="6D2414B5">
      <w:pPr>
        <w:pStyle w:val="8"/>
      </w:pPr>
      <w:r>
        <w:t>9.</w:t>
      </w:r>
      <w:r>
        <w:rPr>
          <w:rFonts w:hint="eastAsia"/>
        </w:rPr>
        <w:t>“</w:t>
      </w:r>
      <w:r>
        <w:t>209</w:t>
      </w:r>
      <w:r>
        <w:rPr>
          <w:rFonts w:hint="eastAsia"/>
        </w:rPr>
        <w:t>集成电路生产项目类型”：纳税人投资集成电路线宽小于</w:t>
      </w:r>
      <w:r>
        <w:t>130</w:t>
      </w:r>
      <w:r>
        <w:rPr>
          <w:rFonts w:hint="eastAsia"/>
        </w:rPr>
        <w:t>纳米或集成电路线宽小于</w:t>
      </w:r>
      <w:r>
        <w:t>65</w:t>
      </w:r>
      <w:r>
        <w:rPr>
          <w:rFonts w:hint="eastAsia"/>
        </w:rPr>
        <w:t>纳米或投资额超过</w:t>
      </w:r>
      <w:r>
        <w:t>150</w:t>
      </w:r>
      <w:r>
        <w:rPr>
          <w:rFonts w:hint="eastAsia"/>
        </w:rPr>
        <w:t>亿元的集成电路生产项目，项目符合《财政部</w:t>
      </w:r>
      <w:r>
        <w:t xml:space="preserve"> </w:t>
      </w:r>
      <w:r>
        <w:rPr>
          <w:rFonts w:hint="eastAsia"/>
        </w:rPr>
        <w:t>税务总局</w:t>
      </w:r>
      <w:r>
        <w:t xml:space="preserve"> </w:t>
      </w:r>
      <w:r>
        <w:rPr>
          <w:rFonts w:hint="eastAsia"/>
        </w:rPr>
        <w:t>国家发展改革委</w:t>
      </w:r>
      <w:r>
        <w:t xml:space="preserve"> </w:t>
      </w:r>
      <w:r>
        <w:rPr>
          <w:rFonts w:hint="eastAsia"/>
        </w:rPr>
        <w:t>工业和信息化部关于集成电路生产企业有关企业所得税政策问题的通知》（财税〔</w:t>
      </w:r>
      <w:r>
        <w:t>2018</w:t>
      </w:r>
      <w:r>
        <w:rPr>
          <w:rFonts w:hint="eastAsia"/>
        </w:rPr>
        <w:t>〕</w:t>
      </w:r>
      <w:r>
        <w:t>27</w:t>
      </w:r>
      <w:r>
        <w:rPr>
          <w:rFonts w:hint="eastAsia"/>
        </w:rPr>
        <w:t>号）等文件规定的税收优惠政策条件，且按照项目享受企业所得税优惠政策的，应填报本项。纳税人投资线宽小于</w:t>
      </w:r>
      <w:r>
        <w:t>130</w:t>
      </w:r>
      <w:r>
        <w:rPr>
          <w:rFonts w:hint="eastAsia"/>
        </w:rPr>
        <w:t>纳米的集成电路生产项目的，选择“</w:t>
      </w:r>
      <w:r>
        <w:t>130</w:t>
      </w:r>
      <w:r>
        <w:rPr>
          <w:rFonts w:hint="eastAsia"/>
        </w:rPr>
        <w:t>纳米”，投资线宽小于</w:t>
      </w:r>
      <w:r>
        <w:t>65</w:t>
      </w:r>
      <w:r>
        <w:rPr>
          <w:rFonts w:hint="eastAsia"/>
        </w:rPr>
        <w:t>纳米或投资额超过</w:t>
      </w:r>
      <w:r>
        <w:t>150</w:t>
      </w:r>
      <w:r>
        <w:rPr>
          <w:rFonts w:hint="eastAsia"/>
        </w:rPr>
        <w:t>亿元的集成电路生产项目的，选择“</w:t>
      </w:r>
      <w:r>
        <w:t>65</w:t>
      </w:r>
      <w:r>
        <w:rPr>
          <w:rFonts w:hint="eastAsia"/>
        </w:rPr>
        <w:t>纳米”；同时投资上述两类项目的，可同时选择“</w:t>
      </w:r>
      <w:r>
        <w:t>130</w:t>
      </w:r>
      <w:r>
        <w:rPr>
          <w:rFonts w:hint="eastAsia"/>
        </w:rPr>
        <w:t>纳米”和“</w:t>
      </w:r>
      <w:r>
        <w:t>65</w:t>
      </w:r>
      <w:r>
        <w:rPr>
          <w:rFonts w:hint="eastAsia"/>
        </w:rPr>
        <w:t>纳米”。</w:t>
      </w:r>
    </w:p>
    <w:p w14:paraId="1E4E5BC2">
      <w:pPr>
        <w:pStyle w:val="8"/>
        <w:jc w:val="left"/>
      </w:pPr>
      <w:r>
        <w:rPr>
          <w:rFonts w:hint="eastAsia"/>
        </w:rPr>
        <w:t>纳税人既符合“</w:t>
      </w:r>
      <w:r>
        <w:t>208</w:t>
      </w:r>
      <w:r>
        <w:rPr>
          <w:rFonts w:hint="eastAsia"/>
        </w:rPr>
        <w:t>软件、集成电路企业类型”项目又符合“</w:t>
      </w:r>
      <w:r>
        <w:t>209</w:t>
      </w:r>
      <w:r>
        <w:rPr>
          <w:rFonts w:hint="eastAsia"/>
        </w:rPr>
        <w:t>集成电路生产项目类型”项目填报条件的，应当同时填报。</w:t>
      </w:r>
    </w:p>
    <w:p w14:paraId="59D0DE62">
      <w:pPr>
        <w:pStyle w:val="8"/>
        <w:jc w:val="left"/>
        <w:rPr>
          <w:rFonts w:hint="eastAsia"/>
        </w:rPr>
      </w:pPr>
      <w:r>
        <w:t>10.</w:t>
      </w:r>
      <w:r>
        <w:rPr>
          <w:rFonts w:hint="eastAsia"/>
        </w:rPr>
        <w:t>“</w:t>
      </w:r>
      <w:r>
        <w:t>210</w:t>
      </w:r>
      <w:r>
        <w:rPr>
          <w:rFonts w:hint="eastAsia"/>
        </w:rPr>
        <w:t>科技型中小企业”：纳税人根据申报所属期年度和申报所属期下一年度取得的科技型中小企业入库登记编号情况，填报本项目下的“</w:t>
      </w:r>
      <w:r>
        <w:t>210-1</w:t>
      </w:r>
      <w:r>
        <w:rPr>
          <w:rFonts w:hint="eastAsia"/>
        </w:rPr>
        <w:t>”“</w:t>
      </w:r>
      <w:r>
        <w:t>210-2</w:t>
      </w:r>
      <w:r>
        <w:rPr>
          <w:rFonts w:hint="eastAsia"/>
        </w:rPr>
        <w:t>”“</w:t>
      </w:r>
      <w:r>
        <w:t>210-3</w:t>
      </w:r>
      <w:r>
        <w:rPr>
          <w:rFonts w:hint="eastAsia"/>
        </w:rPr>
        <w:t>”“</w:t>
      </w:r>
      <w:r>
        <w:t>210-4</w:t>
      </w:r>
      <w:r>
        <w:rPr>
          <w:rFonts w:hint="eastAsia"/>
        </w:rPr>
        <w:t>”。如，纳税人在进行</w:t>
      </w:r>
      <w:r>
        <w:t>2018</w:t>
      </w:r>
      <w:r>
        <w:rPr>
          <w:rFonts w:hint="eastAsia"/>
        </w:rPr>
        <w:t>年度企业所得税汇算清缴纳税申报时，“</w:t>
      </w:r>
      <w:r>
        <w:t>210-1</w:t>
      </w:r>
      <w:r>
        <w:rPr>
          <w:rFonts w:hint="eastAsia"/>
          <w:u w:val="single"/>
        </w:rPr>
        <w:t xml:space="preserve">    </w:t>
      </w:r>
      <w:r>
        <w:rPr>
          <w:rFonts w:hint="eastAsia"/>
        </w:rPr>
        <w:t>（申报所属期年度）入库编号”首先应当填列“</w:t>
      </w:r>
      <w:r>
        <w:rPr>
          <w:u w:val="single"/>
        </w:rPr>
        <w:t>2018</w:t>
      </w:r>
      <w:r>
        <w:rPr>
          <w:rFonts w:hint="eastAsia"/>
        </w:rPr>
        <w:t>（申报所属期年度）入库编号”，“</w:t>
      </w:r>
      <w:r>
        <w:t>210-</w:t>
      </w:r>
      <w:r>
        <w:rPr>
          <w:rFonts w:hint="eastAsia"/>
        </w:rPr>
        <w:t>3</w:t>
      </w:r>
    </w:p>
    <w:p w14:paraId="53EDB09F">
      <w:pPr>
        <w:pStyle w:val="8"/>
        <w:ind w:firstLine="0" w:firstLineChars="0"/>
        <w:jc w:val="left"/>
      </w:pPr>
      <w:r>
        <w:rPr>
          <w:rFonts w:hint="eastAsia"/>
          <w:u w:val="single"/>
        </w:rPr>
        <w:t xml:space="preserve">    </w:t>
      </w:r>
      <w:r>
        <w:rPr>
          <w:rFonts w:hint="eastAsia"/>
        </w:rPr>
        <w:t>（所属期下一年度）入库编号”首先应当填列“</w:t>
      </w:r>
      <w:r>
        <w:rPr>
          <w:u w:val="single"/>
        </w:rPr>
        <w:t>2019</w:t>
      </w:r>
      <w:r>
        <w:rPr>
          <w:rFonts w:hint="eastAsia"/>
        </w:rPr>
        <w:t>（所属期下一年度）入库编号”。若纳税人在</w:t>
      </w:r>
      <w:r>
        <w:t>2018</w:t>
      </w:r>
      <w:r>
        <w:rPr>
          <w:rFonts w:hint="eastAsia"/>
        </w:rPr>
        <w:t>年</w:t>
      </w:r>
      <w:r>
        <w:t>1</w:t>
      </w:r>
      <w:r>
        <w:rPr>
          <w:rFonts w:hint="eastAsia"/>
        </w:rPr>
        <w:t>月</w:t>
      </w:r>
      <w:r>
        <w:t>1</w:t>
      </w:r>
      <w:r>
        <w:rPr>
          <w:rFonts w:hint="eastAsia"/>
        </w:rPr>
        <w:t>日至</w:t>
      </w:r>
      <w:r>
        <w:t>2018</w:t>
      </w:r>
      <w:r>
        <w:rPr>
          <w:rFonts w:hint="eastAsia"/>
        </w:rPr>
        <w:t>年</w:t>
      </w:r>
      <w:r>
        <w:t>12</w:t>
      </w:r>
      <w:r>
        <w:rPr>
          <w:rFonts w:hint="eastAsia"/>
        </w:rPr>
        <w:t>月</w:t>
      </w:r>
      <w:r>
        <w:t>31</w:t>
      </w:r>
      <w:r>
        <w:rPr>
          <w:rFonts w:hint="eastAsia"/>
        </w:rPr>
        <w:t>日之间取得科技型中小企业入库登记编号的，将相应的“编号”及“入库时间”分别填入“</w:t>
      </w:r>
      <w:r>
        <w:t>210-1</w:t>
      </w:r>
      <w:r>
        <w:rPr>
          <w:rFonts w:hint="eastAsia"/>
        </w:rPr>
        <w:t>”和“</w:t>
      </w:r>
      <w:r>
        <w:t>210-2</w:t>
      </w:r>
      <w:r>
        <w:rPr>
          <w:rFonts w:hint="eastAsia"/>
        </w:rPr>
        <w:t>”项目中；若纳税人在</w:t>
      </w:r>
      <w:r>
        <w:t>2019</w:t>
      </w:r>
      <w:r>
        <w:rPr>
          <w:rFonts w:hint="eastAsia"/>
        </w:rPr>
        <w:t>年</w:t>
      </w:r>
      <w:r>
        <w:t>1</w:t>
      </w:r>
      <w:r>
        <w:rPr>
          <w:rFonts w:hint="eastAsia"/>
        </w:rPr>
        <w:t>月</w:t>
      </w:r>
      <w:r>
        <w:t>1</w:t>
      </w:r>
      <w:r>
        <w:rPr>
          <w:rFonts w:hint="eastAsia"/>
        </w:rPr>
        <w:t>日至</w:t>
      </w:r>
      <w:r>
        <w:t>2018</w:t>
      </w:r>
      <w:r>
        <w:rPr>
          <w:rFonts w:hint="eastAsia"/>
        </w:rPr>
        <w:t>年度汇算清缴纳税申报日之间取得科技型中小企业入库登记编号的，将相应的“编号”及“入库时间”分别填入“</w:t>
      </w:r>
      <w:r>
        <w:t>210-3</w:t>
      </w:r>
      <w:r>
        <w:rPr>
          <w:rFonts w:hint="eastAsia"/>
        </w:rPr>
        <w:t>”和“</w:t>
      </w:r>
      <w:r>
        <w:t>210-4</w:t>
      </w:r>
      <w:r>
        <w:rPr>
          <w:rFonts w:hint="eastAsia"/>
        </w:rPr>
        <w:t>”项目中。纳税人符合上述填报要求的，无论是否享受企业所得税优惠政策，均应填报本项。</w:t>
      </w:r>
    </w:p>
    <w:p w14:paraId="1936ED37">
      <w:pPr>
        <w:pStyle w:val="8"/>
      </w:pPr>
      <w:r>
        <w:t>11.</w:t>
      </w:r>
      <w:r>
        <w:rPr>
          <w:rFonts w:hint="eastAsia"/>
        </w:rPr>
        <w:t>“</w:t>
      </w:r>
      <w:r>
        <w:t>211</w:t>
      </w:r>
      <w:r>
        <w:rPr>
          <w:rFonts w:hint="eastAsia"/>
        </w:rPr>
        <w:t>高新技术企业申报所属期年度有效的高新技术企业证书”：纳税人根据申报所属期年度拥有的有效期内的高新技术企业证书情况，填报本项目下的“</w:t>
      </w:r>
      <w:r>
        <w:t>211-1</w:t>
      </w:r>
      <w:r>
        <w:rPr>
          <w:rFonts w:hint="eastAsia"/>
        </w:rPr>
        <w:t>”“</w:t>
      </w:r>
      <w:r>
        <w:t>211-2</w:t>
      </w:r>
      <w:r>
        <w:rPr>
          <w:rFonts w:hint="eastAsia"/>
        </w:rPr>
        <w:t>”“</w:t>
      </w:r>
      <w:r>
        <w:t>211-3</w:t>
      </w:r>
      <w:r>
        <w:rPr>
          <w:rFonts w:hint="eastAsia"/>
        </w:rPr>
        <w:t>”“</w:t>
      </w:r>
      <w:r>
        <w:t>211-4</w:t>
      </w:r>
      <w:r>
        <w:rPr>
          <w:rFonts w:hint="eastAsia"/>
        </w:rPr>
        <w:t>”。在申报所属期年度，如企业同时拥有两个高新技术企业证书，则两个证书情况均应填报。如：纳税人</w:t>
      </w:r>
      <w:r>
        <w:t>2015</w:t>
      </w:r>
      <w:r>
        <w:rPr>
          <w:rFonts w:hint="eastAsia"/>
        </w:rPr>
        <w:t>年</w:t>
      </w:r>
      <w:r>
        <w:t>10</w:t>
      </w:r>
      <w:r>
        <w:rPr>
          <w:rFonts w:hint="eastAsia"/>
        </w:rPr>
        <w:t>月取得高新技术企业证书，有效期</w:t>
      </w:r>
      <w:r>
        <w:t>3</w:t>
      </w:r>
      <w:r>
        <w:rPr>
          <w:rFonts w:hint="eastAsia"/>
        </w:rPr>
        <w:t>年，</w:t>
      </w:r>
      <w:r>
        <w:t>2018</w:t>
      </w:r>
      <w:r>
        <w:rPr>
          <w:rFonts w:hint="eastAsia"/>
        </w:rPr>
        <w:t>年再次参加认定并于</w:t>
      </w:r>
      <w:r>
        <w:t>2018</w:t>
      </w:r>
      <w:r>
        <w:rPr>
          <w:rFonts w:hint="eastAsia"/>
        </w:rPr>
        <w:t>年</w:t>
      </w:r>
      <w:r>
        <w:t>11</w:t>
      </w:r>
      <w:r>
        <w:rPr>
          <w:rFonts w:hint="eastAsia"/>
        </w:rPr>
        <w:t>月取得新高新技术企业证书，纳税人在进行</w:t>
      </w:r>
      <w:r>
        <w:t>2018</w:t>
      </w:r>
      <w:r>
        <w:rPr>
          <w:rFonts w:hint="eastAsia"/>
        </w:rPr>
        <w:t>年度企业所得税汇算清缴纳税申报时，应将两个证书的“编号”及“发证时间”分别填入“</w:t>
      </w:r>
      <w:r>
        <w:t>211-1</w:t>
      </w:r>
      <w:r>
        <w:rPr>
          <w:rFonts w:hint="eastAsia"/>
        </w:rPr>
        <w:t>”“</w:t>
      </w:r>
      <w:r>
        <w:t>211-2</w:t>
      </w:r>
      <w:r>
        <w:rPr>
          <w:rFonts w:hint="eastAsia"/>
        </w:rPr>
        <w:t>”“</w:t>
      </w:r>
      <w:r>
        <w:t>211-3</w:t>
      </w:r>
      <w:r>
        <w:rPr>
          <w:rFonts w:hint="eastAsia"/>
        </w:rPr>
        <w:t>”“</w:t>
      </w:r>
      <w:r>
        <w:t>211-4</w:t>
      </w:r>
      <w:r>
        <w:rPr>
          <w:rFonts w:hint="eastAsia"/>
        </w:rPr>
        <w:t>”项目中。纳税人符合上述填报要求的，无论是否享受企业所得税优惠政策，均应填报本项。</w:t>
      </w:r>
    </w:p>
    <w:p w14:paraId="5474C5C6">
      <w:pPr>
        <w:pStyle w:val="8"/>
      </w:pPr>
      <w:r>
        <w:t>12.</w:t>
      </w:r>
      <w:r>
        <w:rPr>
          <w:rFonts w:hint="eastAsia"/>
        </w:rPr>
        <w:t>“</w:t>
      </w:r>
      <w:r>
        <w:t>212</w:t>
      </w:r>
      <w:r>
        <w:rPr>
          <w:rFonts w:hint="eastAsia"/>
        </w:rPr>
        <w:t>重组事项税务处理方式”：纳税人在申报所属期年度发生重组事项的，应填报本项。纳税人重组事项按一般性税务处理的，选择“一般性”；重组事项按特殊性税务处理的，选择“特殊性”。</w:t>
      </w:r>
    </w:p>
    <w:p w14:paraId="31F2DD72">
      <w:pPr>
        <w:pStyle w:val="8"/>
      </w:pPr>
      <w:r>
        <w:t>13.</w:t>
      </w:r>
      <w:r>
        <w:rPr>
          <w:rFonts w:hint="eastAsia"/>
        </w:rPr>
        <w:t>“</w:t>
      </w:r>
      <w:r>
        <w:t>213</w:t>
      </w:r>
      <w:r>
        <w:rPr>
          <w:rFonts w:hint="eastAsia"/>
        </w:rPr>
        <w:t>重组交易类型”和“</w:t>
      </w:r>
      <w:r>
        <w:t>214</w:t>
      </w:r>
      <w:r>
        <w:rPr>
          <w:rFonts w:hint="eastAsia"/>
        </w:rPr>
        <w:t>重组当事方类型”：填报“</w:t>
      </w:r>
      <w:r>
        <w:t>212</w:t>
      </w:r>
      <w:r>
        <w:rPr>
          <w:rFonts w:hint="eastAsia"/>
        </w:rPr>
        <w:t>重组事项税务处理方式”的纳税人，应当同时填报“</w:t>
      </w:r>
      <w:r>
        <w:t>213</w:t>
      </w:r>
      <w:r>
        <w:rPr>
          <w:rFonts w:hint="eastAsia"/>
        </w:rPr>
        <w:t>重组交易类型”和“</w:t>
      </w:r>
      <w:r>
        <w:t>214</w:t>
      </w:r>
      <w:r>
        <w:rPr>
          <w:rFonts w:hint="eastAsia"/>
        </w:rPr>
        <w:t>重组当事方类型”。纳税人根据重组情况从《重组交易类型和当事方类型代码表》中选择相应代码分别填入对应项目中。重组交易类型和当事方类型根据《财政部</w:t>
      </w:r>
      <w:r>
        <w:t xml:space="preserve"> </w:t>
      </w:r>
      <w:r>
        <w:rPr>
          <w:rFonts w:hint="eastAsia"/>
        </w:rPr>
        <w:t>国家税务总局关于企业重组业务企业所得税处理若干问题的通知》（财税〔</w:t>
      </w:r>
      <w:r>
        <w:t>2009</w:t>
      </w:r>
      <w:r>
        <w:rPr>
          <w:rFonts w:hint="eastAsia"/>
        </w:rPr>
        <w:t>〕</w:t>
      </w:r>
      <w:r>
        <w:t>59</w:t>
      </w:r>
      <w:r>
        <w:rPr>
          <w:rFonts w:hint="eastAsia"/>
        </w:rPr>
        <w:t>号）、《财政部　国家税务总局关于促进企业重组有关企业所得税处理问题的通知》（财税〔</w:t>
      </w:r>
      <w:r>
        <w:t>20</w:t>
      </w:r>
      <w:r>
        <w:rPr>
          <w:rFonts w:hint="eastAsia"/>
        </w:rPr>
        <w:t>14〕10</w:t>
      </w:r>
      <w:r>
        <w:t>9</w:t>
      </w:r>
      <w:r>
        <w:rPr>
          <w:rFonts w:hint="eastAsia"/>
        </w:rPr>
        <w:t>号）、《国家税务总局关于企业重组业务企业所得税征收管理若干问题的公告》（国家税务总局公告</w:t>
      </w:r>
      <w:r>
        <w:t>2015</w:t>
      </w:r>
      <w:r>
        <w:rPr>
          <w:rFonts w:hint="eastAsia"/>
        </w:rPr>
        <w:t>年第</w:t>
      </w:r>
      <w:r>
        <w:t>48</w:t>
      </w:r>
      <w:r>
        <w:rPr>
          <w:rFonts w:hint="eastAsia"/>
        </w:rPr>
        <w:t>号发布，国家税务总局公告</w:t>
      </w:r>
      <w:r>
        <w:t>2018</w:t>
      </w:r>
      <w:r>
        <w:rPr>
          <w:rFonts w:hint="eastAsia"/>
        </w:rPr>
        <w:t>年第</w:t>
      </w:r>
      <w:r>
        <w:t>31</w:t>
      </w:r>
      <w:r>
        <w:rPr>
          <w:rFonts w:hint="eastAsia"/>
        </w:rPr>
        <w:t>号修改）等文件规定判断。</w:t>
      </w:r>
    </w:p>
    <w:p w14:paraId="0A902BCF">
      <w:pPr>
        <w:pStyle w:val="11"/>
      </w:pPr>
      <w:r>
        <w:rPr>
          <w:rFonts w:hint="eastAsia"/>
        </w:rPr>
        <w:t>重组交易类型和当事方类型代码表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2631"/>
        <w:gridCol w:w="1053"/>
        <w:gridCol w:w="2873"/>
      </w:tblGrid>
      <w:tr w14:paraId="22AFE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576" w:type="dxa"/>
            <w:gridSpan w:val="2"/>
            <w:noWrap w:val="0"/>
            <w:vAlign w:val="center"/>
          </w:tcPr>
          <w:p w14:paraId="5ADF3F49">
            <w:pPr>
              <w:widowControl/>
              <w:jc w:val="center"/>
              <w:rPr>
                <w:rFonts w:ascii="宋体" w:cs="宋体"/>
                <w:b/>
                <w:kern w:val="0"/>
                <w:sz w:val="20"/>
                <w:szCs w:val="20"/>
              </w:rPr>
            </w:pPr>
            <w:r>
              <w:rPr>
                <w:rFonts w:hint="eastAsia" w:ascii="宋体" w:hAnsi="宋体" w:cs="宋体"/>
                <w:b/>
                <w:kern w:val="0"/>
                <w:sz w:val="20"/>
                <w:szCs w:val="20"/>
              </w:rPr>
              <w:t>重组交易</w:t>
            </w:r>
          </w:p>
        </w:tc>
        <w:tc>
          <w:tcPr>
            <w:tcW w:w="3926" w:type="dxa"/>
            <w:gridSpan w:val="2"/>
            <w:noWrap w:val="0"/>
            <w:vAlign w:val="center"/>
          </w:tcPr>
          <w:p w14:paraId="51326D8B">
            <w:pPr>
              <w:widowControl/>
              <w:jc w:val="center"/>
              <w:rPr>
                <w:rFonts w:ascii="宋体" w:cs="宋体"/>
                <w:b/>
                <w:kern w:val="0"/>
                <w:sz w:val="20"/>
                <w:szCs w:val="20"/>
              </w:rPr>
            </w:pPr>
            <w:r>
              <w:rPr>
                <w:rFonts w:hint="eastAsia" w:ascii="宋体" w:hAnsi="宋体" w:cs="宋体"/>
                <w:b/>
                <w:kern w:val="0"/>
                <w:sz w:val="20"/>
                <w:szCs w:val="20"/>
              </w:rPr>
              <w:t>重组当事方</w:t>
            </w:r>
          </w:p>
        </w:tc>
      </w:tr>
      <w:tr w14:paraId="7E34B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945" w:type="dxa"/>
            <w:noWrap w:val="0"/>
            <w:vAlign w:val="top"/>
          </w:tcPr>
          <w:p w14:paraId="5062D25B">
            <w:pPr>
              <w:widowControl/>
              <w:jc w:val="center"/>
              <w:rPr>
                <w:rFonts w:ascii="宋体" w:cs="宋体"/>
                <w:b/>
                <w:kern w:val="0"/>
                <w:sz w:val="20"/>
                <w:szCs w:val="20"/>
              </w:rPr>
            </w:pPr>
            <w:r>
              <w:rPr>
                <w:rFonts w:hint="eastAsia" w:ascii="宋体" w:hAnsi="宋体" w:cs="宋体"/>
                <w:b/>
                <w:kern w:val="0"/>
                <w:sz w:val="20"/>
                <w:szCs w:val="20"/>
              </w:rPr>
              <w:t>代码</w:t>
            </w:r>
          </w:p>
        </w:tc>
        <w:tc>
          <w:tcPr>
            <w:tcW w:w="2631" w:type="dxa"/>
            <w:noWrap w:val="0"/>
            <w:vAlign w:val="top"/>
          </w:tcPr>
          <w:p w14:paraId="082A534A">
            <w:pPr>
              <w:widowControl/>
              <w:jc w:val="center"/>
              <w:rPr>
                <w:rFonts w:ascii="宋体" w:cs="宋体"/>
                <w:b/>
                <w:kern w:val="0"/>
                <w:sz w:val="20"/>
                <w:szCs w:val="20"/>
              </w:rPr>
            </w:pPr>
            <w:r>
              <w:rPr>
                <w:rFonts w:hint="eastAsia" w:ascii="宋体" w:hAnsi="宋体" w:cs="宋体"/>
                <w:b/>
                <w:kern w:val="0"/>
                <w:sz w:val="20"/>
                <w:szCs w:val="20"/>
              </w:rPr>
              <w:t>类型</w:t>
            </w:r>
          </w:p>
        </w:tc>
        <w:tc>
          <w:tcPr>
            <w:tcW w:w="1053" w:type="dxa"/>
            <w:noWrap w:val="0"/>
            <w:vAlign w:val="top"/>
          </w:tcPr>
          <w:p w14:paraId="31C45BF0">
            <w:pPr>
              <w:widowControl/>
              <w:jc w:val="center"/>
              <w:rPr>
                <w:rFonts w:ascii="宋体" w:cs="宋体"/>
                <w:b/>
                <w:kern w:val="0"/>
                <w:sz w:val="20"/>
                <w:szCs w:val="20"/>
              </w:rPr>
            </w:pPr>
            <w:r>
              <w:rPr>
                <w:rFonts w:hint="eastAsia" w:ascii="宋体" w:hAnsi="宋体" w:cs="宋体"/>
                <w:b/>
                <w:kern w:val="0"/>
                <w:sz w:val="20"/>
                <w:szCs w:val="20"/>
              </w:rPr>
              <w:t>代码</w:t>
            </w:r>
          </w:p>
        </w:tc>
        <w:tc>
          <w:tcPr>
            <w:tcW w:w="2873" w:type="dxa"/>
            <w:noWrap w:val="0"/>
            <w:vAlign w:val="top"/>
          </w:tcPr>
          <w:p w14:paraId="7B03B6B7">
            <w:pPr>
              <w:widowControl/>
              <w:jc w:val="center"/>
              <w:rPr>
                <w:rFonts w:ascii="宋体" w:cs="宋体"/>
                <w:b/>
                <w:kern w:val="0"/>
                <w:sz w:val="20"/>
                <w:szCs w:val="20"/>
              </w:rPr>
            </w:pPr>
            <w:r>
              <w:rPr>
                <w:rFonts w:hint="eastAsia" w:ascii="宋体" w:hAnsi="宋体" w:cs="宋体"/>
                <w:b/>
                <w:kern w:val="0"/>
                <w:sz w:val="20"/>
                <w:szCs w:val="20"/>
              </w:rPr>
              <w:t>类型</w:t>
            </w:r>
          </w:p>
        </w:tc>
      </w:tr>
      <w:tr w14:paraId="179BA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945" w:type="dxa"/>
            <w:noWrap w:val="0"/>
            <w:vAlign w:val="center"/>
          </w:tcPr>
          <w:p w14:paraId="55834595">
            <w:pPr>
              <w:widowControl/>
              <w:jc w:val="center"/>
              <w:rPr>
                <w:rFonts w:ascii="宋体" w:cs="宋体"/>
                <w:kern w:val="0"/>
                <w:sz w:val="20"/>
                <w:szCs w:val="20"/>
              </w:rPr>
            </w:pPr>
            <w:r>
              <w:rPr>
                <w:rFonts w:ascii="宋体" w:hAnsi="宋体" w:cs="宋体"/>
                <w:kern w:val="0"/>
                <w:sz w:val="20"/>
                <w:szCs w:val="20"/>
              </w:rPr>
              <w:t>100</w:t>
            </w:r>
          </w:p>
        </w:tc>
        <w:tc>
          <w:tcPr>
            <w:tcW w:w="2631" w:type="dxa"/>
            <w:noWrap w:val="0"/>
            <w:vAlign w:val="center"/>
          </w:tcPr>
          <w:p w14:paraId="32C9860F">
            <w:pPr>
              <w:widowControl/>
              <w:jc w:val="left"/>
              <w:rPr>
                <w:rFonts w:ascii="宋体" w:cs="宋体"/>
                <w:kern w:val="0"/>
                <w:sz w:val="20"/>
                <w:szCs w:val="20"/>
              </w:rPr>
            </w:pPr>
            <w:r>
              <w:rPr>
                <w:rFonts w:hint="eastAsia" w:ascii="宋体" w:hAnsi="宋体" w:cs="宋体"/>
                <w:kern w:val="0"/>
                <w:sz w:val="20"/>
                <w:szCs w:val="20"/>
              </w:rPr>
              <w:t>法律形式改变</w:t>
            </w:r>
          </w:p>
        </w:tc>
        <w:tc>
          <w:tcPr>
            <w:tcW w:w="1053" w:type="dxa"/>
            <w:noWrap w:val="0"/>
            <w:vAlign w:val="center"/>
          </w:tcPr>
          <w:p w14:paraId="176BE1C5">
            <w:pPr>
              <w:widowControl/>
              <w:jc w:val="center"/>
              <w:rPr>
                <w:rFonts w:ascii="宋体" w:cs="宋体"/>
                <w:kern w:val="0"/>
                <w:sz w:val="20"/>
                <w:szCs w:val="20"/>
              </w:rPr>
            </w:pPr>
            <w:r>
              <w:rPr>
                <w:rFonts w:ascii="宋体" w:hAnsi="宋体" w:cs="宋体"/>
                <w:kern w:val="0"/>
                <w:sz w:val="20"/>
                <w:szCs w:val="20"/>
              </w:rPr>
              <w:t>——</w:t>
            </w:r>
          </w:p>
        </w:tc>
        <w:tc>
          <w:tcPr>
            <w:tcW w:w="2873" w:type="dxa"/>
            <w:noWrap w:val="0"/>
            <w:vAlign w:val="center"/>
          </w:tcPr>
          <w:p w14:paraId="7A4D4D4B">
            <w:pPr>
              <w:widowControl/>
              <w:jc w:val="center"/>
              <w:rPr>
                <w:rFonts w:ascii="宋体" w:cs="宋体"/>
                <w:kern w:val="0"/>
                <w:sz w:val="20"/>
                <w:szCs w:val="20"/>
              </w:rPr>
            </w:pPr>
            <w:r>
              <w:rPr>
                <w:rFonts w:ascii="宋体" w:hAnsi="宋体" w:cs="宋体"/>
                <w:kern w:val="0"/>
                <w:sz w:val="20"/>
                <w:szCs w:val="20"/>
              </w:rPr>
              <w:t>——</w:t>
            </w:r>
          </w:p>
        </w:tc>
      </w:tr>
      <w:tr w14:paraId="4F946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 w:hRule="atLeast"/>
          <w:jc w:val="center"/>
        </w:trPr>
        <w:tc>
          <w:tcPr>
            <w:tcW w:w="945" w:type="dxa"/>
            <w:vMerge w:val="restart"/>
            <w:noWrap w:val="0"/>
            <w:vAlign w:val="center"/>
          </w:tcPr>
          <w:p w14:paraId="7703500D">
            <w:pPr>
              <w:widowControl/>
              <w:jc w:val="center"/>
              <w:rPr>
                <w:rFonts w:ascii="宋体" w:cs="宋体"/>
                <w:kern w:val="0"/>
                <w:sz w:val="20"/>
                <w:szCs w:val="20"/>
              </w:rPr>
            </w:pPr>
            <w:r>
              <w:rPr>
                <w:rFonts w:ascii="宋体" w:hAnsi="宋体" w:cs="宋体"/>
                <w:kern w:val="0"/>
                <w:sz w:val="20"/>
                <w:szCs w:val="20"/>
              </w:rPr>
              <w:t>200</w:t>
            </w:r>
          </w:p>
        </w:tc>
        <w:tc>
          <w:tcPr>
            <w:tcW w:w="2631" w:type="dxa"/>
            <w:vMerge w:val="restart"/>
            <w:noWrap w:val="0"/>
            <w:vAlign w:val="center"/>
          </w:tcPr>
          <w:p w14:paraId="0BF658E1">
            <w:pPr>
              <w:widowControl/>
              <w:jc w:val="left"/>
              <w:rPr>
                <w:rFonts w:ascii="宋体" w:cs="宋体"/>
                <w:kern w:val="0"/>
                <w:sz w:val="20"/>
                <w:szCs w:val="20"/>
              </w:rPr>
            </w:pPr>
            <w:r>
              <w:rPr>
                <w:rFonts w:hint="eastAsia" w:ascii="宋体" w:hAnsi="宋体" w:cs="宋体"/>
                <w:kern w:val="0"/>
                <w:sz w:val="20"/>
                <w:szCs w:val="20"/>
              </w:rPr>
              <w:t>债务重组</w:t>
            </w:r>
          </w:p>
        </w:tc>
        <w:tc>
          <w:tcPr>
            <w:tcW w:w="1053" w:type="dxa"/>
            <w:noWrap w:val="0"/>
            <w:vAlign w:val="center"/>
          </w:tcPr>
          <w:p w14:paraId="14F6E247">
            <w:pPr>
              <w:widowControl/>
              <w:jc w:val="center"/>
              <w:rPr>
                <w:rFonts w:ascii="宋体" w:cs="宋体"/>
                <w:kern w:val="0"/>
                <w:sz w:val="20"/>
                <w:szCs w:val="20"/>
              </w:rPr>
            </w:pPr>
            <w:r>
              <w:rPr>
                <w:rFonts w:ascii="宋体" w:hAnsi="宋体" w:cs="宋体"/>
                <w:kern w:val="0"/>
                <w:sz w:val="20"/>
                <w:szCs w:val="20"/>
              </w:rPr>
              <w:t>210</w:t>
            </w:r>
          </w:p>
        </w:tc>
        <w:tc>
          <w:tcPr>
            <w:tcW w:w="2873" w:type="dxa"/>
            <w:noWrap w:val="0"/>
            <w:vAlign w:val="center"/>
          </w:tcPr>
          <w:p w14:paraId="674C44E8">
            <w:pPr>
              <w:widowControl/>
              <w:jc w:val="left"/>
              <w:rPr>
                <w:rFonts w:ascii="宋体" w:cs="宋体"/>
                <w:kern w:val="0"/>
                <w:sz w:val="20"/>
                <w:szCs w:val="20"/>
              </w:rPr>
            </w:pPr>
            <w:r>
              <w:rPr>
                <w:rFonts w:hint="eastAsia" w:ascii="宋体" w:hAnsi="宋体" w:cs="宋体"/>
                <w:kern w:val="0"/>
                <w:sz w:val="20"/>
                <w:szCs w:val="20"/>
              </w:rPr>
              <w:t>债务人</w:t>
            </w:r>
          </w:p>
        </w:tc>
      </w:tr>
      <w:tr w14:paraId="78866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 w:hRule="atLeast"/>
          <w:jc w:val="center"/>
        </w:trPr>
        <w:tc>
          <w:tcPr>
            <w:tcW w:w="945" w:type="dxa"/>
            <w:vMerge w:val="continue"/>
            <w:noWrap w:val="0"/>
            <w:vAlign w:val="center"/>
          </w:tcPr>
          <w:p w14:paraId="36C935D7">
            <w:pPr>
              <w:widowControl/>
              <w:jc w:val="center"/>
              <w:rPr>
                <w:rFonts w:ascii="宋体" w:cs="宋体"/>
                <w:kern w:val="0"/>
                <w:sz w:val="20"/>
                <w:szCs w:val="20"/>
              </w:rPr>
            </w:pPr>
          </w:p>
        </w:tc>
        <w:tc>
          <w:tcPr>
            <w:tcW w:w="2631" w:type="dxa"/>
            <w:vMerge w:val="continue"/>
            <w:noWrap w:val="0"/>
            <w:vAlign w:val="center"/>
          </w:tcPr>
          <w:p w14:paraId="37D722A0">
            <w:pPr>
              <w:widowControl/>
              <w:jc w:val="left"/>
              <w:rPr>
                <w:rFonts w:ascii="宋体" w:cs="宋体"/>
                <w:kern w:val="0"/>
                <w:sz w:val="20"/>
                <w:szCs w:val="20"/>
              </w:rPr>
            </w:pPr>
          </w:p>
        </w:tc>
        <w:tc>
          <w:tcPr>
            <w:tcW w:w="1053" w:type="dxa"/>
            <w:noWrap w:val="0"/>
            <w:vAlign w:val="center"/>
          </w:tcPr>
          <w:p w14:paraId="1BCA3C4C">
            <w:pPr>
              <w:widowControl/>
              <w:jc w:val="center"/>
              <w:rPr>
                <w:rFonts w:ascii="宋体" w:cs="宋体"/>
                <w:kern w:val="0"/>
                <w:sz w:val="20"/>
                <w:szCs w:val="20"/>
              </w:rPr>
            </w:pPr>
            <w:r>
              <w:rPr>
                <w:rFonts w:ascii="宋体" w:hAnsi="宋体" w:cs="宋体"/>
                <w:kern w:val="0"/>
                <w:sz w:val="20"/>
                <w:szCs w:val="20"/>
              </w:rPr>
              <w:t>220</w:t>
            </w:r>
          </w:p>
        </w:tc>
        <w:tc>
          <w:tcPr>
            <w:tcW w:w="2873" w:type="dxa"/>
            <w:noWrap w:val="0"/>
            <w:vAlign w:val="center"/>
          </w:tcPr>
          <w:p w14:paraId="227509CE">
            <w:pPr>
              <w:widowControl/>
              <w:rPr>
                <w:rFonts w:ascii="宋体" w:cs="宋体"/>
                <w:kern w:val="0"/>
                <w:sz w:val="20"/>
                <w:szCs w:val="20"/>
              </w:rPr>
            </w:pPr>
            <w:r>
              <w:rPr>
                <w:rFonts w:hint="eastAsia" w:ascii="宋体" w:hAnsi="宋体" w:cs="宋体"/>
                <w:kern w:val="0"/>
                <w:sz w:val="20"/>
                <w:szCs w:val="20"/>
              </w:rPr>
              <w:t>债权人</w:t>
            </w:r>
          </w:p>
        </w:tc>
      </w:tr>
      <w:tr w14:paraId="49DE4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945" w:type="dxa"/>
            <w:vMerge w:val="restart"/>
            <w:noWrap w:val="0"/>
            <w:vAlign w:val="center"/>
          </w:tcPr>
          <w:p w14:paraId="279F52FC">
            <w:pPr>
              <w:widowControl/>
              <w:jc w:val="center"/>
              <w:rPr>
                <w:rFonts w:ascii="宋体" w:cs="宋体"/>
                <w:kern w:val="0"/>
                <w:sz w:val="20"/>
                <w:szCs w:val="20"/>
              </w:rPr>
            </w:pPr>
            <w:r>
              <w:rPr>
                <w:rFonts w:ascii="宋体" w:hAnsi="宋体" w:cs="宋体"/>
                <w:kern w:val="0"/>
                <w:sz w:val="20"/>
                <w:szCs w:val="20"/>
              </w:rPr>
              <w:t>300</w:t>
            </w:r>
          </w:p>
        </w:tc>
        <w:tc>
          <w:tcPr>
            <w:tcW w:w="2631" w:type="dxa"/>
            <w:vMerge w:val="restart"/>
            <w:noWrap w:val="0"/>
            <w:vAlign w:val="center"/>
          </w:tcPr>
          <w:p w14:paraId="1B278915">
            <w:pPr>
              <w:widowControl/>
              <w:jc w:val="left"/>
              <w:rPr>
                <w:rFonts w:ascii="宋体" w:cs="宋体"/>
                <w:kern w:val="0"/>
                <w:sz w:val="20"/>
                <w:szCs w:val="20"/>
              </w:rPr>
            </w:pPr>
            <w:r>
              <w:rPr>
                <w:rFonts w:hint="eastAsia" w:ascii="宋体" w:hAnsi="宋体" w:cs="宋体"/>
                <w:kern w:val="0"/>
                <w:sz w:val="20"/>
                <w:szCs w:val="20"/>
              </w:rPr>
              <w:t>股权收购</w:t>
            </w:r>
          </w:p>
        </w:tc>
        <w:tc>
          <w:tcPr>
            <w:tcW w:w="1053" w:type="dxa"/>
            <w:noWrap w:val="0"/>
            <w:vAlign w:val="center"/>
          </w:tcPr>
          <w:p w14:paraId="32303319">
            <w:pPr>
              <w:widowControl/>
              <w:jc w:val="center"/>
              <w:rPr>
                <w:rFonts w:ascii="宋体" w:cs="宋体"/>
                <w:kern w:val="0"/>
                <w:sz w:val="20"/>
                <w:szCs w:val="20"/>
              </w:rPr>
            </w:pPr>
            <w:r>
              <w:rPr>
                <w:rFonts w:ascii="宋体" w:hAnsi="宋体" w:cs="宋体"/>
                <w:kern w:val="0"/>
                <w:sz w:val="20"/>
                <w:szCs w:val="20"/>
              </w:rPr>
              <w:t>310</w:t>
            </w:r>
          </w:p>
        </w:tc>
        <w:tc>
          <w:tcPr>
            <w:tcW w:w="2873" w:type="dxa"/>
            <w:noWrap w:val="0"/>
            <w:vAlign w:val="center"/>
          </w:tcPr>
          <w:p w14:paraId="0039F44C">
            <w:pPr>
              <w:widowControl/>
              <w:jc w:val="left"/>
              <w:rPr>
                <w:rFonts w:ascii="宋体" w:cs="宋体"/>
                <w:kern w:val="0"/>
                <w:sz w:val="20"/>
                <w:szCs w:val="20"/>
              </w:rPr>
            </w:pPr>
            <w:r>
              <w:rPr>
                <w:rFonts w:hint="eastAsia" w:ascii="宋体" w:hAnsi="宋体" w:cs="宋体"/>
                <w:kern w:val="0"/>
                <w:sz w:val="20"/>
                <w:szCs w:val="20"/>
              </w:rPr>
              <w:t>收购方</w:t>
            </w:r>
          </w:p>
        </w:tc>
      </w:tr>
      <w:tr w14:paraId="58133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945" w:type="dxa"/>
            <w:vMerge w:val="continue"/>
            <w:noWrap w:val="0"/>
            <w:vAlign w:val="center"/>
          </w:tcPr>
          <w:p w14:paraId="601F572F">
            <w:pPr>
              <w:widowControl/>
              <w:jc w:val="center"/>
              <w:rPr>
                <w:rFonts w:ascii="宋体" w:cs="宋体"/>
                <w:kern w:val="0"/>
                <w:sz w:val="20"/>
                <w:szCs w:val="20"/>
              </w:rPr>
            </w:pPr>
          </w:p>
        </w:tc>
        <w:tc>
          <w:tcPr>
            <w:tcW w:w="2631" w:type="dxa"/>
            <w:vMerge w:val="continue"/>
            <w:noWrap w:val="0"/>
            <w:vAlign w:val="center"/>
          </w:tcPr>
          <w:p w14:paraId="576CDE47">
            <w:pPr>
              <w:widowControl/>
              <w:jc w:val="left"/>
              <w:rPr>
                <w:rFonts w:ascii="宋体" w:cs="宋体"/>
                <w:kern w:val="0"/>
                <w:sz w:val="20"/>
                <w:szCs w:val="20"/>
              </w:rPr>
            </w:pPr>
          </w:p>
        </w:tc>
        <w:tc>
          <w:tcPr>
            <w:tcW w:w="1053" w:type="dxa"/>
            <w:noWrap w:val="0"/>
            <w:vAlign w:val="center"/>
          </w:tcPr>
          <w:p w14:paraId="5998761F">
            <w:pPr>
              <w:widowControl/>
              <w:jc w:val="center"/>
              <w:rPr>
                <w:rFonts w:ascii="宋体" w:cs="宋体"/>
                <w:kern w:val="0"/>
                <w:sz w:val="20"/>
                <w:szCs w:val="20"/>
              </w:rPr>
            </w:pPr>
            <w:r>
              <w:rPr>
                <w:rFonts w:ascii="宋体" w:hAnsi="宋体" w:cs="宋体"/>
                <w:kern w:val="0"/>
                <w:sz w:val="20"/>
                <w:szCs w:val="20"/>
              </w:rPr>
              <w:t>320</w:t>
            </w:r>
          </w:p>
        </w:tc>
        <w:tc>
          <w:tcPr>
            <w:tcW w:w="2873" w:type="dxa"/>
            <w:noWrap w:val="0"/>
            <w:vAlign w:val="center"/>
          </w:tcPr>
          <w:p w14:paraId="597DEE3A">
            <w:pPr>
              <w:widowControl/>
              <w:rPr>
                <w:rFonts w:ascii="宋体" w:cs="宋体"/>
                <w:kern w:val="0"/>
                <w:sz w:val="20"/>
                <w:szCs w:val="20"/>
              </w:rPr>
            </w:pPr>
            <w:r>
              <w:rPr>
                <w:rFonts w:hint="eastAsia" w:ascii="宋体" w:hAnsi="宋体" w:cs="宋体"/>
                <w:kern w:val="0"/>
                <w:sz w:val="20"/>
                <w:szCs w:val="20"/>
              </w:rPr>
              <w:t>转让方</w:t>
            </w:r>
          </w:p>
        </w:tc>
      </w:tr>
      <w:tr w14:paraId="19968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945" w:type="dxa"/>
            <w:vMerge w:val="continue"/>
            <w:noWrap w:val="0"/>
            <w:vAlign w:val="center"/>
          </w:tcPr>
          <w:p w14:paraId="02D2F9FD">
            <w:pPr>
              <w:widowControl/>
              <w:jc w:val="center"/>
              <w:rPr>
                <w:rFonts w:ascii="宋体" w:cs="宋体"/>
                <w:kern w:val="0"/>
                <w:sz w:val="20"/>
                <w:szCs w:val="20"/>
              </w:rPr>
            </w:pPr>
          </w:p>
        </w:tc>
        <w:tc>
          <w:tcPr>
            <w:tcW w:w="2631" w:type="dxa"/>
            <w:vMerge w:val="continue"/>
            <w:noWrap w:val="0"/>
            <w:vAlign w:val="center"/>
          </w:tcPr>
          <w:p w14:paraId="3FF14566">
            <w:pPr>
              <w:widowControl/>
              <w:jc w:val="left"/>
              <w:rPr>
                <w:rFonts w:ascii="宋体" w:cs="宋体"/>
                <w:kern w:val="0"/>
                <w:sz w:val="20"/>
                <w:szCs w:val="20"/>
              </w:rPr>
            </w:pPr>
          </w:p>
        </w:tc>
        <w:tc>
          <w:tcPr>
            <w:tcW w:w="1053" w:type="dxa"/>
            <w:noWrap w:val="0"/>
            <w:vAlign w:val="center"/>
          </w:tcPr>
          <w:p w14:paraId="6923B2BA">
            <w:pPr>
              <w:widowControl/>
              <w:jc w:val="center"/>
              <w:rPr>
                <w:rFonts w:ascii="宋体" w:cs="宋体"/>
                <w:kern w:val="0"/>
                <w:sz w:val="20"/>
                <w:szCs w:val="20"/>
              </w:rPr>
            </w:pPr>
            <w:r>
              <w:rPr>
                <w:rFonts w:ascii="宋体" w:hAnsi="宋体" w:cs="宋体"/>
                <w:kern w:val="0"/>
                <w:sz w:val="20"/>
                <w:szCs w:val="20"/>
              </w:rPr>
              <w:t>330</w:t>
            </w:r>
          </w:p>
        </w:tc>
        <w:tc>
          <w:tcPr>
            <w:tcW w:w="2873" w:type="dxa"/>
            <w:noWrap w:val="0"/>
            <w:vAlign w:val="center"/>
          </w:tcPr>
          <w:p w14:paraId="31E94D1D">
            <w:pPr>
              <w:widowControl/>
              <w:rPr>
                <w:rFonts w:ascii="宋体" w:cs="宋体"/>
                <w:kern w:val="0"/>
                <w:sz w:val="20"/>
                <w:szCs w:val="20"/>
              </w:rPr>
            </w:pPr>
            <w:r>
              <w:rPr>
                <w:rFonts w:hint="eastAsia" w:ascii="宋体" w:hAnsi="宋体" w:cs="宋体"/>
                <w:kern w:val="0"/>
                <w:sz w:val="20"/>
                <w:szCs w:val="20"/>
              </w:rPr>
              <w:t>被收购企业</w:t>
            </w:r>
          </w:p>
        </w:tc>
      </w:tr>
      <w:tr w14:paraId="380DF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945" w:type="dxa"/>
            <w:vMerge w:val="restart"/>
            <w:noWrap w:val="0"/>
            <w:vAlign w:val="center"/>
          </w:tcPr>
          <w:p w14:paraId="14B0FF99">
            <w:pPr>
              <w:widowControl/>
              <w:jc w:val="center"/>
              <w:rPr>
                <w:rFonts w:ascii="宋体" w:cs="宋体"/>
                <w:kern w:val="0"/>
                <w:sz w:val="20"/>
                <w:szCs w:val="20"/>
              </w:rPr>
            </w:pPr>
            <w:r>
              <w:rPr>
                <w:rFonts w:ascii="宋体" w:hAnsi="宋体" w:cs="宋体"/>
                <w:kern w:val="0"/>
                <w:sz w:val="20"/>
                <w:szCs w:val="20"/>
              </w:rPr>
              <w:t>400</w:t>
            </w:r>
          </w:p>
        </w:tc>
        <w:tc>
          <w:tcPr>
            <w:tcW w:w="2631" w:type="dxa"/>
            <w:vMerge w:val="restart"/>
            <w:noWrap w:val="0"/>
            <w:vAlign w:val="center"/>
          </w:tcPr>
          <w:p w14:paraId="04750DDA">
            <w:pPr>
              <w:widowControl/>
              <w:jc w:val="left"/>
              <w:rPr>
                <w:rFonts w:ascii="宋体" w:cs="宋体"/>
                <w:kern w:val="0"/>
                <w:sz w:val="20"/>
                <w:szCs w:val="20"/>
              </w:rPr>
            </w:pPr>
            <w:r>
              <w:rPr>
                <w:rFonts w:hint="eastAsia" w:ascii="宋体" w:hAnsi="宋体" w:cs="宋体"/>
                <w:kern w:val="0"/>
                <w:sz w:val="20"/>
                <w:szCs w:val="20"/>
              </w:rPr>
              <w:t>资产收购</w:t>
            </w:r>
          </w:p>
        </w:tc>
        <w:tc>
          <w:tcPr>
            <w:tcW w:w="1053" w:type="dxa"/>
            <w:noWrap w:val="0"/>
            <w:vAlign w:val="center"/>
          </w:tcPr>
          <w:p w14:paraId="36BC669D">
            <w:pPr>
              <w:widowControl/>
              <w:jc w:val="center"/>
              <w:rPr>
                <w:rFonts w:ascii="宋体" w:cs="宋体"/>
                <w:kern w:val="0"/>
                <w:sz w:val="20"/>
                <w:szCs w:val="20"/>
              </w:rPr>
            </w:pPr>
            <w:r>
              <w:rPr>
                <w:rFonts w:ascii="宋体" w:hAnsi="宋体" w:cs="宋体"/>
                <w:kern w:val="0"/>
                <w:sz w:val="20"/>
                <w:szCs w:val="20"/>
              </w:rPr>
              <w:t>410</w:t>
            </w:r>
          </w:p>
        </w:tc>
        <w:tc>
          <w:tcPr>
            <w:tcW w:w="2873" w:type="dxa"/>
            <w:noWrap w:val="0"/>
            <w:vAlign w:val="center"/>
          </w:tcPr>
          <w:p w14:paraId="36F1DB8F">
            <w:pPr>
              <w:widowControl/>
              <w:jc w:val="left"/>
              <w:rPr>
                <w:rFonts w:ascii="宋体" w:cs="宋体"/>
                <w:kern w:val="0"/>
                <w:sz w:val="20"/>
                <w:szCs w:val="20"/>
              </w:rPr>
            </w:pPr>
            <w:r>
              <w:rPr>
                <w:rFonts w:hint="eastAsia" w:ascii="宋体" w:hAnsi="宋体" w:cs="宋体"/>
                <w:kern w:val="0"/>
                <w:sz w:val="20"/>
                <w:szCs w:val="20"/>
              </w:rPr>
              <w:t>收购方</w:t>
            </w:r>
          </w:p>
        </w:tc>
      </w:tr>
      <w:tr w14:paraId="79AE8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 w:hRule="atLeast"/>
          <w:jc w:val="center"/>
        </w:trPr>
        <w:tc>
          <w:tcPr>
            <w:tcW w:w="945" w:type="dxa"/>
            <w:vMerge w:val="continue"/>
            <w:noWrap w:val="0"/>
            <w:vAlign w:val="center"/>
          </w:tcPr>
          <w:p w14:paraId="4761E56F">
            <w:pPr>
              <w:widowControl/>
              <w:jc w:val="center"/>
              <w:rPr>
                <w:rFonts w:ascii="宋体" w:cs="宋体"/>
                <w:kern w:val="0"/>
                <w:sz w:val="20"/>
                <w:szCs w:val="20"/>
              </w:rPr>
            </w:pPr>
          </w:p>
        </w:tc>
        <w:tc>
          <w:tcPr>
            <w:tcW w:w="2631" w:type="dxa"/>
            <w:vMerge w:val="continue"/>
            <w:noWrap w:val="0"/>
            <w:vAlign w:val="center"/>
          </w:tcPr>
          <w:p w14:paraId="76DA33B6">
            <w:pPr>
              <w:widowControl/>
              <w:jc w:val="left"/>
              <w:rPr>
                <w:rFonts w:ascii="宋体" w:cs="宋体"/>
                <w:kern w:val="0"/>
                <w:sz w:val="20"/>
                <w:szCs w:val="20"/>
              </w:rPr>
            </w:pPr>
          </w:p>
        </w:tc>
        <w:tc>
          <w:tcPr>
            <w:tcW w:w="1053" w:type="dxa"/>
            <w:noWrap w:val="0"/>
            <w:vAlign w:val="center"/>
          </w:tcPr>
          <w:p w14:paraId="0ACF5409">
            <w:pPr>
              <w:widowControl/>
              <w:jc w:val="center"/>
              <w:rPr>
                <w:rFonts w:ascii="宋体" w:cs="宋体"/>
                <w:kern w:val="0"/>
                <w:sz w:val="20"/>
                <w:szCs w:val="20"/>
              </w:rPr>
            </w:pPr>
            <w:r>
              <w:rPr>
                <w:rFonts w:ascii="宋体" w:hAnsi="宋体" w:cs="宋体"/>
                <w:kern w:val="0"/>
                <w:sz w:val="20"/>
                <w:szCs w:val="20"/>
              </w:rPr>
              <w:t>420</w:t>
            </w:r>
          </w:p>
        </w:tc>
        <w:tc>
          <w:tcPr>
            <w:tcW w:w="2873" w:type="dxa"/>
            <w:noWrap w:val="0"/>
            <w:vAlign w:val="center"/>
          </w:tcPr>
          <w:p w14:paraId="03A3129E">
            <w:pPr>
              <w:widowControl/>
              <w:rPr>
                <w:rFonts w:ascii="宋体" w:cs="宋体"/>
                <w:kern w:val="0"/>
                <w:sz w:val="20"/>
                <w:szCs w:val="20"/>
              </w:rPr>
            </w:pPr>
            <w:r>
              <w:rPr>
                <w:rFonts w:hint="eastAsia" w:ascii="宋体" w:hAnsi="宋体" w:cs="宋体"/>
                <w:kern w:val="0"/>
                <w:sz w:val="20"/>
                <w:szCs w:val="20"/>
              </w:rPr>
              <w:t>转让方</w:t>
            </w:r>
          </w:p>
        </w:tc>
      </w:tr>
      <w:tr w14:paraId="23AD4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945" w:type="dxa"/>
            <w:vMerge w:val="restart"/>
            <w:noWrap w:val="0"/>
            <w:vAlign w:val="center"/>
          </w:tcPr>
          <w:p w14:paraId="187DC4E4">
            <w:pPr>
              <w:widowControl/>
              <w:jc w:val="center"/>
              <w:rPr>
                <w:rFonts w:ascii="宋体" w:cs="宋体"/>
                <w:kern w:val="0"/>
                <w:sz w:val="20"/>
                <w:szCs w:val="20"/>
              </w:rPr>
            </w:pPr>
            <w:r>
              <w:rPr>
                <w:rFonts w:ascii="宋体" w:hAnsi="宋体" w:cs="宋体"/>
                <w:kern w:val="0"/>
                <w:sz w:val="20"/>
                <w:szCs w:val="20"/>
              </w:rPr>
              <w:t>500</w:t>
            </w:r>
          </w:p>
        </w:tc>
        <w:tc>
          <w:tcPr>
            <w:tcW w:w="2631" w:type="dxa"/>
            <w:vMerge w:val="restart"/>
            <w:noWrap w:val="0"/>
            <w:vAlign w:val="center"/>
          </w:tcPr>
          <w:p w14:paraId="6CE61D89">
            <w:pPr>
              <w:widowControl/>
              <w:jc w:val="left"/>
              <w:rPr>
                <w:rFonts w:ascii="宋体" w:cs="宋体"/>
                <w:kern w:val="0"/>
                <w:sz w:val="20"/>
                <w:szCs w:val="20"/>
              </w:rPr>
            </w:pPr>
            <w:r>
              <w:rPr>
                <w:rFonts w:hint="eastAsia" w:ascii="宋体" w:hAnsi="宋体" w:cs="宋体"/>
                <w:kern w:val="0"/>
                <w:sz w:val="20"/>
                <w:szCs w:val="20"/>
              </w:rPr>
              <w:t>合并</w:t>
            </w:r>
          </w:p>
        </w:tc>
        <w:tc>
          <w:tcPr>
            <w:tcW w:w="1053" w:type="dxa"/>
            <w:noWrap w:val="0"/>
            <w:vAlign w:val="center"/>
          </w:tcPr>
          <w:p w14:paraId="5B41515F">
            <w:pPr>
              <w:widowControl/>
              <w:jc w:val="center"/>
              <w:rPr>
                <w:rFonts w:ascii="宋体" w:cs="宋体"/>
                <w:kern w:val="0"/>
                <w:sz w:val="20"/>
                <w:szCs w:val="20"/>
              </w:rPr>
            </w:pPr>
            <w:r>
              <w:rPr>
                <w:rFonts w:ascii="宋体" w:hAnsi="宋体" w:cs="宋体"/>
                <w:kern w:val="0"/>
                <w:sz w:val="20"/>
                <w:szCs w:val="20"/>
              </w:rPr>
              <w:t>510</w:t>
            </w:r>
          </w:p>
        </w:tc>
        <w:tc>
          <w:tcPr>
            <w:tcW w:w="2873" w:type="dxa"/>
            <w:noWrap w:val="0"/>
            <w:vAlign w:val="center"/>
          </w:tcPr>
          <w:p w14:paraId="322602A5">
            <w:pPr>
              <w:widowControl/>
              <w:jc w:val="left"/>
              <w:rPr>
                <w:rFonts w:ascii="宋体" w:cs="宋体"/>
                <w:kern w:val="0"/>
                <w:sz w:val="20"/>
                <w:szCs w:val="20"/>
              </w:rPr>
            </w:pPr>
            <w:r>
              <w:rPr>
                <w:rFonts w:hint="eastAsia" w:ascii="宋体" w:hAnsi="宋体" w:cs="宋体"/>
                <w:kern w:val="0"/>
                <w:sz w:val="20"/>
                <w:szCs w:val="20"/>
              </w:rPr>
              <w:t>合并企业</w:t>
            </w:r>
          </w:p>
        </w:tc>
      </w:tr>
      <w:tr w14:paraId="762B0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 w:hRule="atLeast"/>
          <w:jc w:val="center"/>
        </w:trPr>
        <w:tc>
          <w:tcPr>
            <w:tcW w:w="945" w:type="dxa"/>
            <w:vMerge w:val="continue"/>
            <w:noWrap w:val="0"/>
            <w:vAlign w:val="center"/>
          </w:tcPr>
          <w:p w14:paraId="52134DEA">
            <w:pPr>
              <w:widowControl/>
              <w:jc w:val="center"/>
              <w:rPr>
                <w:rFonts w:ascii="宋体" w:cs="宋体"/>
                <w:kern w:val="0"/>
                <w:sz w:val="20"/>
                <w:szCs w:val="20"/>
              </w:rPr>
            </w:pPr>
          </w:p>
        </w:tc>
        <w:tc>
          <w:tcPr>
            <w:tcW w:w="2631" w:type="dxa"/>
            <w:vMerge w:val="continue"/>
            <w:noWrap w:val="0"/>
            <w:vAlign w:val="center"/>
          </w:tcPr>
          <w:p w14:paraId="1E703348">
            <w:pPr>
              <w:widowControl/>
              <w:jc w:val="left"/>
              <w:rPr>
                <w:rFonts w:ascii="宋体" w:cs="宋体"/>
                <w:kern w:val="0"/>
                <w:sz w:val="20"/>
                <w:szCs w:val="20"/>
              </w:rPr>
            </w:pPr>
          </w:p>
        </w:tc>
        <w:tc>
          <w:tcPr>
            <w:tcW w:w="1053" w:type="dxa"/>
            <w:noWrap w:val="0"/>
            <w:vAlign w:val="center"/>
          </w:tcPr>
          <w:p w14:paraId="27FAB079">
            <w:pPr>
              <w:widowControl/>
              <w:jc w:val="center"/>
              <w:rPr>
                <w:rFonts w:ascii="宋体" w:cs="宋体"/>
                <w:kern w:val="0"/>
                <w:sz w:val="20"/>
                <w:szCs w:val="20"/>
              </w:rPr>
            </w:pPr>
            <w:r>
              <w:rPr>
                <w:rFonts w:ascii="宋体" w:hAnsi="宋体" w:cs="宋体"/>
                <w:kern w:val="0"/>
                <w:sz w:val="20"/>
                <w:szCs w:val="20"/>
              </w:rPr>
              <w:t>520</w:t>
            </w:r>
          </w:p>
        </w:tc>
        <w:tc>
          <w:tcPr>
            <w:tcW w:w="2873" w:type="dxa"/>
            <w:noWrap w:val="0"/>
            <w:vAlign w:val="center"/>
          </w:tcPr>
          <w:p w14:paraId="24CFA412">
            <w:pPr>
              <w:widowControl/>
              <w:rPr>
                <w:rFonts w:ascii="宋体" w:cs="宋体"/>
                <w:kern w:val="0"/>
                <w:sz w:val="20"/>
                <w:szCs w:val="20"/>
              </w:rPr>
            </w:pPr>
            <w:r>
              <w:rPr>
                <w:rFonts w:hint="eastAsia" w:ascii="宋体" w:hAnsi="宋体" w:cs="宋体"/>
                <w:kern w:val="0"/>
                <w:sz w:val="20"/>
                <w:szCs w:val="20"/>
              </w:rPr>
              <w:t>被合并企业</w:t>
            </w:r>
          </w:p>
        </w:tc>
      </w:tr>
      <w:tr w14:paraId="78DA7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945" w:type="dxa"/>
            <w:vMerge w:val="continue"/>
            <w:noWrap w:val="0"/>
            <w:vAlign w:val="center"/>
          </w:tcPr>
          <w:p w14:paraId="7E5F4454">
            <w:pPr>
              <w:widowControl/>
              <w:jc w:val="center"/>
              <w:rPr>
                <w:rFonts w:ascii="宋体" w:cs="宋体"/>
                <w:kern w:val="0"/>
                <w:sz w:val="20"/>
                <w:szCs w:val="20"/>
              </w:rPr>
            </w:pPr>
          </w:p>
        </w:tc>
        <w:tc>
          <w:tcPr>
            <w:tcW w:w="2631" w:type="dxa"/>
            <w:vMerge w:val="continue"/>
            <w:noWrap w:val="0"/>
            <w:vAlign w:val="center"/>
          </w:tcPr>
          <w:p w14:paraId="1AC5ADE8">
            <w:pPr>
              <w:widowControl/>
              <w:jc w:val="left"/>
              <w:rPr>
                <w:rFonts w:ascii="宋体" w:cs="宋体"/>
                <w:kern w:val="0"/>
                <w:sz w:val="20"/>
                <w:szCs w:val="20"/>
              </w:rPr>
            </w:pPr>
          </w:p>
        </w:tc>
        <w:tc>
          <w:tcPr>
            <w:tcW w:w="1053" w:type="dxa"/>
            <w:noWrap w:val="0"/>
            <w:vAlign w:val="center"/>
          </w:tcPr>
          <w:p w14:paraId="73D2C80D">
            <w:pPr>
              <w:widowControl/>
              <w:jc w:val="center"/>
              <w:rPr>
                <w:rFonts w:ascii="宋体" w:cs="宋体"/>
                <w:kern w:val="0"/>
                <w:sz w:val="20"/>
                <w:szCs w:val="20"/>
              </w:rPr>
            </w:pPr>
            <w:r>
              <w:rPr>
                <w:rFonts w:ascii="宋体" w:hAnsi="宋体" w:cs="宋体"/>
                <w:kern w:val="0"/>
                <w:sz w:val="20"/>
                <w:szCs w:val="20"/>
              </w:rPr>
              <w:t>530</w:t>
            </w:r>
          </w:p>
        </w:tc>
        <w:tc>
          <w:tcPr>
            <w:tcW w:w="2873" w:type="dxa"/>
            <w:noWrap w:val="0"/>
            <w:vAlign w:val="center"/>
          </w:tcPr>
          <w:p w14:paraId="52B106D6">
            <w:pPr>
              <w:widowControl/>
              <w:rPr>
                <w:rFonts w:ascii="宋体" w:cs="宋体"/>
                <w:kern w:val="0"/>
                <w:sz w:val="20"/>
                <w:szCs w:val="20"/>
              </w:rPr>
            </w:pPr>
            <w:r>
              <w:rPr>
                <w:rFonts w:hint="eastAsia" w:ascii="宋体" w:hAnsi="宋体" w:cs="宋体"/>
                <w:kern w:val="0"/>
                <w:sz w:val="20"/>
                <w:szCs w:val="20"/>
              </w:rPr>
              <w:t>被合并企业股东</w:t>
            </w:r>
          </w:p>
        </w:tc>
      </w:tr>
      <w:tr w14:paraId="3D970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945" w:type="dxa"/>
            <w:vMerge w:val="restart"/>
            <w:noWrap w:val="0"/>
            <w:vAlign w:val="center"/>
          </w:tcPr>
          <w:p w14:paraId="5E4CF0AB">
            <w:pPr>
              <w:widowControl/>
              <w:jc w:val="center"/>
              <w:rPr>
                <w:rFonts w:ascii="宋体" w:cs="宋体"/>
                <w:kern w:val="0"/>
                <w:sz w:val="20"/>
                <w:szCs w:val="20"/>
              </w:rPr>
            </w:pPr>
            <w:r>
              <w:rPr>
                <w:rFonts w:ascii="宋体" w:hAnsi="宋体" w:cs="宋体"/>
                <w:kern w:val="0"/>
                <w:sz w:val="20"/>
                <w:szCs w:val="20"/>
              </w:rPr>
              <w:t>600</w:t>
            </w:r>
          </w:p>
        </w:tc>
        <w:tc>
          <w:tcPr>
            <w:tcW w:w="2631" w:type="dxa"/>
            <w:vMerge w:val="restart"/>
            <w:noWrap w:val="0"/>
            <w:vAlign w:val="center"/>
          </w:tcPr>
          <w:p w14:paraId="6D6A4F39">
            <w:pPr>
              <w:widowControl/>
              <w:jc w:val="left"/>
              <w:rPr>
                <w:rFonts w:ascii="宋体" w:cs="宋体"/>
                <w:kern w:val="0"/>
                <w:sz w:val="20"/>
                <w:szCs w:val="20"/>
              </w:rPr>
            </w:pPr>
            <w:r>
              <w:rPr>
                <w:rFonts w:hint="eastAsia" w:ascii="宋体" w:hAnsi="宋体" w:cs="宋体"/>
                <w:kern w:val="0"/>
                <w:sz w:val="20"/>
                <w:szCs w:val="20"/>
              </w:rPr>
              <w:t>分立</w:t>
            </w:r>
          </w:p>
        </w:tc>
        <w:tc>
          <w:tcPr>
            <w:tcW w:w="1053" w:type="dxa"/>
            <w:noWrap w:val="0"/>
            <w:vAlign w:val="center"/>
          </w:tcPr>
          <w:p w14:paraId="0A0568DA">
            <w:pPr>
              <w:widowControl/>
              <w:jc w:val="center"/>
              <w:rPr>
                <w:rFonts w:ascii="宋体" w:cs="宋体"/>
                <w:kern w:val="0"/>
                <w:sz w:val="20"/>
                <w:szCs w:val="20"/>
              </w:rPr>
            </w:pPr>
            <w:r>
              <w:rPr>
                <w:rFonts w:ascii="宋体" w:hAnsi="宋体" w:cs="宋体"/>
                <w:kern w:val="0"/>
                <w:sz w:val="20"/>
                <w:szCs w:val="20"/>
              </w:rPr>
              <w:t>610</w:t>
            </w:r>
          </w:p>
        </w:tc>
        <w:tc>
          <w:tcPr>
            <w:tcW w:w="2873" w:type="dxa"/>
            <w:noWrap w:val="0"/>
            <w:vAlign w:val="center"/>
          </w:tcPr>
          <w:p w14:paraId="6322E453">
            <w:pPr>
              <w:widowControl/>
              <w:jc w:val="left"/>
              <w:rPr>
                <w:rFonts w:ascii="宋体" w:cs="宋体"/>
                <w:kern w:val="0"/>
                <w:sz w:val="20"/>
                <w:szCs w:val="20"/>
              </w:rPr>
            </w:pPr>
            <w:r>
              <w:rPr>
                <w:rFonts w:hint="eastAsia" w:ascii="宋体" w:hAnsi="宋体" w:cs="宋体"/>
                <w:kern w:val="0"/>
                <w:sz w:val="20"/>
                <w:szCs w:val="20"/>
              </w:rPr>
              <w:t>分立企业</w:t>
            </w:r>
          </w:p>
        </w:tc>
      </w:tr>
      <w:tr w14:paraId="7781F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945" w:type="dxa"/>
            <w:vMerge w:val="continue"/>
            <w:noWrap w:val="0"/>
            <w:vAlign w:val="center"/>
          </w:tcPr>
          <w:p w14:paraId="1ED9A750">
            <w:pPr>
              <w:widowControl/>
              <w:jc w:val="left"/>
              <w:rPr>
                <w:rFonts w:ascii="宋体" w:cs="宋体"/>
                <w:kern w:val="0"/>
                <w:sz w:val="20"/>
                <w:szCs w:val="20"/>
              </w:rPr>
            </w:pPr>
          </w:p>
        </w:tc>
        <w:tc>
          <w:tcPr>
            <w:tcW w:w="2631" w:type="dxa"/>
            <w:vMerge w:val="continue"/>
            <w:noWrap w:val="0"/>
            <w:vAlign w:val="center"/>
          </w:tcPr>
          <w:p w14:paraId="619853A3">
            <w:pPr>
              <w:widowControl/>
              <w:jc w:val="left"/>
              <w:rPr>
                <w:rFonts w:ascii="宋体" w:cs="宋体"/>
                <w:kern w:val="0"/>
                <w:sz w:val="20"/>
                <w:szCs w:val="20"/>
              </w:rPr>
            </w:pPr>
          </w:p>
        </w:tc>
        <w:tc>
          <w:tcPr>
            <w:tcW w:w="1053" w:type="dxa"/>
            <w:noWrap w:val="0"/>
            <w:vAlign w:val="center"/>
          </w:tcPr>
          <w:p w14:paraId="1C2FE43A">
            <w:pPr>
              <w:widowControl/>
              <w:jc w:val="center"/>
              <w:rPr>
                <w:rFonts w:ascii="宋体" w:cs="宋体"/>
                <w:kern w:val="0"/>
                <w:sz w:val="20"/>
                <w:szCs w:val="20"/>
              </w:rPr>
            </w:pPr>
            <w:r>
              <w:rPr>
                <w:rFonts w:ascii="宋体" w:hAnsi="宋体" w:cs="宋体"/>
                <w:kern w:val="0"/>
                <w:sz w:val="20"/>
                <w:szCs w:val="20"/>
              </w:rPr>
              <w:t>620</w:t>
            </w:r>
          </w:p>
        </w:tc>
        <w:tc>
          <w:tcPr>
            <w:tcW w:w="2873" w:type="dxa"/>
            <w:noWrap w:val="0"/>
            <w:vAlign w:val="center"/>
          </w:tcPr>
          <w:p w14:paraId="7CAD99A0">
            <w:pPr>
              <w:widowControl/>
              <w:rPr>
                <w:rFonts w:ascii="宋体" w:cs="宋体"/>
                <w:kern w:val="0"/>
                <w:sz w:val="20"/>
                <w:szCs w:val="20"/>
              </w:rPr>
            </w:pPr>
            <w:r>
              <w:rPr>
                <w:rFonts w:hint="eastAsia" w:ascii="宋体" w:hAnsi="宋体" w:cs="宋体"/>
                <w:kern w:val="0"/>
                <w:sz w:val="20"/>
                <w:szCs w:val="20"/>
              </w:rPr>
              <w:t>被分立企业</w:t>
            </w:r>
          </w:p>
        </w:tc>
      </w:tr>
      <w:tr w14:paraId="07ED9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945" w:type="dxa"/>
            <w:vMerge w:val="continue"/>
            <w:noWrap w:val="0"/>
            <w:vAlign w:val="center"/>
          </w:tcPr>
          <w:p w14:paraId="1AFE9D94">
            <w:pPr>
              <w:widowControl/>
              <w:jc w:val="left"/>
              <w:rPr>
                <w:rFonts w:ascii="宋体" w:cs="宋体"/>
                <w:kern w:val="0"/>
                <w:sz w:val="20"/>
                <w:szCs w:val="20"/>
              </w:rPr>
            </w:pPr>
          </w:p>
        </w:tc>
        <w:tc>
          <w:tcPr>
            <w:tcW w:w="2631" w:type="dxa"/>
            <w:vMerge w:val="continue"/>
            <w:noWrap w:val="0"/>
            <w:vAlign w:val="center"/>
          </w:tcPr>
          <w:p w14:paraId="667F3D9C">
            <w:pPr>
              <w:widowControl/>
              <w:jc w:val="left"/>
              <w:rPr>
                <w:rFonts w:ascii="宋体" w:cs="宋体"/>
                <w:kern w:val="0"/>
                <w:sz w:val="20"/>
                <w:szCs w:val="20"/>
              </w:rPr>
            </w:pPr>
          </w:p>
        </w:tc>
        <w:tc>
          <w:tcPr>
            <w:tcW w:w="1053" w:type="dxa"/>
            <w:noWrap w:val="0"/>
            <w:vAlign w:val="center"/>
          </w:tcPr>
          <w:p w14:paraId="1A6165F9">
            <w:pPr>
              <w:widowControl/>
              <w:jc w:val="center"/>
              <w:rPr>
                <w:rFonts w:ascii="宋体" w:cs="宋体"/>
                <w:kern w:val="0"/>
                <w:sz w:val="20"/>
                <w:szCs w:val="20"/>
              </w:rPr>
            </w:pPr>
            <w:r>
              <w:rPr>
                <w:rFonts w:ascii="宋体" w:hAnsi="宋体" w:cs="宋体"/>
                <w:kern w:val="0"/>
                <w:sz w:val="20"/>
                <w:szCs w:val="20"/>
              </w:rPr>
              <w:t>630</w:t>
            </w:r>
          </w:p>
        </w:tc>
        <w:tc>
          <w:tcPr>
            <w:tcW w:w="2873" w:type="dxa"/>
            <w:noWrap w:val="0"/>
            <w:vAlign w:val="center"/>
          </w:tcPr>
          <w:p w14:paraId="26CF8262">
            <w:pPr>
              <w:widowControl/>
              <w:rPr>
                <w:rFonts w:ascii="宋体" w:cs="宋体"/>
                <w:kern w:val="0"/>
                <w:sz w:val="20"/>
                <w:szCs w:val="20"/>
              </w:rPr>
            </w:pPr>
            <w:r>
              <w:rPr>
                <w:rFonts w:hint="eastAsia" w:ascii="宋体" w:hAnsi="宋体" w:cs="宋体"/>
                <w:kern w:val="0"/>
                <w:sz w:val="20"/>
                <w:szCs w:val="20"/>
              </w:rPr>
              <w:t>被分立企业股东</w:t>
            </w:r>
          </w:p>
        </w:tc>
      </w:tr>
    </w:tbl>
    <w:p w14:paraId="0D2B566C">
      <w:pPr>
        <w:pStyle w:val="8"/>
      </w:pPr>
      <w:r>
        <w:t>14.</w:t>
      </w:r>
      <w:r>
        <w:rPr>
          <w:rFonts w:hint="eastAsia"/>
        </w:rPr>
        <w:t>“</w:t>
      </w:r>
      <w:r>
        <w:t>215</w:t>
      </w:r>
      <w:r>
        <w:rPr>
          <w:rFonts w:hint="eastAsia"/>
        </w:rPr>
        <w:t>政策性搬迁开始时间”：纳税人发生政策性搬迁事项且申报所属期年度处在搬迁期内的，填报政策性搬迁开始的时间。</w:t>
      </w:r>
    </w:p>
    <w:p w14:paraId="64FA50EB">
      <w:pPr>
        <w:pStyle w:val="8"/>
      </w:pPr>
      <w:r>
        <w:t>15</w:t>
      </w:r>
      <w:r>
        <w:rPr>
          <w:rFonts w:hint="eastAsia"/>
        </w:rPr>
        <w:t>“</w:t>
      </w:r>
      <w:r>
        <w:t>216</w:t>
      </w:r>
      <w:r>
        <w:rPr>
          <w:rFonts w:hint="eastAsia"/>
        </w:rPr>
        <w:t>发生政策性搬迁且停止生产经营无所得年度”：纳税人的申报所属期年度处于政策性搬迁期内，且停止生产经营无所得的，选择“是”。</w:t>
      </w:r>
    </w:p>
    <w:p w14:paraId="7838F2E9">
      <w:pPr>
        <w:pStyle w:val="8"/>
      </w:pPr>
      <w:r>
        <w:t>16.</w:t>
      </w:r>
      <w:r>
        <w:rPr>
          <w:rFonts w:hint="eastAsia"/>
        </w:rPr>
        <w:t>“</w:t>
      </w:r>
      <w:r>
        <w:t>217</w:t>
      </w:r>
      <w:r>
        <w:rPr>
          <w:rFonts w:hint="eastAsia"/>
        </w:rPr>
        <w:t>政策性搬迁损失分期扣除年度”：纳税人发生政策性搬迁事项出现搬迁损失，按照《企业政策性搬迁所得税管理办法》（国家税务总局公告</w:t>
      </w:r>
      <w:r>
        <w:t>2012</w:t>
      </w:r>
      <w:r>
        <w:rPr>
          <w:rFonts w:hint="eastAsia"/>
        </w:rPr>
        <w:t>年第</w:t>
      </w:r>
      <w:r>
        <w:t>40</w:t>
      </w:r>
      <w:r>
        <w:rPr>
          <w:rFonts w:hint="eastAsia"/>
        </w:rPr>
        <w:t>号发布）等有关规定选择自搬迁完成年度起分</w:t>
      </w:r>
      <w:r>
        <w:t>3</w:t>
      </w:r>
      <w:r>
        <w:rPr>
          <w:rFonts w:hint="eastAsia"/>
        </w:rPr>
        <w:t>个年度均匀在税前扣除的，且申报所属期年度处在分期扣除期间的，选择“是”。</w:t>
      </w:r>
    </w:p>
    <w:p w14:paraId="754066B0">
      <w:pPr>
        <w:pStyle w:val="8"/>
      </w:pPr>
      <w:r>
        <w:t>17.</w:t>
      </w:r>
      <w:r>
        <w:rPr>
          <w:rFonts w:hint="eastAsia"/>
        </w:rPr>
        <w:t>“</w:t>
      </w:r>
      <w:r>
        <w:t>218</w:t>
      </w:r>
      <w:r>
        <w:rPr>
          <w:rFonts w:hint="eastAsia"/>
        </w:rPr>
        <w:t>发生非货币性资产对外投资递延纳税事项”：纳税人在申报所属期年度发生非货币性资产对外投资递延纳税事项的，选择“是”。</w:t>
      </w:r>
    </w:p>
    <w:p w14:paraId="1F96DA22">
      <w:pPr>
        <w:pStyle w:val="8"/>
      </w:pPr>
      <w:r>
        <w:t>18.</w:t>
      </w:r>
      <w:r>
        <w:rPr>
          <w:rFonts w:hint="eastAsia"/>
        </w:rPr>
        <w:t>“</w:t>
      </w:r>
      <w:r>
        <w:t>219</w:t>
      </w:r>
      <w:r>
        <w:rPr>
          <w:rFonts w:hint="eastAsia"/>
        </w:rPr>
        <w:t>非货币性资产对外投资转让所得递延纳税年度”：纳税人以非货币性资产对外投资确认的非货币性资产转让所得，按照《财政部</w:t>
      </w:r>
      <w:r>
        <w:t xml:space="preserve"> </w:t>
      </w:r>
      <w:r>
        <w:rPr>
          <w:rFonts w:hint="eastAsia"/>
        </w:rPr>
        <w:t>国家税务总局关于非货币性资产投资企业所得税政策问题的通知》（财税〔</w:t>
      </w:r>
      <w:r>
        <w:t>2014</w:t>
      </w:r>
      <w:r>
        <w:rPr>
          <w:rFonts w:hint="eastAsia"/>
        </w:rPr>
        <w:t>〕</w:t>
      </w:r>
      <w:r>
        <w:t>116</w:t>
      </w:r>
      <w:r>
        <w:rPr>
          <w:rFonts w:hint="eastAsia"/>
        </w:rPr>
        <w:t>号）、《国家税务总局关于非货币性资产投资企业所得税有关征管问题的公告》（国家税务总局公告</w:t>
      </w:r>
      <w:r>
        <w:t>2015</w:t>
      </w:r>
      <w:r>
        <w:rPr>
          <w:rFonts w:hint="eastAsia"/>
        </w:rPr>
        <w:t>年第</w:t>
      </w:r>
      <w:r>
        <w:t>33</w:t>
      </w:r>
      <w:r>
        <w:rPr>
          <w:rFonts w:hint="eastAsia"/>
        </w:rPr>
        <w:t>号）等文件规定，在不超过</w:t>
      </w:r>
      <w:r>
        <w:t>5</w:t>
      </w:r>
      <w:r>
        <w:rPr>
          <w:rFonts w:hint="eastAsia"/>
        </w:rPr>
        <w:t>年期限内分期均匀计入相应年度的应纳税所得额的，且申报所属期年度处在递延纳税期间的，选择“是”。</w:t>
      </w:r>
    </w:p>
    <w:p w14:paraId="7F946806">
      <w:pPr>
        <w:pStyle w:val="8"/>
      </w:pPr>
      <w:r>
        <w:t>19.</w:t>
      </w:r>
      <w:r>
        <w:rPr>
          <w:rFonts w:hint="eastAsia"/>
        </w:rPr>
        <w:t>“</w:t>
      </w:r>
      <w:r>
        <w:t>220</w:t>
      </w:r>
      <w:r>
        <w:rPr>
          <w:rFonts w:hint="eastAsia"/>
        </w:rPr>
        <w:t>发生技术成果投资入股递延纳税事项”：纳税人在申报所属期年度发生技术入股递延纳税事项的，选择“是”。</w:t>
      </w:r>
    </w:p>
    <w:p w14:paraId="7C1FFF2E">
      <w:pPr>
        <w:pStyle w:val="8"/>
      </w:pPr>
      <w:r>
        <w:t>20.</w:t>
      </w:r>
      <w:r>
        <w:rPr>
          <w:rFonts w:hint="eastAsia"/>
        </w:rPr>
        <w:t>“</w:t>
      </w:r>
      <w:r>
        <w:t>221</w:t>
      </w:r>
      <w:r>
        <w:rPr>
          <w:rFonts w:hint="eastAsia"/>
        </w:rPr>
        <w:t>技术成果投资入股递延纳税年度”：纳税人发生技术入股事项，按照《财政部</w:t>
      </w:r>
      <w:r>
        <w:t xml:space="preserve"> </w:t>
      </w:r>
      <w:r>
        <w:rPr>
          <w:rFonts w:hint="eastAsia"/>
        </w:rPr>
        <w:t>国家税务总局关于完善股权激励和技术入股有关所得税政策的通知》（财税〔</w:t>
      </w:r>
      <w:r>
        <w:t>2016</w:t>
      </w:r>
      <w:r>
        <w:rPr>
          <w:rFonts w:hint="eastAsia"/>
        </w:rPr>
        <w:t>〕</w:t>
      </w:r>
      <w:r>
        <w:t>101</w:t>
      </w:r>
      <w:r>
        <w:rPr>
          <w:rFonts w:hint="eastAsia"/>
        </w:rPr>
        <w:t>号）、《国家税务总局关于股权激励和技术入股所得税征管问题的公告》（国家税务总局公告</w:t>
      </w:r>
      <w:r>
        <w:t>2016</w:t>
      </w:r>
      <w:r>
        <w:rPr>
          <w:rFonts w:hint="eastAsia"/>
        </w:rPr>
        <w:t>年第</w:t>
      </w:r>
      <w:r>
        <w:t>62</w:t>
      </w:r>
      <w:r>
        <w:rPr>
          <w:rFonts w:hint="eastAsia"/>
        </w:rPr>
        <w:t>号）等文件规定选择适用递延纳税政策，即在投资入股当期暂不纳税，递延至转让股权时按股权转让收入减去技术成果原值和合理税费后的差额计算缴纳所得税的，且申报所属期年度为转让股权年度的，选择“是”。</w:t>
      </w:r>
    </w:p>
    <w:p w14:paraId="60988385">
      <w:pPr>
        <w:pStyle w:val="8"/>
      </w:pPr>
      <w:r>
        <w:t>21.</w:t>
      </w:r>
      <w:r>
        <w:rPr>
          <w:rFonts w:hint="eastAsia"/>
        </w:rPr>
        <w:t>“</w:t>
      </w:r>
      <w:r>
        <w:t>222</w:t>
      </w:r>
      <w:r>
        <w:rPr>
          <w:rFonts w:hint="eastAsia"/>
        </w:rPr>
        <w:t>发生资产（股权）划转特殊性税务处理事项”：纳税人在申报所属期年度发生《财政部</w:t>
      </w:r>
      <w:r>
        <w:t xml:space="preserve"> </w:t>
      </w:r>
      <w:r>
        <w:rPr>
          <w:rFonts w:hint="eastAsia"/>
        </w:rPr>
        <w:t>国家税务总局关于促进企业重组有关企业所得税处理问题的通知》（财税〔</w:t>
      </w:r>
      <w:r>
        <w:t>2014</w:t>
      </w:r>
      <w:r>
        <w:rPr>
          <w:rFonts w:hint="eastAsia"/>
        </w:rPr>
        <w:t>〕</w:t>
      </w:r>
      <w:r>
        <w:t>109</w:t>
      </w:r>
      <w:r>
        <w:rPr>
          <w:rFonts w:hint="eastAsia"/>
        </w:rPr>
        <w:t>号）、《国家税务总局关于资产（股权）划转企业所得税征管问题的公告》（国家税务总局公告</w:t>
      </w:r>
      <w:r>
        <w:t>2015</w:t>
      </w:r>
      <w:r>
        <w:rPr>
          <w:rFonts w:hint="eastAsia"/>
        </w:rPr>
        <w:t>年第</w:t>
      </w:r>
      <w:r>
        <w:t>40</w:t>
      </w:r>
      <w:r>
        <w:rPr>
          <w:rFonts w:hint="eastAsia"/>
        </w:rPr>
        <w:t>号）等文件规定的资产（股权）划转特殊性税务处理事项的，选择“是”。</w:t>
      </w:r>
    </w:p>
    <w:p w14:paraId="1F9CCDE6">
      <w:pPr>
        <w:pStyle w:val="8"/>
      </w:pPr>
      <w:r>
        <w:t>22.</w:t>
      </w:r>
      <w:r>
        <w:rPr>
          <w:rFonts w:hint="eastAsia"/>
        </w:rPr>
        <w:t>“</w:t>
      </w:r>
      <w:r>
        <w:t>223</w:t>
      </w:r>
      <w:r>
        <w:rPr>
          <w:rFonts w:hint="eastAsia"/>
        </w:rPr>
        <w:t>债务重组所得递延纳税年度”：纳税人债务重组确认的应纳税所得额按照《财政部</w:t>
      </w:r>
      <w:r>
        <w:t xml:space="preserve"> </w:t>
      </w:r>
      <w:r>
        <w:rPr>
          <w:rFonts w:hint="eastAsia"/>
        </w:rPr>
        <w:t>国家税务总局关于企业重组业务企业所得税处理若干问题的通知》（财税〔</w:t>
      </w:r>
      <w:r>
        <w:t>2009</w:t>
      </w:r>
      <w:r>
        <w:rPr>
          <w:rFonts w:hint="eastAsia"/>
        </w:rPr>
        <w:t>〕</w:t>
      </w:r>
      <w:r>
        <w:t>59</w:t>
      </w:r>
      <w:r>
        <w:rPr>
          <w:rFonts w:hint="eastAsia"/>
        </w:rPr>
        <w:t>号）、《财政部　国家税务总局关于促进企业重组有关企业所得税处理问题的通知》（财税〔</w:t>
      </w:r>
      <w:r>
        <w:t>20</w:t>
      </w:r>
      <w:r>
        <w:rPr>
          <w:rFonts w:hint="eastAsia"/>
        </w:rPr>
        <w:t>14〕10</w:t>
      </w:r>
      <w:r>
        <w:t>9</w:t>
      </w:r>
      <w:r>
        <w:rPr>
          <w:rFonts w:hint="eastAsia"/>
        </w:rPr>
        <w:t>号）等文件规定，在</w:t>
      </w:r>
      <w:r>
        <w:t>5</w:t>
      </w:r>
      <w:r>
        <w:rPr>
          <w:rFonts w:hint="eastAsia"/>
        </w:rPr>
        <w:t>个纳税年度的期间内，均匀计入各年度的应纳税所得额的，且申报所属期年度处在递延纳税期间的，选择“是”。</w:t>
      </w:r>
    </w:p>
    <w:p w14:paraId="3DC0B89C">
      <w:pPr>
        <w:pStyle w:val="10"/>
        <w:ind w:firstLine="482"/>
        <w:rPr>
          <w:rFonts w:cs="Times New Roman"/>
        </w:rPr>
      </w:pPr>
      <w:bookmarkStart w:id="15" w:name="_Toc21712224"/>
      <w:bookmarkStart w:id="16" w:name="_Toc24965007"/>
      <w:bookmarkStart w:id="17" w:name="_Toc21711186"/>
      <w:bookmarkStart w:id="18" w:name="_Toc21703703"/>
      <w:r>
        <w:rPr>
          <w:rFonts w:hint="eastAsia"/>
        </w:rPr>
        <w:t>三、主要股东及分红情况</w:t>
      </w:r>
      <w:bookmarkEnd w:id="15"/>
      <w:bookmarkEnd w:id="16"/>
      <w:bookmarkEnd w:id="17"/>
      <w:bookmarkEnd w:id="18"/>
    </w:p>
    <w:p w14:paraId="4339D8E3">
      <w:pPr>
        <w:pStyle w:val="8"/>
      </w:pPr>
      <w:r>
        <w:rPr>
          <w:rFonts w:hint="eastAsia"/>
        </w:rPr>
        <w:t>纳税人填报本企业投资比例位列前</w:t>
      </w:r>
      <w:r>
        <w:t>10</w:t>
      </w:r>
      <w:r>
        <w:rPr>
          <w:rFonts w:hint="eastAsia"/>
        </w:rPr>
        <w:t>位的股东情况。包括股东名称，证件种类（营业执照、税务登记证、组织机构代码证、身份证、护照等），证件号码（统一社会信用代码、纳税人识别号、组织机构代码号、身份证号、护照号等），投资比例，当年（决议日）分配的股息、红利等权益性投资收益金额，国籍（注册地址）。纳税人股东数量超过</w:t>
      </w:r>
      <w:r>
        <w:t>10</w:t>
      </w:r>
      <w:r>
        <w:rPr>
          <w:rFonts w:hint="eastAsia"/>
        </w:rPr>
        <w:t>位的，应将其余股东有关数据合计后填入“其余股东合计”行次。</w:t>
      </w:r>
    </w:p>
    <w:p w14:paraId="2C7AF844">
      <w:pPr>
        <w:pStyle w:val="8"/>
        <w:rPr>
          <w:rFonts w:hint="eastAsia"/>
        </w:rPr>
      </w:pPr>
      <w:r>
        <w:rPr>
          <w:rFonts w:hint="eastAsia"/>
        </w:rPr>
        <w:t>纳税人股东为非居民企业的，证件种类和证件号码可不填报。</w:t>
      </w:r>
    </w:p>
    <w:p w14:paraId="1D586A4E">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13C96EA9"/>
    <w:rsid w:val="0B265340"/>
    <w:rsid w:val="13C96EA9"/>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2"/>
    <w:next w:val="1"/>
    <w:qFormat/>
    <w:uiPriority w:val="0"/>
    <w:pPr>
      <w:spacing w:before="240" w:beforeLines="100" w:after="360" w:afterLines="150" w:line="240" w:lineRule="auto"/>
      <w:jc w:val="center"/>
    </w:pPr>
    <w:rPr>
      <w:rFonts w:ascii="方正小标宋简体" w:hAnsi="宋体" w:eastAsia="方正小标宋简体" w:cs="宋体"/>
      <w:b w:val="0"/>
      <w:bCs w:val="0"/>
      <w:sz w:val="28"/>
      <w:szCs w:val="28"/>
      <w:lang w:val="zh-CN"/>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ZBBZWBg"/>
    <w:basedOn w:val="8"/>
    <w:qFormat/>
    <w:uiPriority w:val="0"/>
    <w:pPr>
      <w:ind w:firstLine="0" w:firstLineChars="0"/>
      <w:jc w:val="center"/>
    </w:pPr>
    <w:rPr>
      <w:rFonts w:cs="宋体"/>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10787</Words>
  <Characters>11649</Characters>
  <Lines>0</Lines>
  <Paragraphs>0</Paragraphs>
  <TotalTime>1</TotalTime>
  <ScaleCrop>false</ScaleCrop>
  <LinksUpToDate>false</LinksUpToDate>
  <CharactersWithSpaces>11791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2024-08-07T10:09:00Z</dcterms:created>
  <dc:creator>www.shuiwu114.com</dc:creator>
  <cp:lastModifiedBy>www.shuiwu114.com</cp:lastModifiedBy>
  <dcterms:modified xsi:type="dcterms:W3CDTF">2024-08-11T01:01:51Z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7E2E0ADA382F4FAD82D7090FFA61BE65_11</vt:lpwstr>
  </property>
</Properties>
</file>