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C3A3C">
      <w:pPr>
        <w:pStyle w:val="7"/>
        <w:widowControl/>
        <w:jc w:val="both"/>
        <w:rPr>
          <w:rFonts w:hint="eastAsia" w:ascii="方正小标宋_GBK" w:hAnsi="方正小标宋_GBK" w:eastAsia="方正小标宋_GBK" w:cs="方正小标宋_GBK"/>
          <w:color w:val="auto"/>
        </w:rPr>
      </w:pPr>
      <w:bookmarkStart w:id="0" w:name="_Toc19826"/>
      <w:bookmarkStart w:id="1" w:name="_Toc1922398481"/>
      <w:bookmarkStart w:id="2" w:name="_Toc12335"/>
      <w:bookmarkStart w:id="3" w:name="_Toc29283"/>
      <w:bookmarkStart w:id="4" w:name="_Toc28877"/>
      <w:bookmarkStart w:id="5" w:name="_Toc11271"/>
      <w:bookmarkStart w:id="6" w:name="_Toc176972042"/>
      <w:bookmarkStart w:id="7" w:name="_Toc16081"/>
      <w:bookmarkStart w:id="58" w:name="_GoBack"/>
      <w:r>
        <w:rPr>
          <w:rFonts w:hint="eastAsia" w:ascii="方正小标宋_GBK" w:hAnsi="方正小标宋_GBK" w:eastAsia="方正小标宋_GBK" w:cs="方正小标宋_GBK"/>
          <w:color w:val="auto"/>
        </w:rPr>
        <w:t>3-2-3-4A100000</w:t>
      </w:r>
      <w:r>
        <w:rPr>
          <w:color w:val="auto"/>
        </w:rPr>
        <w:tab/>
      </w:r>
      <w:r>
        <w:rPr>
          <w:rFonts w:hint="eastAsia" w:ascii="方正小标宋_GBK" w:hAnsi="方正小标宋_GBK" w:eastAsia="方正小标宋_GBK" w:cs="方正小标宋_GBK"/>
          <w:color w:val="auto"/>
        </w:rPr>
        <w:t>企业所得税年度纳税申报主表</w:t>
      </w:r>
      <w:bookmarkEnd w:id="0"/>
      <w:bookmarkEnd w:id="1"/>
      <w:bookmarkEnd w:id="2"/>
      <w:bookmarkEnd w:id="3"/>
      <w:bookmarkEnd w:id="4"/>
      <w:bookmarkEnd w:id="5"/>
      <w:bookmarkEnd w:id="6"/>
      <w:bookmarkEnd w:id="7"/>
    </w:p>
    <w:bookmarkEnd w:id="58"/>
    <w:tbl>
      <w:tblPr>
        <w:tblStyle w:val="4"/>
        <w:tblW w:w="10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0"/>
        <w:gridCol w:w="620"/>
        <w:gridCol w:w="7392"/>
        <w:gridCol w:w="1418"/>
      </w:tblGrid>
      <w:tr w14:paraId="154F9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467BDE5D">
            <w:pPr>
              <w:widowControl/>
              <w:spacing w:line="240" w:lineRule="exact"/>
              <w:jc w:val="center"/>
              <w:rPr>
                <w:rFonts w:hint="eastAsia" w:ascii="宋体" w:hAnsi="宋体"/>
                <w:b/>
                <w:bCs/>
                <w:color w:val="auto"/>
                <w:kern w:val="0"/>
                <w:sz w:val="20"/>
                <w:szCs w:val="20"/>
              </w:rPr>
            </w:pPr>
            <w:r>
              <w:rPr>
                <w:rFonts w:hint="eastAsia" w:ascii="宋体" w:hAnsi="宋体"/>
                <w:b/>
                <w:bCs/>
                <w:color w:val="auto"/>
                <w:kern w:val="0"/>
                <w:sz w:val="20"/>
                <w:szCs w:val="20"/>
              </w:rPr>
              <w:t>行次</w:t>
            </w:r>
          </w:p>
        </w:tc>
        <w:tc>
          <w:tcPr>
            <w:tcW w:w="620" w:type="dxa"/>
            <w:noWrap w:val="0"/>
            <w:vAlign w:val="center"/>
          </w:tcPr>
          <w:p w14:paraId="787E1B73">
            <w:pPr>
              <w:widowControl/>
              <w:spacing w:line="240" w:lineRule="exact"/>
              <w:jc w:val="center"/>
              <w:rPr>
                <w:rFonts w:hint="eastAsia" w:ascii="宋体" w:hAnsi="宋体"/>
                <w:b/>
                <w:bCs/>
                <w:color w:val="auto"/>
                <w:kern w:val="0"/>
                <w:sz w:val="20"/>
                <w:szCs w:val="20"/>
              </w:rPr>
            </w:pPr>
            <w:r>
              <w:rPr>
                <w:rFonts w:hint="eastAsia" w:ascii="宋体" w:hAnsi="宋体"/>
                <w:b/>
                <w:bCs/>
                <w:color w:val="auto"/>
                <w:kern w:val="0"/>
                <w:sz w:val="20"/>
                <w:szCs w:val="20"/>
              </w:rPr>
              <w:t>类别</w:t>
            </w:r>
          </w:p>
        </w:tc>
        <w:tc>
          <w:tcPr>
            <w:tcW w:w="7392" w:type="dxa"/>
            <w:noWrap w:val="0"/>
            <w:vAlign w:val="center"/>
          </w:tcPr>
          <w:p w14:paraId="0E6074DF">
            <w:pPr>
              <w:widowControl/>
              <w:spacing w:line="240" w:lineRule="exact"/>
              <w:jc w:val="center"/>
              <w:rPr>
                <w:rFonts w:hint="eastAsia" w:ascii="宋体" w:hAnsi="宋体"/>
                <w:b/>
                <w:bCs/>
                <w:color w:val="auto"/>
                <w:kern w:val="0"/>
                <w:sz w:val="20"/>
                <w:szCs w:val="20"/>
              </w:rPr>
            </w:pPr>
            <w:r>
              <w:rPr>
                <w:rFonts w:hint="eastAsia" w:ascii="宋体" w:hAnsi="宋体"/>
                <w:b/>
                <w:bCs/>
                <w:color w:val="auto"/>
                <w:kern w:val="0"/>
                <w:sz w:val="20"/>
                <w:szCs w:val="20"/>
              </w:rPr>
              <w:t>项</w:t>
            </w:r>
            <w:r>
              <w:rPr>
                <w:rFonts w:ascii="宋体" w:hAnsi="宋体"/>
                <w:b/>
                <w:bCs/>
                <w:color w:val="auto"/>
                <w:kern w:val="0"/>
                <w:sz w:val="20"/>
                <w:szCs w:val="20"/>
              </w:rPr>
              <w:t xml:space="preserve">        </w:t>
            </w:r>
            <w:r>
              <w:rPr>
                <w:rFonts w:hint="eastAsia" w:ascii="宋体" w:hAnsi="宋体"/>
                <w:b/>
                <w:bCs/>
                <w:color w:val="auto"/>
                <w:kern w:val="0"/>
                <w:sz w:val="20"/>
                <w:szCs w:val="20"/>
              </w:rPr>
              <w:t>目</w:t>
            </w:r>
          </w:p>
        </w:tc>
        <w:tc>
          <w:tcPr>
            <w:tcW w:w="1418" w:type="dxa"/>
            <w:noWrap w:val="0"/>
            <w:vAlign w:val="center"/>
          </w:tcPr>
          <w:p w14:paraId="60385D3C">
            <w:pPr>
              <w:widowControl/>
              <w:spacing w:line="240" w:lineRule="exact"/>
              <w:jc w:val="center"/>
              <w:rPr>
                <w:rFonts w:hint="eastAsia" w:ascii="宋体" w:hAnsi="宋体"/>
                <w:b/>
                <w:bCs/>
                <w:color w:val="auto"/>
                <w:kern w:val="0"/>
                <w:sz w:val="20"/>
                <w:szCs w:val="20"/>
              </w:rPr>
            </w:pPr>
            <w:r>
              <w:rPr>
                <w:rFonts w:hint="eastAsia" w:ascii="宋体" w:hAnsi="宋体"/>
                <w:b/>
                <w:bCs/>
                <w:color w:val="auto"/>
                <w:kern w:val="0"/>
                <w:sz w:val="20"/>
                <w:szCs w:val="20"/>
              </w:rPr>
              <w:t>金</w:t>
            </w:r>
            <w:r>
              <w:rPr>
                <w:rFonts w:ascii="宋体" w:hAnsi="宋体"/>
                <w:b/>
                <w:bCs/>
                <w:color w:val="auto"/>
                <w:kern w:val="0"/>
                <w:sz w:val="20"/>
                <w:szCs w:val="20"/>
              </w:rPr>
              <w:t xml:space="preserve">    </w:t>
            </w:r>
            <w:r>
              <w:rPr>
                <w:rFonts w:hint="eastAsia" w:ascii="宋体" w:hAnsi="宋体"/>
                <w:b/>
                <w:bCs/>
                <w:color w:val="auto"/>
                <w:kern w:val="0"/>
                <w:sz w:val="20"/>
                <w:szCs w:val="20"/>
              </w:rPr>
              <w:t>额</w:t>
            </w:r>
          </w:p>
        </w:tc>
      </w:tr>
      <w:tr w14:paraId="3EE22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6CD8C161">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w:t>
            </w:r>
          </w:p>
        </w:tc>
        <w:tc>
          <w:tcPr>
            <w:tcW w:w="620" w:type="dxa"/>
            <w:vMerge w:val="restart"/>
            <w:noWrap w:val="0"/>
            <w:vAlign w:val="center"/>
          </w:tcPr>
          <w:p w14:paraId="27D7F96D">
            <w:pPr>
              <w:widowControl/>
              <w:spacing w:line="240" w:lineRule="exact"/>
              <w:jc w:val="center"/>
              <w:rPr>
                <w:rFonts w:hint="eastAsia" w:ascii="宋体" w:hAnsi="宋体"/>
                <w:color w:val="auto"/>
                <w:kern w:val="0"/>
                <w:sz w:val="20"/>
                <w:szCs w:val="20"/>
              </w:rPr>
            </w:pPr>
            <w:r>
              <w:rPr>
                <w:rFonts w:hint="eastAsia" w:ascii="宋体" w:hAnsi="宋体"/>
                <w:color w:val="auto"/>
                <w:kern w:val="0"/>
                <w:sz w:val="20"/>
                <w:szCs w:val="20"/>
              </w:rPr>
              <w:t>利润总额计算</w:t>
            </w:r>
          </w:p>
        </w:tc>
        <w:tc>
          <w:tcPr>
            <w:tcW w:w="7392" w:type="dxa"/>
            <w:noWrap w:val="0"/>
            <w:vAlign w:val="center"/>
          </w:tcPr>
          <w:p w14:paraId="725C1B96">
            <w:pPr>
              <w:widowControl/>
              <w:spacing w:line="240" w:lineRule="exact"/>
              <w:jc w:val="left"/>
              <w:rPr>
                <w:rFonts w:hint="eastAsia" w:ascii="宋体" w:hAnsi="宋体" w:eastAsia="宋体"/>
                <w:color w:val="auto"/>
                <w:kern w:val="0"/>
                <w:sz w:val="20"/>
                <w:szCs w:val="20"/>
              </w:rPr>
            </w:pPr>
            <w:r>
              <w:rPr>
                <w:rFonts w:hint="eastAsia" w:ascii="宋体" w:hAnsi="宋体"/>
                <w:color w:val="auto"/>
                <w:kern w:val="0"/>
                <w:sz w:val="20"/>
                <w:szCs w:val="20"/>
              </w:rPr>
              <w:t>一、营业收入（填写</w:t>
            </w:r>
            <w:r>
              <w:rPr>
                <w:rFonts w:ascii="宋体" w:hAnsi="宋体"/>
                <w:color w:val="auto"/>
                <w:kern w:val="0"/>
                <w:sz w:val="20"/>
                <w:szCs w:val="20"/>
              </w:rPr>
              <w:t>A1010</w:t>
            </w:r>
            <w:r>
              <w:rPr>
                <w:rFonts w:hint="eastAsia" w:ascii="宋体" w:hAnsi="宋体"/>
                <w:color w:val="auto"/>
                <w:kern w:val="0"/>
                <w:sz w:val="20"/>
                <w:szCs w:val="20"/>
              </w:rPr>
              <w:t>1</w:t>
            </w:r>
            <w:r>
              <w:rPr>
                <w:rFonts w:ascii="宋体" w:hAnsi="宋体"/>
                <w:color w:val="auto"/>
                <w:kern w:val="0"/>
                <w:sz w:val="20"/>
                <w:szCs w:val="20"/>
              </w:rPr>
              <w:t>0</w:t>
            </w:r>
            <w:r>
              <w:rPr>
                <w:rFonts w:hint="eastAsia" w:ascii="宋体" w:hAnsi="宋体"/>
                <w:color w:val="auto"/>
                <w:kern w:val="0"/>
                <w:sz w:val="20"/>
                <w:szCs w:val="20"/>
              </w:rPr>
              <w:t>/</w:t>
            </w:r>
            <w:r>
              <w:rPr>
                <w:rFonts w:ascii="宋体" w:hAnsi="宋体"/>
                <w:color w:val="auto"/>
                <w:kern w:val="0"/>
                <w:sz w:val="20"/>
                <w:szCs w:val="20"/>
              </w:rPr>
              <w:t>1010</w:t>
            </w:r>
            <w:r>
              <w:rPr>
                <w:rFonts w:hint="eastAsia" w:ascii="宋体" w:hAnsi="宋体"/>
                <w:color w:val="auto"/>
                <w:kern w:val="0"/>
                <w:sz w:val="20"/>
                <w:szCs w:val="20"/>
              </w:rPr>
              <w:t>2</w:t>
            </w:r>
            <w:r>
              <w:rPr>
                <w:rFonts w:ascii="宋体" w:hAnsi="宋体"/>
                <w:color w:val="auto"/>
                <w:kern w:val="0"/>
                <w:sz w:val="20"/>
                <w:szCs w:val="20"/>
              </w:rPr>
              <w:t>0</w:t>
            </w:r>
            <w:r>
              <w:rPr>
                <w:rFonts w:hint="eastAsia" w:ascii="宋体" w:hAnsi="宋体"/>
                <w:color w:val="auto"/>
                <w:kern w:val="0"/>
                <w:sz w:val="20"/>
                <w:szCs w:val="20"/>
              </w:rPr>
              <w:t>/</w:t>
            </w:r>
            <w:r>
              <w:rPr>
                <w:rFonts w:ascii="宋体" w:hAnsi="宋体"/>
                <w:color w:val="auto"/>
                <w:kern w:val="0"/>
                <w:sz w:val="20"/>
                <w:szCs w:val="20"/>
              </w:rPr>
              <w:t>103000</w:t>
            </w:r>
            <w:r>
              <w:rPr>
                <w:rFonts w:hint="eastAsia" w:ascii="宋体" w:hAnsi="宋体"/>
                <w:color w:val="auto"/>
                <w:kern w:val="0"/>
                <w:sz w:val="20"/>
                <w:szCs w:val="20"/>
              </w:rPr>
              <w:t>）</w:t>
            </w:r>
          </w:p>
        </w:tc>
        <w:tc>
          <w:tcPr>
            <w:tcW w:w="1418" w:type="dxa"/>
            <w:noWrap w:val="0"/>
            <w:vAlign w:val="center"/>
          </w:tcPr>
          <w:p w14:paraId="742361E8">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1D1C5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58FEF34A">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w:t>
            </w:r>
          </w:p>
        </w:tc>
        <w:tc>
          <w:tcPr>
            <w:tcW w:w="620" w:type="dxa"/>
            <w:vMerge w:val="continue"/>
            <w:noWrap w:val="0"/>
            <w:vAlign w:val="center"/>
          </w:tcPr>
          <w:p w14:paraId="4DB597BA">
            <w:pPr>
              <w:widowControl/>
              <w:spacing w:line="240" w:lineRule="exact"/>
              <w:jc w:val="left"/>
              <w:rPr>
                <w:rFonts w:hint="eastAsia" w:ascii="宋体" w:hAnsi="宋体"/>
                <w:color w:val="auto"/>
                <w:kern w:val="0"/>
                <w:sz w:val="20"/>
                <w:szCs w:val="20"/>
              </w:rPr>
            </w:pPr>
          </w:p>
        </w:tc>
        <w:tc>
          <w:tcPr>
            <w:tcW w:w="7392" w:type="dxa"/>
            <w:noWrap w:val="0"/>
            <w:vAlign w:val="center"/>
          </w:tcPr>
          <w:p w14:paraId="2B2D4BCC">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减：营业成本（填写</w:t>
            </w:r>
            <w:r>
              <w:rPr>
                <w:rFonts w:ascii="宋体" w:hAnsi="宋体"/>
                <w:color w:val="auto"/>
                <w:kern w:val="0"/>
                <w:sz w:val="20"/>
                <w:szCs w:val="20"/>
              </w:rPr>
              <w:t>A1020</w:t>
            </w:r>
            <w:r>
              <w:rPr>
                <w:rFonts w:hint="eastAsia" w:ascii="宋体" w:hAnsi="宋体"/>
                <w:color w:val="auto"/>
                <w:kern w:val="0"/>
                <w:sz w:val="20"/>
                <w:szCs w:val="20"/>
              </w:rPr>
              <w:t>1</w:t>
            </w:r>
            <w:r>
              <w:rPr>
                <w:rFonts w:ascii="宋体" w:hAnsi="宋体"/>
                <w:color w:val="auto"/>
                <w:kern w:val="0"/>
                <w:sz w:val="20"/>
                <w:szCs w:val="20"/>
              </w:rPr>
              <w:t>0</w:t>
            </w:r>
            <w:r>
              <w:rPr>
                <w:rFonts w:hint="eastAsia" w:ascii="宋体" w:hAnsi="宋体"/>
                <w:color w:val="auto"/>
                <w:kern w:val="0"/>
                <w:sz w:val="20"/>
                <w:szCs w:val="20"/>
              </w:rPr>
              <w:t>/</w:t>
            </w:r>
            <w:r>
              <w:rPr>
                <w:rFonts w:ascii="宋体" w:hAnsi="宋体"/>
                <w:color w:val="auto"/>
                <w:kern w:val="0"/>
                <w:sz w:val="20"/>
                <w:szCs w:val="20"/>
              </w:rPr>
              <w:t>1020</w:t>
            </w:r>
            <w:r>
              <w:rPr>
                <w:rFonts w:hint="eastAsia" w:ascii="宋体" w:hAnsi="宋体"/>
                <w:color w:val="auto"/>
                <w:kern w:val="0"/>
                <w:sz w:val="20"/>
                <w:szCs w:val="20"/>
              </w:rPr>
              <w:t>2</w:t>
            </w:r>
            <w:r>
              <w:rPr>
                <w:rFonts w:ascii="宋体" w:hAnsi="宋体"/>
                <w:color w:val="auto"/>
                <w:kern w:val="0"/>
                <w:sz w:val="20"/>
                <w:szCs w:val="20"/>
              </w:rPr>
              <w:t>0</w:t>
            </w:r>
            <w:r>
              <w:rPr>
                <w:rFonts w:hint="eastAsia" w:ascii="宋体" w:hAnsi="宋体"/>
                <w:color w:val="auto"/>
                <w:kern w:val="0"/>
                <w:sz w:val="20"/>
                <w:szCs w:val="20"/>
              </w:rPr>
              <w:t>/</w:t>
            </w:r>
            <w:r>
              <w:rPr>
                <w:rFonts w:ascii="宋体" w:hAnsi="宋体"/>
                <w:color w:val="auto"/>
                <w:kern w:val="0"/>
                <w:sz w:val="20"/>
                <w:szCs w:val="20"/>
              </w:rPr>
              <w:t>103000</w:t>
            </w:r>
            <w:r>
              <w:rPr>
                <w:rFonts w:hint="eastAsia" w:ascii="宋体" w:hAnsi="宋体"/>
                <w:color w:val="auto"/>
                <w:kern w:val="0"/>
                <w:sz w:val="20"/>
                <w:szCs w:val="20"/>
              </w:rPr>
              <w:t>）</w:t>
            </w:r>
          </w:p>
        </w:tc>
        <w:tc>
          <w:tcPr>
            <w:tcW w:w="1418" w:type="dxa"/>
            <w:noWrap w:val="0"/>
            <w:vAlign w:val="center"/>
          </w:tcPr>
          <w:p w14:paraId="736D380B">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60D3B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09C47096">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w:t>
            </w:r>
          </w:p>
        </w:tc>
        <w:tc>
          <w:tcPr>
            <w:tcW w:w="620" w:type="dxa"/>
            <w:vMerge w:val="continue"/>
            <w:noWrap w:val="0"/>
            <w:vAlign w:val="center"/>
          </w:tcPr>
          <w:p w14:paraId="3A30C952">
            <w:pPr>
              <w:widowControl/>
              <w:spacing w:line="240" w:lineRule="exact"/>
              <w:jc w:val="left"/>
              <w:rPr>
                <w:rFonts w:hint="eastAsia" w:ascii="宋体" w:hAnsi="宋体"/>
                <w:color w:val="auto"/>
                <w:kern w:val="0"/>
                <w:sz w:val="20"/>
                <w:szCs w:val="20"/>
              </w:rPr>
            </w:pPr>
          </w:p>
        </w:tc>
        <w:tc>
          <w:tcPr>
            <w:tcW w:w="7392" w:type="dxa"/>
            <w:noWrap w:val="0"/>
            <w:vAlign w:val="center"/>
          </w:tcPr>
          <w:p w14:paraId="5C6E5B68">
            <w:pPr>
              <w:widowControl/>
              <w:spacing w:line="240" w:lineRule="exact"/>
              <w:ind w:firstLine="400" w:firstLineChars="200"/>
              <w:jc w:val="left"/>
              <w:rPr>
                <w:rFonts w:hint="eastAsia" w:ascii="宋体" w:hAnsi="宋体"/>
                <w:color w:val="auto"/>
                <w:kern w:val="0"/>
                <w:sz w:val="20"/>
                <w:szCs w:val="20"/>
              </w:rPr>
            </w:pPr>
            <w:r>
              <w:rPr>
                <w:rFonts w:hint="eastAsia" w:ascii="宋体" w:hAnsi="宋体"/>
                <w:color w:val="auto"/>
                <w:kern w:val="0"/>
                <w:sz w:val="20"/>
                <w:szCs w:val="20"/>
              </w:rPr>
              <w:t>减：税金及附加</w:t>
            </w:r>
          </w:p>
        </w:tc>
        <w:tc>
          <w:tcPr>
            <w:tcW w:w="1418" w:type="dxa"/>
            <w:noWrap w:val="0"/>
            <w:vAlign w:val="center"/>
          </w:tcPr>
          <w:p w14:paraId="1CF4C756">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421A6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32264C06">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4</w:t>
            </w:r>
          </w:p>
        </w:tc>
        <w:tc>
          <w:tcPr>
            <w:tcW w:w="620" w:type="dxa"/>
            <w:vMerge w:val="continue"/>
            <w:noWrap w:val="0"/>
            <w:vAlign w:val="center"/>
          </w:tcPr>
          <w:p w14:paraId="4CBF1932">
            <w:pPr>
              <w:widowControl/>
              <w:spacing w:line="240" w:lineRule="exact"/>
              <w:jc w:val="left"/>
              <w:rPr>
                <w:rFonts w:hint="eastAsia" w:ascii="宋体" w:hAnsi="宋体"/>
                <w:color w:val="auto"/>
                <w:kern w:val="0"/>
                <w:sz w:val="20"/>
                <w:szCs w:val="20"/>
              </w:rPr>
            </w:pPr>
          </w:p>
        </w:tc>
        <w:tc>
          <w:tcPr>
            <w:tcW w:w="7392" w:type="dxa"/>
            <w:noWrap w:val="0"/>
            <w:vAlign w:val="center"/>
          </w:tcPr>
          <w:p w14:paraId="2109B785">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减：销售费用（填写</w:t>
            </w:r>
            <w:r>
              <w:rPr>
                <w:rFonts w:ascii="宋体" w:hAnsi="宋体"/>
                <w:color w:val="auto"/>
                <w:kern w:val="0"/>
                <w:sz w:val="20"/>
                <w:szCs w:val="20"/>
              </w:rPr>
              <w:t>A104000</w:t>
            </w:r>
            <w:r>
              <w:rPr>
                <w:rFonts w:hint="eastAsia" w:ascii="宋体" w:hAnsi="宋体"/>
                <w:color w:val="auto"/>
                <w:kern w:val="0"/>
                <w:sz w:val="20"/>
                <w:szCs w:val="20"/>
              </w:rPr>
              <w:t>）</w:t>
            </w:r>
          </w:p>
        </w:tc>
        <w:tc>
          <w:tcPr>
            <w:tcW w:w="1418" w:type="dxa"/>
            <w:noWrap w:val="0"/>
            <w:vAlign w:val="center"/>
          </w:tcPr>
          <w:p w14:paraId="7BD6B3D5">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3F8AB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0CD47B1F">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5</w:t>
            </w:r>
          </w:p>
        </w:tc>
        <w:tc>
          <w:tcPr>
            <w:tcW w:w="620" w:type="dxa"/>
            <w:vMerge w:val="continue"/>
            <w:noWrap w:val="0"/>
            <w:vAlign w:val="center"/>
          </w:tcPr>
          <w:p w14:paraId="41E73C8C">
            <w:pPr>
              <w:widowControl/>
              <w:spacing w:line="240" w:lineRule="exact"/>
              <w:jc w:val="left"/>
              <w:rPr>
                <w:rFonts w:hint="eastAsia" w:ascii="宋体" w:hAnsi="宋体"/>
                <w:color w:val="auto"/>
                <w:kern w:val="0"/>
                <w:sz w:val="20"/>
                <w:szCs w:val="20"/>
              </w:rPr>
            </w:pPr>
          </w:p>
        </w:tc>
        <w:tc>
          <w:tcPr>
            <w:tcW w:w="7392" w:type="dxa"/>
            <w:noWrap w:val="0"/>
            <w:vAlign w:val="center"/>
          </w:tcPr>
          <w:p w14:paraId="7F30103A">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减：管理费用（填写</w:t>
            </w:r>
            <w:r>
              <w:rPr>
                <w:rFonts w:ascii="宋体" w:hAnsi="宋体"/>
                <w:color w:val="auto"/>
                <w:kern w:val="0"/>
                <w:sz w:val="20"/>
                <w:szCs w:val="20"/>
              </w:rPr>
              <w:t>A104000</w:t>
            </w:r>
            <w:r>
              <w:rPr>
                <w:rFonts w:hint="eastAsia" w:ascii="宋体" w:hAnsi="宋体"/>
                <w:color w:val="auto"/>
                <w:kern w:val="0"/>
                <w:sz w:val="20"/>
                <w:szCs w:val="20"/>
              </w:rPr>
              <w:t>）</w:t>
            </w:r>
          </w:p>
        </w:tc>
        <w:tc>
          <w:tcPr>
            <w:tcW w:w="1418" w:type="dxa"/>
            <w:noWrap w:val="0"/>
            <w:vAlign w:val="center"/>
          </w:tcPr>
          <w:p w14:paraId="6F1D3421">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1BF62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4146B61D">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6</w:t>
            </w:r>
          </w:p>
        </w:tc>
        <w:tc>
          <w:tcPr>
            <w:tcW w:w="620" w:type="dxa"/>
            <w:vMerge w:val="continue"/>
            <w:noWrap w:val="0"/>
            <w:vAlign w:val="center"/>
          </w:tcPr>
          <w:p w14:paraId="2DE965D8">
            <w:pPr>
              <w:widowControl/>
              <w:spacing w:line="240" w:lineRule="exact"/>
              <w:jc w:val="left"/>
              <w:rPr>
                <w:rFonts w:hint="eastAsia" w:ascii="宋体" w:hAnsi="宋体"/>
                <w:color w:val="auto"/>
                <w:kern w:val="0"/>
                <w:sz w:val="20"/>
                <w:szCs w:val="20"/>
              </w:rPr>
            </w:pPr>
          </w:p>
        </w:tc>
        <w:tc>
          <w:tcPr>
            <w:tcW w:w="7392" w:type="dxa"/>
            <w:noWrap w:val="0"/>
            <w:vAlign w:val="center"/>
          </w:tcPr>
          <w:p w14:paraId="61ECE093">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减：研发费用（填写</w:t>
            </w:r>
            <w:r>
              <w:rPr>
                <w:rFonts w:ascii="宋体" w:hAnsi="宋体"/>
                <w:color w:val="auto"/>
                <w:kern w:val="0"/>
                <w:sz w:val="20"/>
                <w:szCs w:val="20"/>
              </w:rPr>
              <w:t>A104000</w:t>
            </w:r>
            <w:r>
              <w:rPr>
                <w:rFonts w:hint="eastAsia" w:ascii="宋体" w:hAnsi="宋体"/>
                <w:color w:val="auto"/>
                <w:kern w:val="0"/>
                <w:sz w:val="20"/>
                <w:szCs w:val="20"/>
              </w:rPr>
              <w:t>）</w:t>
            </w:r>
          </w:p>
        </w:tc>
        <w:tc>
          <w:tcPr>
            <w:tcW w:w="1418" w:type="dxa"/>
            <w:noWrap w:val="0"/>
            <w:vAlign w:val="center"/>
          </w:tcPr>
          <w:p w14:paraId="6F445413">
            <w:pPr>
              <w:widowControl/>
              <w:spacing w:line="240" w:lineRule="exact"/>
              <w:jc w:val="right"/>
              <w:rPr>
                <w:rFonts w:hint="eastAsia" w:ascii="宋体" w:hAnsi="宋体"/>
                <w:color w:val="auto"/>
                <w:kern w:val="0"/>
                <w:sz w:val="20"/>
                <w:szCs w:val="20"/>
              </w:rPr>
            </w:pPr>
          </w:p>
        </w:tc>
      </w:tr>
      <w:tr w14:paraId="2D515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6169040D">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7</w:t>
            </w:r>
          </w:p>
        </w:tc>
        <w:tc>
          <w:tcPr>
            <w:tcW w:w="620" w:type="dxa"/>
            <w:vMerge w:val="continue"/>
            <w:noWrap w:val="0"/>
            <w:vAlign w:val="center"/>
          </w:tcPr>
          <w:p w14:paraId="03130511">
            <w:pPr>
              <w:widowControl/>
              <w:spacing w:line="240" w:lineRule="exact"/>
              <w:jc w:val="left"/>
              <w:rPr>
                <w:rFonts w:hint="eastAsia" w:ascii="宋体" w:hAnsi="宋体"/>
                <w:color w:val="auto"/>
                <w:kern w:val="0"/>
                <w:sz w:val="20"/>
                <w:szCs w:val="20"/>
              </w:rPr>
            </w:pPr>
          </w:p>
        </w:tc>
        <w:tc>
          <w:tcPr>
            <w:tcW w:w="7392" w:type="dxa"/>
            <w:noWrap w:val="0"/>
            <w:vAlign w:val="center"/>
          </w:tcPr>
          <w:p w14:paraId="32814BA5">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减：财务费用（填写</w:t>
            </w:r>
            <w:r>
              <w:rPr>
                <w:rFonts w:ascii="宋体" w:hAnsi="宋体"/>
                <w:color w:val="auto"/>
                <w:kern w:val="0"/>
                <w:sz w:val="20"/>
                <w:szCs w:val="20"/>
              </w:rPr>
              <w:t>A104000</w:t>
            </w:r>
            <w:r>
              <w:rPr>
                <w:rFonts w:hint="eastAsia" w:ascii="宋体" w:hAnsi="宋体"/>
                <w:color w:val="auto"/>
                <w:kern w:val="0"/>
                <w:sz w:val="20"/>
                <w:szCs w:val="20"/>
              </w:rPr>
              <w:t>）</w:t>
            </w:r>
          </w:p>
        </w:tc>
        <w:tc>
          <w:tcPr>
            <w:tcW w:w="1418" w:type="dxa"/>
            <w:noWrap w:val="0"/>
            <w:vAlign w:val="center"/>
          </w:tcPr>
          <w:p w14:paraId="575B03D7">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6C640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49B40270">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8</w:t>
            </w:r>
          </w:p>
        </w:tc>
        <w:tc>
          <w:tcPr>
            <w:tcW w:w="620" w:type="dxa"/>
            <w:vMerge w:val="continue"/>
            <w:noWrap w:val="0"/>
            <w:vAlign w:val="center"/>
          </w:tcPr>
          <w:p w14:paraId="2012351F">
            <w:pPr>
              <w:widowControl/>
              <w:spacing w:line="240" w:lineRule="exact"/>
              <w:jc w:val="left"/>
              <w:rPr>
                <w:rFonts w:hint="eastAsia" w:ascii="宋体" w:hAnsi="宋体"/>
                <w:color w:val="auto"/>
                <w:kern w:val="0"/>
                <w:sz w:val="20"/>
                <w:szCs w:val="20"/>
              </w:rPr>
            </w:pPr>
          </w:p>
        </w:tc>
        <w:tc>
          <w:tcPr>
            <w:tcW w:w="7392" w:type="dxa"/>
            <w:noWrap w:val="0"/>
            <w:vAlign w:val="center"/>
          </w:tcPr>
          <w:p w14:paraId="7761EF24">
            <w:pPr>
              <w:widowControl/>
              <w:spacing w:line="240" w:lineRule="exact"/>
              <w:ind w:firstLine="400" w:firstLineChars="200"/>
              <w:jc w:val="left"/>
              <w:rPr>
                <w:rFonts w:hint="eastAsia" w:ascii="宋体" w:hAnsi="宋体"/>
                <w:color w:val="auto"/>
                <w:kern w:val="0"/>
                <w:sz w:val="20"/>
                <w:szCs w:val="20"/>
              </w:rPr>
            </w:pPr>
            <w:r>
              <w:rPr>
                <w:rFonts w:hint="eastAsia" w:ascii="宋体" w:hAnsi="宋体"/>
                <w:color w:val="auto"/>
                <w:kern w:val="0"/>
                <w:sz w:val="20"/>
                <w:szCs w:val="20"/>
              </w:rPr>
              <w:t>加：其他收益</w:t>
            </w:r>
          </w:p>
        </w:tc>
        <w:tc>
          <w:tcPr>
            <w:tcW w:w="1418" w:type="dxa"/>
            <w:noWrap w:val="0"/>
            <w:vAlign w:val="center"/>
          </w:tcPr>
          <w:p w14:paraId="4CE37D84">
            <w:pPr>
              <w:widowControl/>
              <w:spacing w:line="240" w:lineRule="exact"/>
              <w:jc w:val="right"/>
              <w:rPr>
                <w:rFonts w:hint="eastAsia" w:ascii="宋体" w:hAnsi="宋体"/>
                <w:color w:val="auto"/>
                <w:kern w:val="0"/>
                <w:sz w:val="20"/>
                <w:szCs w:val="20"/>
              </w:rPr>
            </w:pPr>
          </w:p>
        </w:tc>
      </w:tr>
      <w:tr w14:paraId="18D43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620" w:type="dxa"/>
            <w:noWrap w:val="0"/>
            <w:vAlign w:val="center"/>
          </w:tcPr>
          <w:p w14:paraId="230B932A">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9</w:t>
            </w:r>
          </w:p>
        </w:tc>
        <w:tc>
          <w:tcPr>
            <w:tcW w:w="620" w:type="dxa"/>
            <w:vMerge w:val="continue"/>
            <w:noWrap w:val="0"/>
            <w:vAlign w:val="center"/>
          </w:tcPr>
          <w:p w14:paraId="4FA1D7AC">
            <w:pPr>
              <w:widowControl/>
              <w:spacing w:line="240" w:lineRule="exact"/>
              <w:jc w:val="left"/>
              <w:rPr>
                <w:rFonts w:hint="eastAsia" w:ascii="宋体" w:hAnsi="宋体"/>
                <w:color w:val="auto"/>
                <w:kern w:val="0"/>
                <w:sz w:val="20"/>
                <w:szCs w:val="20"/>
              </w:rPr>
            </w:pPr>
          </w:p>
        </w:tc>
        <w:tc>
          <w:tcPr>
            <w:tcW w:w="7392" w:type="dxa"/>
            <w:noWrap w:val="0"/>
            <w:vAlign w:val="center"/>
          </w:tcPr>
          <w:p w14:paraId="5A644450">
            <w:pPr>
              <w:widowControl/>
              <w:spacing w:line="240" w:lineRule="exact"/>
              <w:ind w:firstLine="400" w:firstLineChars="200"/>
              <w:jc w:val="left"/>
              <w:rPr>
                <w:rFonts w:hint="eastAsia" w:ascii="宋体" w:hAnsi="宋体"/>
                <w:color w:val="auto"/>
                <w:kern w:val="0"/>
                <w:sz w:val="20"/>
                <w:szCs w:val="20"/>
              </w:rPr>
            </w:pPr>
            <w:r>
              <w:rPr>
                <w:rFonts w:hint="eastAsia" w:ascii="宋体" w:hAnsi="宋体"/>
                <w:color w:val="auto"/>
                <w:kern w:val="0"/>
                <w:sz w:val="20"/>
                <w:szCs w:val="20"/>
              </w:rPr>
              <w:t>加：投资收益（损失以‘－’号填列）</w:t>
            </w:r>
          </w:p>
        </w:tc>
        <w:tc>
          <w:tcPr>
            <w:tcW w:w="1418" w:type="dxa"/>
            <w:noWrap w:val="0"/>
            <w:vAlign w:val="center"/>
          </w:tcPr>
          <w:p w14:paraId="02130DB9">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6EAD3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73D8F3A2">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10</w:t>
            </w:r>
          </w:p>
        </w:tc>
        <w:tc>
          <w:tcPr>
            <w:tcW w:w="620" w:type="dxa"/>
            <w:vMerge w:val="continue"/>
            <w:noWrap w:val="0"/>
            <w:vAlign w:val="center"/>
          </w:tcPr>
          <w:p w14:paraId="7E448C35">
            <w:pPr>
              <w:widowControl/>
              <w:spacing w:line="240" w:lineRule="exact"/>
              <w:jc w:val="left"/>
              <w:rPr>
                <w:rFonts w:hint="eastAsia" w:ascii="宋体" w:hAnsi="宋体"/>
                <w:color w:val="auto"/>
                <w:kern w:val="0"/>
                <w:sz w:val="20"/>
                <w:szCs w:val="20"/>
              </w:rPr>
            </w:pPr>
          </w:p>
        </w:tc>
        <w:tc>
          <w:tcPr>
            <w:tcW w:w="7392" w:type="dxa"/>
            <w:noWrap w:val="0"/>
            <w:vAlign w:val="center"/>
          </w:tcPr>
          <w:p w14:paraId="250A145D">
            <w:pPr>
              <w:widowControl/>
              <w:spacing w:line="240" w:lineRule="exact"/>
              <w:ind w:firstLine="400" w:firstLineChars="200"/>
              <w:jc w:val="left"/>
              <w:rPr>
                <w:rFonts w:hint="eastAsia" w:ascii="宋体" w:hAnsi="宋体"/>
                <w:color w:val="auto"/>
                <w:kern w:val="0"/>
                <w:sz w:val="20"/>
                <w:szCs w:val="20"/>
              </w:rPr>
            </w:pPr>
            <w:r>
              <w:rPr>
                <w:rFonts w:hint="eastAsia" w:ascii="宋体" w:hAnsi="宋体"/>
                <w:color w:val="auto"/>
                <w:kern w:val="0"/>
                <w:sz w:val="20"/>
                <w:szCs w:val="20"/>
              </w:rPr>
              <w:t>加：净敞口套期收益（损失以‘－’号填列）</w:t>
            </w:r>
          </w:p>
        </w:tc>
        <w:tc>
          <w:tcPr>
            <w:tcW w:w="1418" w:type="dxa"/>
            <w:noWrap w:val="0"/>
            <w:vAlign w:val="center"/>
          </w:tcPr>
          <w:p w14:paraId="4E8C8D04">
            <w:pPr>
              <w:widowControl/>
              <w:spacing w:line="240" w:lineRule="exact"/>
              <w:jc w:val="right"/>
              <w:rPr>
                <w:rFonts w:hint="eastAsia" w:ascii="宋体" w:hAnsi="宋体"/>
                <w:color w:val="auto"/>
                <w:kern w:val="0"/>
                <w:sz w:val="20"/>
                <w:szCs w:val="20"/>
              </w:rPr>
            </w:pPr>
          </w:p>
        </w:tc>
      </w:tr>
      <w:tr w14:paraId="16C1B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6F52F7E0">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11</w:t>
            </w:r>
          </w:p>
        </w:tc>
        <w:tc>
          <w:tcPr>
            <w:tcW w:w="620" w:type="dxa"/>
            <w:vMerge w:val="continue"/>
            <w:noWrap w:val="0"/>
            <w:vAlign w:val="center"/>
          </w:tcPr>
          <w:p w14:paraId="75FE186D">
            <w:pPr>
              <w:widowControl/>
              <w:spacing w:line="240" w:lineRule="exact"/>
              <w:jc w:val="left"/>
              <w:rPr>
                <w:rFonts w:hint="eastAsia" w:ascii="宋体" w:hAnsi="宋体"/>
                <w:color w:val="auto"/>
                <w:kern w:val="0"/>
                <w:sz w:val="20"/>
                <w:szCs w:val="20"/>
              </w:rPr>
            </w:pPr>
          </w:p>
        </w:tc>
        <w:tc>
          <w:tcPr>
            <w:tcW w:w="7392" w:type="dxa"/>
            <w:noWrap w:val="0"/>
            <w:vAlign w:val="center"/>
          </w:tcPr>
          <w:p w14:paraId="442515D9">
            <w:pPr>
              <w:widowControl/>
              <w:spacing w:line="240" w:lineRule="exact"/>
              <w:ind w:firstLine="400" w:firstLineChars="200"/>
              <w:jc w:val="left"/>
              <w:rPr>
                <w:rFonts w:hint="eastAsia" w:ascii="宋体" w:hAnsi="宋体"/>
                <w:color w:val="auto"/>
                <w:kern w:val="0"/>
                <w:sz w:val="20"/>
                <w:szCs w:val="20"/>
              </w:rPr>
            </w:pPr>
            <w:r>
              <w:rPr>
                <w:rFonts w:hint="eastAsia" w:ascii="宋体" w:hAnsi="宋体"/>
                <w:color w:val="auto"/>
                <w:kern w:val="0"/>
                <w:sz w:val="20"/>
                <w:szCs w:val="20"/>
              </w:rPr>
              <w:t>加：公允价值变动收益（损失以‘－’号填列）</w:t>
            </w:r>
          </w:p>
        </w:tc>
        <w:tc>
          <w:tcPr>
            <w:tcW w:w="1418" w:type="dxa"/>
            <w:noWrap w:val="0"/>
            <w:vAlign w:val="center"/>
          </w:tcPr>
          <w:p w14:paraId="2633DEB1">
            <w:pPr>
              <w:widowControl/>
              <w:spacing w:line="240" w:lineRule="exact"/>
              <w:jc w:val="right"/>
              <w:rPr>
                <w:rFonts w:hint="eastAsia" w:ascii="宋体" w:hAnsi="宋体"/>
                <w:color w:val="auto"/>
                <w:kern w:val="0"/>
                <w:sz w:val="20"/>
                <w:szCs w:val="20"/>
              </w:rPr>
            </w:pPr>
          </w:p>
        </w:tc>
      </w:tr>
      <w:tr w14:paraId="661CC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04EC5781">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12</w:t>
            </w:r>
          </w:p>
        </w:tc>
        <w:tc>
          <w:tcPr>
            <w:tcW w:w="620" w:type="dxa"/>
            <w:vMerge w:val="continue"/>
            <w:noWrap w:val="0"/>
            <w:vAlign w:val="center"/>
          </w:tcPr>
          <w:p w14:paraId="69A80BE9">
            <w:pPr>
              <w:widowControl/>
              <w:spacing w:line="240" w:lineRule="exact"/>
              <w:jc w:val="left"/>
              <w:rPr>
                <w:rFonts w:hint="eastAsia" w:ascii="宋体" w:hAnsi="宋体"/>
                <w:color w:val="auto"/>
                <w:kern w:val="0"/>
                <w:sz w:val="20"/>
                <w:szCs w:val="20"/>
              </w:rPr>
            </w:pPr>
          </w:p>
        </w:tc>
        <w:tc>
          <w:tcPr>
            <w:tcW w:w="7392" w:type="dxa"/>
            <w:noWrap w:val="0"/>
            <w:vAlign w:val="center"/>
          </w:tcPr>
          <w:p w14:paraId="107A2628">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加：信用减值损失（损失以‘－’号填列）</w:t>
            </w:r>
          </w:p>
        </w:tc>
        <w:tc>
          <w:tcPr>
            <w:tcW w:w="1418" w:type="dxa"/>
            <w:noWrap w:val="0"/>
            <w:vAlign w:val="center"/>
          </w:tcPr>
          <w:p w14:paraId="69E44AAF">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20B3B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0" w:type="dxa"/>
            <w:noWrap w:val="0"/>
            <w:vAlign w:val="center"/>
          </w:tcPr>
          <w:p w14:paraId="5C4CE282">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13</w:t>
            </w:r>
          </w:p>
        </w:tc>
        <w:tc>
          <w:tcPr>
            <w:tcW w:w="620" w:type="dxa"/>
            <w:vMerge w:val="continue"/>
            <w:noWrap w:val="0"/>
            <w:vAlign w:val="center"/>
          </w:tcPr>
          <w:p w14:paraId="2A625596">
            <w:pPr>
              <w:widowControl/>
              <w:spacing w:line="240" w:lineRule="exact"/>
              <w:jc w:val="left"/>
              <w:rPr>
                <w:rFonts w:hint="eastAsia" w:ascii="宋体" w:hAnsi="宋体"/>
                <w:color w:val="auto"/>
                <w:kern w:val="0"/>
                <w:sz w:val="20"/>
                <w:szCs w:val="20"/>
              </w:rPr>
            </w:pPr>
          </w:p>
        </w:tc>
        <w:tc>
          <w:tcPr>
            <w:tcW w:w="7392" w:type="dxa"/>
            <w:noWrap w:val="0"/>
            <w:vAlign w:val="center"/>
          </w:tcPr>
          <w:p w14:paraId="3162AE6C">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加：资产减值损失（损失以‘－’号填列）</w:t>
            </w:r>
          </w:p>
        </w:tc>
        <w:tc>
          <w:tcPr>
            <w:tcW w:w="1418" w:type="dxa"/>
            <w:noWrap w:val="0"/>
            <w:vAlign w:val="center"/>
          </w:tcPr>
          <w:p w14:paraId="0E27C836">
            <w:pPr>
              <w:widowControl/>
              <w:spacing w:line="240" w:lineRule="exact"/>
              <w:jc w:val="right"/>
              <w:rPr>
                <w:rFonts w:hint="eastAsia" w:ascii="宋体" w:hAnsi="宋体"/>
                <w:color w:val="auto"/>
                <w:kern w:val="0"/>
                <w:sz w:val="20"/>
                <w:szCs w:val="20"/>
              </w:rPr>
            </w:pPr>
          </w:p>
        </w:tc>
      </w:tr>
      <w:tr w14:paraId="15CDF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24B0BC8C">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14</w:t>
            </w:r>
          </w:p>
        </w:tc>
        <w:tc>
          <w:tcPr>
            <w:tcW w:w="620" w:type="dxa"/>
            <w:vMerge w:val="continue"/>
            <w:noWrap w:val="0"/>
            <w:vAlign w:val="center"/>
          </w:tcPr>
          <w:p w14:paraId="65A93FA1">
            <w:pPr>
              <w:widowControl/>
              <w:spacing w:line="240" w:lineRule="exact"/>
              <w:jc w:val="left"/>
              <w:rPr>
                <w:rFonts w:hint="eastAsia" w:ascii="宋体" w:hAnsi="宋体"/>
                <w:color w:val="auto"/>
                <w:kern w:val="0"/>
                <w:sz w:val="20"/>
                <w:szCs w:val="20"/>
              </w:rPr>
            </w:pPr>
          </w:p>
        </w:tc>
        <w:tc>
          <w:tcPr>
            <w:tcW w:w="7392" w:type="dxa"/>
            <w:noWrap w:val="0"/>
            <w:vAlign w:val="center"/>
          </w:tcPr>
          <w:p w14:paraId="43E7ECA6">
            <w:pPr>
              <w:widowControl/>
              <w:spacing w:line="240" w:lineRule="exact"/>
              <w:ind w:firstLine="400" w:firstLineChars="200"/>
              <w:jc w:val="left"/>
              <w:rPr>
                <w:rFonts w:hint="eastAsia" w:ascii="宋体" w:hAnsi="宋体"/>
                <w:color w:val="auto"/>
                <w:kern w:val="0"/>
                <w:sz w:val="20"/>
                <w:szCs w:val="20"/>
              </w:rPr>
            </w:pPr>
            <w:r>
              <w:rPr>
                <w:rFonts w:hint="eastAsia" w:ascii="宋体" w:hAnsi="宋体"/>
                <w:color w:val="auto"/>
                <w:kern w:val="0"/>
                <w:sz w:val="20"/>
                <w:szCs w:val="20"/>
              </w:rPr>
              <w:t>加：资产处置收益（损失以‘－’号填列）</w:t>
            </w:r>
          </w:p>
        </w:tc>
        <w:tc>
          <w:tcPr>
            <w:tcW w:w="1418" w:type="dxa"/>
            <w:noWrap w:val="0"/>
            <w:vAlign w:val="center"/>
          </w:tcPr>
          <w:p w14:paraId="14E62D9B">
            <w:pPr>
              <w:widowControl/>
              <w:spacing w:line="240" w:lineRule="exact"/>
              <w:jc w:val="right"/>
              <w:rPr>
                <w:rFonts w:hint="eastAsia" w:ascii="宋体" w:hAnsi="宋体"/>
                <w:color w:val="auto"/>
                <w:kern w:val="0"/>
                <w:sz w:val="20"/>
                <w:szCs w:val="20"/>
              </w:rPr>
            </w:pPr>
          </w:p>
        </w:tc>
      </w:tr>
      <w:tr w14:paraId="4671A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7432B456">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15</w:t>
            </w:r>
          </w:p>
        </w:tc>
        <w:tc>
          <w:tcPr>
            <w:tcW w:w="620" w:type="dxa"/>
            <w:vMerge w:val="continue"/>
            <w:noWrap w:val="0"/>
            <w:vAlign w:val="center"/>
          </w:tcPr>
          <w:p w14:paraId="7F1468F8">
            <w:pPr>
              <w:widowControl/>
              <w:spacing w:line="240" w:lineRule="exact"/>
              <w:jc w:val="left"/>
              <w:rPr>
                <w:rFonts w:hint="eastAsia" w:ascii="宋体" w:hAnsi="宋体"/>
                <w:color w:val="auto"/>
                <w:kern w:val="0"/>
                <w:sz w:val="20"/>
                <w:szCs w:val="20"/>
              </w:rPr>
            </w:pPr>
          </w:p>
        </w:tc>
        <w:tc>
          <w:tcPr>
            <w:tcW w:w="7392" w:type="dxa"/>
            <w:noWrap w:val="0"/>
            <w:vAlign w:val="center"/>
          </w:tcPr>
          <w:p w14:paraId="65123926">
            <w:pPr>
              <w:widowControl/>
              <w:spacing w:line="240" w:lineRule="exact"/>
              <w:jc w:val="left"/>
              <w:rPr>
                <w:rFonts w:hint="eastAsia" w:ascii="宋体" w:hAnsi="宋体"/>
                <w:color w:val="auto"/>
                <w:kern w:val="0"/>
                <w:sz w:val="20"/>
                <w:szCs w:val="20"/>
              </w:rPr>
            </w:pPr>
            <w:r>
              <w:rPr>
                <w:rFonts w:hint="eastAsia" w:ascii="宋体" w:hAnsi="宋体"/>
                <w:color w:val="auto"/>
                <w:kern w:val="0"/>
                <w:sz w:val="20"/>
                <w:szCs w:val="20"/>
              </w:rPr>
              <w:t>二、营业利润（亏损以‘－’号填列）</w:t>
            </w:r>
          </w:p>
        </w:tc>
        <w:tc>
          <w:tcPr>
            <w:tcW w:w="1418" w:type="dxa"/>
            <w:noWrap w:val="0"/>
            <w:vAlign w:val="center"/>
          </w:tcPr>
          <w:p w14:paraId="66DDE7D1">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556B0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2A29224B">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16</w:t>
            </w:r>
          </w:p>
        </w:tc>
        <w:tc>
          <w:tcPr>
            <w:tcW w:w="620" w:type="dxa"/>
            <w:vMerge w:val="continue"/>
            <w:noWrap w:val="0"/>
            <w:vAlign w:val="center"/>
          </w:tcPr>
          <w:p w14:paraId="298CE58E">
            <w:pPr>
              <w:widowControl/>
              <w:spacing w:line="240" w:lineRule="exact"/>
              <w:jc w:val="left"/>
              <w:rPr>
                <w:rFonts w:hint="eastAsia" w:ascii="宋体" w:hAnsi="宋体"/>
                <w:color w:val="auto"/>
                <w:kern w:val="0"/>
                <w:sz w:val="20"/>
                <w:szCs w:val="20"/>
              </w:rPr>
            </w:pPr>
          </w:p>
        </w:tc>
        <w:tc>
          <w:tcPr>
            <w:tcW w:w="7392" w:type="dxa"/>
            <w:noWrap w:val="0"/>
            <w:vAlign w:val="center"/>
          </w:tcPr>
          <w:p w14:paraId="2BF82096">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加：营业外收入（填写</w:t>
            </w:r>
            <w:r>
              <w:rPr>
                <w:rFonts w:ascii="宋体" w:hAnsi="宋体"/>
                <w:color w:val="auto"/>
                <w:kern w:val="0"/>
                <w:sz w:val="20"/>
                <w:szCs w:val="20"/>
              </w:rPr>
              <w:t>A1010</w:t>
            </w:r>
            <w:r>
              <w:rPr>
                <w:rFonts w:hint="eastAsia" w:ascii="宋体" w:hAnsi="宋体"/>
                <w:color w:val="auto"/>
                <w:kern w:val="0"/>
                <w:sz w:val="20"/>
                <w:szCs w:val="20"/>
              </w:rPr>
              <w:t>1</w:t>
            </w:r>
            <w:r>
              <w:rPr>
                <w:rFonts w:ascii="宋体" w:hAnsi="宋体"/>
                <w:color w:val="auto"/>
                <w:kern w:val="0"/>
                <w:sz w:val="20"/>
                <w:szCs w:val="20"/>
              </w:rPr>
              <w:t>0</w:t>
            </w:r>
            <w:r>
              <w:rPr>
                <w:rFonts w:hint="eastAsia" w:ascii="宋体" w:hAnsi="宋体"/>
                <w:color w:val="auto"/>
                <w:kern w:val="0"/>
                <w:sz w:val="20"/>
                <w:szCs w:val="20"/>
              </w:rPr>
              <w:t>/</w:t>
            </w:r>
            <w:r>
              <w:rPr>
                <w:rFonts w:ascii="宋体" w:hAnsi="宋体"/>
                <w:color w:val="auto"/>
                <w:kern w:val="0"/>
                <w:sz w:val="20"/>
                <w:szCs w:val="20"/>
              </w:rPr>
              <w:t>1010</w:t>
            </w:r>
            <w:r>
              <w:rPr>
                <w:rFonts w:hint="eastAsia" w:ascii="宋体" w:hAnsi="宋体"/>
                <w:color w:val="auto"/>
                <w:kern w:val="0"/>
                <w:sz w:val="20"/>
                <w:szCs w:val="20"/>
              </w:rPr>
              <w:t>2</w:t>
            </w:r>
            <w:r>
              <w:rPr>
                <w:rFonts w:ascii="宋体" w:hAnsi="宋体"/>
                <w:color w:val="auto"/>
                <w:kern w:val="0"/>
                <w:sz w:val="20"/>
                <w:szCs w:val="20"/>
              </w:rPr>
              <w:t>0</w:t>
            </w:r>
            <w:r>
              <w:rPr>
                <w:rFonts w:hint="eastAsia" w:ascii="宋体" w:hAnsi="宋体"/>
                <w:color w:val="auto"/>
                <w:kern w:val="0"/>
                <w:sz w:val="20"/>
                <w:szCs w:val="20"/>
              </w:rPr>
              <w:t>/</w:t>
            </w:r>
            <w:r>
              <w:rPr>
                <w:rFonts w:ascii="宋体" w:hAnsi="宋体"/>
                <w:color w:val="auto"/>
                <w:kern w:val="0"/>
                <w:sz w:val="20"/>
                <w:szCs w:val="20"/>
              </w:rPr>
              <w:t>103000</w:t>
            </w:r>
            <w:r>
              <w:rPr>
                <w:rFonts w:hint="eastAsia" w:ascii="宋体" w:hAnsi="宋体"/>
                <w:color w:val="auto"/>
                <w:kern w:val="0"/>
                <w:sz w:val="20"/>
                <w:szCs w:val="20"/>
              </w:rPr>
              <w:t>）</w:t>
            </w:r>
          </w:p>
        </w:tc>
        <w:tc>
          <w:tcPr>
            <w:tcW w:w="1418" w:type="dxa"/>
            <w:noWrap w:val="0"/>
            <w:vAlign w:val="center"/>
          </w:tcPr>
          <w:p w14:paraId="66EFED9F">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74267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628CD584">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17</w:t>
            </w:r>
          </w:p>
        </w:tc>
        <w:tc>
          <w:tcPr>
            <w:tcW w:w="620" w:type="dxa"/>
            <w:vMerge w:val="continue"/>
            <w:noWrap w:val="0"/>
            <w:vAlign w:val="center"/>
          </w:tcPr>
          <w:p w14:paraId="41F24999">
            <w:pPr>
              <w:widowControl/>
              <w:spacing w:line="240" w:lineRule="exact"/>
              <w:jc w:val="left"/>
              <w:rPr>
                <w:rFonts w:hint="eastAsia" w:ascii="宋体" w:hAnsi="宋体"/>
                <w:color w:val="auto"/>
                <w:kern w:val="0"/>
                <w:sz w:val="20"/>
                <w:szCs w:val="20"/>
              </w:rPr>
            </w:pPr>
          </w:p>
        </w:tc>
        <w:tc>
          <w:tcPr>
            <w:tcW w:w="7392" w:type="dxa"/>
            <w:noWrap w:val="0"/>
            <w:vAlign w:val="center"/>
          </w:tcPr>
          <w:p w14:paraId="40F9B847">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减：营业外支出（填写</w:t>
            </w:r>
            <w:r>
              <w:rPr>
                <w:rFonts w:ascii="宋体" w:hAnsi="宋体"/>
                <w:color w:val="auto"/>
                <w:kern w:val="0"/>
                <w:sz w:val="20"/>
                <w:szCs w:val="20"/>
              </w:rPr>
              <w:t>A10</w:t>
            </w:r>
            <w:r>
              <w:rPr>
                <w:rFonts w:hint="eastAsia" w:ascii="宋体" w:hAnsi="宋体"/>
                <w:color w:val="auto"/>
                <w:kern w:val="0"/>
                <w:sz w:val="20"/>
                <w:szCs w:val="20"/>
                <w:lang w:val="en-US" w:eastAsia="zh-CN"/>
              </w:rPr>
              <w:t>2</w:t>
            </w:r>
            <w:r>
              <w:rPr>
                <w:rFonts w:ascii="宋体" w:hAnsi="宋体"/>
                <w:color w:val="auto"/>
                <w:kern w:val="0"/>
                <w:sz w:val="20"/>
                <w:szCs w:val="20"/>
              </w:rPr>
              <w:t>0</w:t>
            </w:r>
            <w:r>
              <w:rPr>
                <w:rFonts w:hint="eastAsia" w:ascii="宋体" w:hAnsi="宋体"/>
                <w:color w:val="auto"/>
                <w:kern w:val="0"/>
                <w:sz w:val="20"/>
                <w:szCs w:val="20"/>
              </w:rPr>
              <w:t>1</w:t>
            </w:r>
            <w:r>
              <w:rPr>
                <w:rFonts w:ascii="宋体" w:hAnsi="宋体"/>
                <w:color w:val="auto"/>
                <w:kern w:val="0"/>
                <w:sz w:val="20"/>
                <w:szCs w:val="20"/>
              </w:rPr>
              <w:t>0</w:t>
            </w:r>
            <w:r>
              <w:rPr>
                <w:rFonts w:hint="eastAsia" w:ascii="宋体" w:hAnsi="宋体"/>
                <w:color w:val="auto"/>
                <w:kern w:val="0"/>
                <w:sz w:val="20"/>
                <w:szCs w:val="20"/>
              </w:rPr>
              <w:t>/</w:t>
            </w:r>
            <w:r>
              <w:rPr>
                <w:rFonts w:ascii="宋体" w:hAnsi="宋体"/>
                <w:color w:val="auto"/>
                <w:kern w:val="0"/>
                <w:sz w:val="20"/>
                <w:szCs w:val="20"/>
              </w:rPr>
              <w:t>10</w:t>
            </w:r>
            <w:r>
              <w:rPr>
                <w:rFonts w:hint="eastAsia" w:ascii="宋体" w:hAnsi="宋体"/>
                <w:color w:val="auto"/>
                <w:kern w:val="0"/>
                <w:sz w:val="20"/>
                <w:szCs w:val="20"/>
                <w:lang w:val="en-US" w:eastAsia="zh-CN"/>
              </w:rPr>
              <w:t>2</w:t>
            </w:r>
            <w:r>
              <w:rPr>
                <w:rFonts w:ascii="宋体" w:hAnsi="宋体"/>
                <w:color w:val="auto"/>
                <w:kern w:val="0"/>
                <w:sz w:val="20"/>
                <w:szCs w:val="20"/>
              </w:rPr>
              <w:t>0</w:t>
            </w:r>
            <w:r>
              <w:rPr>
                <w:rFonts w:hint="eastAsia" w:ascii="宋体" w:hAnsi="宋体"/>
                <w:color w:val="auto"/>
                <w:kern w:val="0"/>
                <w:sz w:val="20"/>
                <w:szCs w:val="20"/>
              </w:rPr>
              <w:t>2</w:t>
            </w:r>
            <w:r>
              <w:rPr>
                <w:rFonts w:ascii="宋体" w:hAnsi="宋体"/>
                <w:color w:val="auto"/>
                <w:kern w:val="0"/>
                <w:sz w:val="20"/>
                <w:szCs w:val="20"/>
              </w:rPr>
              <w:t>0</w:t>
            </w:r>
            <w:r>
              <w:rPr>
                <w:rFonts w:hint="eastAsia" w:ascii="宋体" w:hAnsi="宋体"/>
                <w:color w:val="auto"/>
                <w:kern w:val="0"/>
                <w:sz w:val="20"/>
                <w:szCs w:val="20"/>
              </w:rPr>
              <w:t>/</w:t>
            </w:r>
            <w:r>
              <w:rPr>
                <w:rFonts w:ascii="宋体" w:hAnsi="宋体"/>
                <w:color w:val="auto"/>
                <w:kern w:val="0"/>
                <w:sz w:val="20"/>
                <w:szCs w:val="20"/>
              </w:rPr>
              <w:t>103000</w:t>
            </w:r>
            <w:r>
              <w:rPr>
                <w:rFonts w:hint="eastAsia" w:ascii="宋体" w:hAnsi="宋体"/>
                <w:color w:val="auto"/>
                <w:kern w:val="0"/>
                <w:sz w:val="20"/>
                <w:szCs w:val="20"/>
              </w:rPr>
              <w:t>）</w:t>
            </w:r>
          </w:p>
        </w:tc>
        <w:tc>
          <w:tcPr>
            <w:tcW w:w="1418" w:type="dxa"/>
            <w:noWrap w:val="0"/>
            <w:vAlign w:val="center"/>
          </w:tcPr>
          <w:p w14:paraId="11AA561C">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6A9D2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2CC68E90">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18</w:t>
            </w:r>
          </w:p>
        </w:tc>
        <w:tc>
          <w:tcPr>
            <w:tcW w:w="620" w:type="dxa"/>
            <w:vMerge w:val="continue"/>
            <w:noWrap w:val="0"/>
            <w:vAlign w:val="center"/>
          </w:tcPr>
          <w:p w14:paraId="495B117B">
            <w:pPr>
              <w:widowControl/>
              <w:spacing w:line="240" w:lineRule="exact"/>
              <w:jc w:val="left"/>
              <w:rPr>
                <w:rFonts w:hint="eastAsia" w:ascii="宋体" w:hAnsi="宋体"/>
                <w:color w:val="auto"/>
                <w:kern w:val="0"/>
                <w:sz w:val="20"/>
                <w:szCs w:val="20"/>
              </w:rPr>
            </w:pPr>
          </w:p>
        </w:tc>
        <w:tc>
          <w:tcPr>
            <w:tcW w:w="7392" w:type="dxa"/>
            <w:noWrap w:val="0"/>
            <w:vAlign w:val="center"/>
          </w:tcPr>
          <w:p w14:paraId="043DDBEA">
            <w:pPr>
              <w:widowControl/>
              <w:spacing w:line="240" w:lineRule="exact"/>
              <w:jc w:val="left"/>
              <w:rPr>
                <w:rFonts w:hint="eastAsia" w:ascii="宋体" w:hAnsi="宋体" w:eastAsia="宋体"/>
                <w:color w:val="auto"/>
                <w:kern w:val="0"/>
                <w:sz w:val="20"/>
                <w:szCs w:val="20"/>
              </w:rPr>
            </w:pPr>
            <w:r>
              <w:rPr>
                <w:rFonts w:hint="eastAsia" w:ascii="宋体" w:hAnsi="宋体"/>
                <w:color w:val="auto"/>
                <w:kern w:val="0"/>
                <w:sz w:val="20"/>
                <w:szCs w:val="20"/>
              </w:rPr>
              <w:t>三、利润总额（</w:t>
            </w:r>
            <w:r>
              <w:rPr>
                <w:rFonts w:ascii="宋体" w:hAnsi="宋体"/>
                <w:color w:val="auto"/>
                <w:kern w:val="0"/>
                <w:sz w:val="20"/>
                <w:szCs w:val="20"/>
              </w:rPr>
              <w:t>15＋16－17</w:t>
            </w:r>
            <w:r>
              <w:rPr>
                <w:rFonts w:hint="eastAsia" w:ascii="宋体" w:hAnsi="宋体"/>
                <w:color w:val="auto"/>
                <w:kern w:val="0"/>
                <w:sz w:val="20"/>
                <w:szCs w:val="20"/>
              </w:rPr>
              <w:t>）</w:t>
            </w:r>
          </w:p>
        </w:tc>
        <w:tc>
          <w:tcPr>
            <w:tcW w:w="1418" w:type="dxa"/>
            <w:noWrap w:val="0"/>
            <w:vAlign w:val="center"/>
          </w:tcPr>
          <w:p w14:paraId="4DACB3CD">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0ABC3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714E1705">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19</w:t>
            </w:r>
          </w:p>
        </w:tc>
        <w:tc>
          <w:tcPr>
            <w:tcW w:w="620" w:type="dxa"/>
            <w:vMerge w:val="restart"/>
            <w:noWrap w:val="0"/>
            <w:vAlign w:val="center"/>
          </w:tcPr>
          <w:p w14:paraId="00C532B6">
            <w:pPr>
              <w:widowControl/>
              <w:spacing w:line="240" w:lineRule="exact"/>
              <w:jc w:val="center"/>
              <w:rPr>
                <w:rFonts w:hint="eastAsia" w:ascii="宋体" w:hAnsi="宋体"/>
                <w:color w:val="auto"/>
                <w:kern w:val="0"/>
                <w:sz w:val="20"/>
                <w:szCs w:val="20"/>
              </w:rPr>
            </w:pPr>
            <w:r>
              <w:rPr>
                <w:rFonts w:hint="eastAsia" w:ascii="宋体" w:hAnsi="宋体"/>
                <w:color w:val="auto"/>
                <w:kern w:val="0"/>
                <w:sz w:val="20"/>
                <w:szCs w:val="20"/>
              </w:rPr>
              <w:t>应纳税所得额计算</w:t>
            </w:r>
          </w:p>
        </w:tc>
        <w:tc>
          <w:tcPr>
            <w:tcW w:w="7392" w:type="dxa"/>
            <w:noWrap w:val="0"/>
            <w:vAlign w:val="center"/>
          </w:tcPr>
          <w:p w14:paraId="5251EE5D">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减：境外所得（填写</w:t>
            </w:r>
            <w:r>
              <w:rPr>
                <w:rFonts w:ascii="宋体" w:hAnsi="宋体"/>
                <w:color w:val="auto"/>
                <w:kern w:val="0"/>
                <w:sz w:val="20"/>
                <w:szCs w:val="20"/>
              </w:rPr>
              <w:t>A108010</w:t>
            </w:r>
            <w:r>
              <w:rPr>
                <w:rFonts w:hint="eastAsia" w:ascii="宋体" w:hAnsi="宋体"/>
                <w:color w:val="auto"/>
                <w:kern w:val="0"/>
                <w:sz w:val="20"/>
                <w:szCs w:val="20"/>
              </w:rPr>
              <w:t>）</w:t>
            </w:r>
          </w:p>
        </w:tc>
        <w:tc>
          <w:tcPr>
            <w:tcW w:w="1418" w:type="dxa"/>
            <w:noWrap w:val="0"/>
            <w:vAlign w:val="center"/>
          </w:tcPr>
          <w:p w14:paraId="5D2C5580">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2E2AA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07F9736C">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20</w:t>
            </w:r>
          </w:p>
        </w:tc>
        <w:tc>
          <w:tcPr>
            <w:tcW w:w="620" w:type="dxa"/>
            <w:vMerge w:val="continue"/>
            <w:noWrap w:val="0"/>
            <w:vAlign w:val="center"/>
          </w:tcPr>
          <w:p w14:paraId="0C6ABB27">
            <w:pPr>
              <w:widowControl/>
              <w:spacing w:line="240" w:lineRule="exact"/>
              <w:jc w:val="left"/>
              <w:rPr>
                <w:rFonts w:hint="eastAsia" w:ascii="宋体" w:hAnsi="宋体"/>
                <w:color w:val="auto"/>
                <w:kern w:val="0"/>
                <w:sz w:val="20"/>
                <w:szCs w:val="20"/>
              </w:rPr>
            </w:pPr>
          </w:p>
        </w:tc>
        <w:tc>
          <w:tcPr>
            <w:tcW w:w="7392" w:type="dxa"/>
            <w:noWrap w:val="0"/>
            <w:vAlign w:val="center"/>
          </w:tcPr>
          <w:p w14:paraId="14759BF5">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加：纳税调整增加额（填写</w:t>
            </w:r>
            <w:r>
              <w:rPr>
                <w:rFonts w:ascii="宋体" w:hAnsi="宋体"/>
                <w:color w:val="auto"/>
                <w:kern w:val="0"/>
                <w:sz w:val="20"/>
                <w:szCs w:val="20"/>
              </w:rPr>
              <w:t>A105000</w:t>
            </w:r>
            <w:r>
              <w:rPr>
                <w:rFonts w:hint="eastAsia" w:ascii="宋体" w:hAnsi="宋体"/>
                <w:color w:val="auto"/>
                <w:kern w:val="0"/>
                <w:sz w:val="20"/>
                <w:szCs w:val="20"/>
              </w:rPr>
              <w:t>）</w:t>
            </w:r>
          </w:p>
        </w:tc>
        <w:tc>
          <w:tcPr>
            <w:tcW w:w="1418" w:type="dxa"/>
            <w:noWrap w:val="0"/>
            <w:vAlign w:val="center"/>
          </w:tcPr>
          <w:p w14:paraId="5B34CBB6">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34E19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14B3AE4A">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21</w:t>
            </w:r>
          </w:p>
        </w:tc>
        <w:tc>
          <w:tcPr>
            <w:tcW w:w="620" w:type="dxa"/>
            <w:vMerge w:val="continue"/>
            <w:noWrap w:val="0"/>
            <w:vAlign w:val="center"/>
          </w:tcPr>
          <w:p w14:paraId="5569E9B3">
            <w:pPr>
              <w:widowControl/>
              <w:spacing w:line="240" w:lineRule="exact"/>
              <w:jc w:val="left"/>
              <w:rPr>
                <w:rFonts w:hint="eastAsia" w:ascii="宋体" w:hAnsi="宋体"/>
                <w:color w:val="auto"/>
                <w:kern w:val="0"/>
                <w:sz w:val="20"/>
                <w:szCs w:val="20"/>
              </w:rPr>
            </w:pPr>
          </w:p>
        </w:tc>
        <w:tc>
          <w:tcPr>
            <w:tcW w:w="7392" w:type="dxa"/>
            <w:noWrap w:val="0"/>
            <w:vAlign w:val="center"/>
          </w:tcPr>
          <w:p w14:paraId="7CF2E825">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减：纳税调整减少额（填写</w:t>
            </w:r>
            <w:r>
              <w:rPr>
                <w:rFonts w:ascii="宋体" w:hAnsi="宋体"/>
                <w:color w:val="auto"/>
                <w:kern w:val="0"/>
                <w:sz w:val="20"/>
                <w:szCs w:val="20"/>
              </w:rPr>
              <w:t>A105000</w:t>
            </w:r>
            <w:r>
              <w:rPr>
                <w:rFonts w:hint="eastAsia" w:ascii="宋体" w:hAnsi="宋体"/>
                <w:color w:val="auto"/>
                <w:kern w:val="0"/>
                <w:sz w:val="20"/>
                <w:szCs w:val="20"/>
              </w:rPr>
              <w:t>）</w:t>
            </w:r>
          </w:p>
        </w:tc>
        <w:tc>
          <w:tcPr>
            <w:tcW w:w="1418" w:type="dxa"/>
            <w:noWrap w:val="0"/>
            <w:vAlign w:val="center"/>
          </w:tcPr>
          <w:p w14:paraId="543A8AFD">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7808A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36CE70F9">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22</w:t>
            </w:r>
          </w:p>
        </w:tc>
        <w:tc>
          <w:tcPr>
            <w:tcW w:w="620" w:type="dxa"/>
            <w:vMerge w:val="continue"/>
            <w:noWrap w:val="0"/>
            <w:vAlign w:val="center"/>
          </w:tcPr>
          <w:p w14:paraId="6C4F4504">
            <w:pPr>
              <w:widowControl/>
              <w:spacing w:line="240" w:lineRule="exact"/>
              <w:jc w:val="left"/>
              <w:rPr>
                <w:rFonts w:hint="eastAsia" w:ascii="宋体" w:hAnsi="宋体"/>
                <w:color w:val="auto"/>
                <w:kern w:val="0"/>
                <w:sz w:val="20"/>
                <w:szCs w:val="20"/>
              </w:rPr>
            </w:pPr>
          </w:p>
        </w:tc>
        <w:tc>
          <w:tcPr>
            <w:tcW w:w="7392" w:type="dxa"/>
            <w:noWrap w:val="0"/>
            <w:vAlign w:val="center"/>
          </w:tcPr>
          <w:p w14:paraId="586B24BC">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减：免税、减计收入及加计扣除（</w:t>
            </w:r>
            <w:r>
              <w:rPr>
                <w:rFonts w:ascii="宋体" w:hAnsi="宋体"/>
                <w:color w:val="auto"/>
                <w:kern w:val="0"/>
                <w:sz w:val="20"/>
                <w:szCs w:val="20"/>
              </w:rPr>
              <w:t>22.1＋22.2＋…</w:t>
            </w:r>
            <w:r>
              <w:rPr>
                <w:rFonts w:hint="eastAsia" w:ascii="宋体" w:hAnsi="宋体"/>
                <w:color w:val="auto"/>
                <w:kern w:val="0"/>
                <w:sz w:val="20"/>
                <w:szCs w:val="20"/>
              </w:rPr>
              <w:t>）</w:t>
            </w:r>
          </w:p>
        </w:tc>
        <w:tc>
          <w:tcPr>
            <w:tcW w:w="1418" w:type="dxa"/>
            <w:noWrap w:val="0"/>
            <w:vAlign w:val="center"/>
          </w:tcPr>
          <w:p w14:paraId="537216F2">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3F0A1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3B097118">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22.1</w:t>
            </w:r>
          </w:p>
        </w:tc>
        <w:tc>
          <w:tcPr>
            <w:tcW w:w="620" w:type="dxa"/>
            <w:vMerge w:val="continue"/>
            <w:noWrap w:val="0"/>
            <w:vAlign w:val="center"/>
          </w:tcPr>
          <w:p w14:paraId="224388F9">
            <w:pPr>
              <w:widowControl/>
              <w:spacing w:line="240" w:lineRule="exact"/>
              <w:jc w:val="left"/>
              <w:rPr>
                <w:rFonts w:hint="eastAsia" w:ascii="宋体" w:hAnsi="宋体"/>
                <w:color w:val="auto"/>
                <w:kern w:val="0"/>
                <w:sz w:val="20"/>
                <w:szCs w:val="20"/>
              </w:rPr>
            </w:pPr>
          </w:p>
        </w:tc>
        <w:tc>
          <w:tcPr>
            <w:tcW w:w="7392" w:type="dxa"/>
            <w:noWrap w:val="0"/>
            <w:vAlign w:val="center"/>
          </w:tcPr>
          <w:p w14:paraId="056F3202">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（填写优惠事项名称）</w:t>
            </w:r>
          </w:p>
        </w:tc>
        <w:tc>
          <w:tcPr>
            <w:tcW w:w="1418" w:type="dxa"/>
            <w:noWrap w:val="0"/>
            <w:vAlign w:val="center"/>
          </w:tcPr>
          <w:p w14:paraId="227D3D87">
            <w:pPr>
              <w:widowControl/>
              <w:spacing w:line="240" w:lineRule="exact"/>
              <w:jc w:val="right"/>
              <w:rPr>
                <w:rFonts w:hint="eastAsia" w:ascii="宋体" w:hAnsi="宋体"/>
                <w:color w:val="auto"/>
                <w:kern w:val="0"/>
                <w:sz w:val="20"/>
                <w:szCs w:val="20"/>
              </w:rPr>
            </w:pPr>
          </w:p>
        </w:tc>
      </w:tr>
      <w:tr w14:paraId="7ABC7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06F8C196">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22.2</w:t>
            </w:r>
          </w:p>
        </w:tc>
        <w:tc>
          <w:tcPr>
            <w:tcW w:w="620" w:type="dxa"/>
            <w:vMerge w:val="continue"/>
            <w:noWrap w:val="0"/>
            <w:vAlign w:val="center"/>
          </w:tcPr>
          <w:p w14:paraId="6EF44638">
            <w:pPr>
              <w:widowControl/>
              <w:spacing w:line="240" w:lineRule="exact"/>
              <w:jc w:val="left"/>
              <w:rPr>
                <w:rFonts w:hint="eastAsia" w:ascii="宋体" w:hAnsi="宋体"/>
                <w:color w:val="auto"/>
                <w:kern w:val="0"/>
                <w:sz w:val="20"/>
                <w:szCs w:val="20"/>
              </w:rPr>
            </w:pPr>
          </w:p>
        </w:tc>
        <w:tc>
          <w:tcPr>
            <w:tcW w:w="7392" w:type="dxa"/>
            <w:noWrap w:val="0"/>
            <w:vAlign w:val="center"/>
          </w:tcPr>
          <w:p w14:paraId="7D87728A">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（填写优惠事项名称）</w:t>
            </w:r>
          </w:p>
        </w:tc>
        <w:tc>
          <w:tcPr>
            <w:tcW w:w="1418" w:type="dxa"/>
            <w:noWrap w:val="0"/>
            <w:vAlign w:val="center"/>
          </w:tcPr>
          <w:p w14:paraId="1BFB8D6E">
            <w:pPr>
              <w:widowControl/>
              <w:spacing w:line="240" w:lineRule="exact"/>
              <w:jc w:val="right"/>
              <w:rPr>
                <w:rFonts w:hint="eastAsia" w:ascii="宋体" w:hAnsi="宋体"/>
                <w:color w:val="auto"/>
                <w:kern w:val="0"/>
                <w:sz w:val="20"/>
                <w:szCs w:val="20"/>
              </w:rPr>
            </w:pPr>
          </w:p>
        </w:tc>
      </w:tr>
      <w:tr w14:paraId="6BD01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31F097A0">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23</w:t>
            </w:r>
          </w:p>
        </w:tc>
        <w:tc>
          <w:tcPr>
            <w:tcW w:w="620" w:type="dxa"/>
            <w:vMerge w:val="continue"/>
            <w:noWrap w:val="0"/>
            <w:vAlign w:val="center"/>
          </w:tcPr>
          <w:p w14:paraId="2B5740D4">
            <w:pPr>
              <w:widowControl/>
              <w:spacing w:line="240" w:lineRule="exact"/>
              <w:jc w:val="left"/>
              <w:rPr>
                <w:rFonts w:hint="eastAsia" w:ascii="宋体" w:hAnsi="宋体"/>
                <w:color w:val="auto"/>
                <w:kern w:val="0"/>
                <w:sz w:val="20"/>
                <w:szCs w:val="20"/>
              </w:rPr>
            </w:pPr>
          </w:p>
        </w:tc>
        <w:tc>
          <w:tcPr>
            <w:tcW w:w="7392" w:type="dxa"/>
            <w:noWrap w:val="0"/>
            <w:vAlign w:val="center"/>
          </w:tcPr>
          <w:p w14:paraId="5D08470F">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加：境外应税所得抵减境内亏损（填写</w:t>
            </w:r>
            <w:r>
              <w:rPr>
                <w:rFonts w:ascii="宋体" w:hAnsi="宋体"/>
                <w:color w:val="auto"/>
                <w:kern w:val="0"/>
                <w:sz w:val="20"/>
                <w:szCs w:val="20"/>
              </w:rPr>
              <w:t>A108000</w:t>
            </w:r>
            <w:r>
              <w:rPr>
                <w:rFonts w:hint="eastAsia" w:ascii="宋体" w:hAnsi="宋体"/>
                <w:color w:val="auto"/>
                <w:kern w:val="0"/>
                <w:sz w:val="20"/>
                <w:szCs w:val="20"/>
              </w:rPr>
              <w:t>）</w:t>
            </w:r>
          </w:p>
        </w:tc>
        <w:tc>
          <w:tcPr>
            <w:tcW w:w="1418" w:type="dxa"/>
            <w:noWrap w:val="0"/>
            <w:vAlign w:val="center"/>
          </w:tcPr>
          <w:p w14:paraId="0639EFBA">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06DB9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5905AA13">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24</w:t>
            </w:r>
          </w:p>
        </w:tc>
        <w:tc>
          <w:tcPr>
            <w:tcW w:w="620" w:type="dxa"/>
            <w:vMerge w:val="continue"/>
            <w:noWrap w:val="0"/>
            <w:vAlign w:val="center"/>
          </w:tcPr>
          <w:p w14:paraId="56C6AAB4">
            <w:pPr>
              <w:widowControl/>
              <w:spacing w:line="240" w:lineRule="exact"/>
              <w:jc w:val="left"/>
              <w:rPr>
                <w:rFonts w:hint="eastAsia" w:ascii="宋体" w:hAnsi="宋体"/>
                <w:color w:val="auto"/>
                <w:kern w:val="0"/>
                <w:sz w:val="20"/>
                <w:szCs w:val="20"/>
              </w:rPr>
            </w:pPr>
          </w:p>
        </w:tc>
        <w:tc>
          <w:tcPr>
            <w:tcW w:w="7392" w:type="dxa"/>
            <w:noWrap w:val="0"/>
            <w:vAlign w:val="center"/>
          </w:tcPr>
          <w:p w14:paraId="60190F2E">
            <w:pPr>
              <w:widowControl/>
              <w:spacing w:line="240" w:lineRule="exact"/>
              <w:jc w:val="left"/>
              <w:rPr>
                <w:rFonts w:hint="eastAsia" w:ascii="宋体" w:hAnsi="宋体" w:eastAsia="宋体"/>
                <w:color w:val="auto"/>
                <w:kern w:val="0"/>
                <w:sz w:val="20"/>
                <w:szCs w:val="20"/>
              </w:rPr>
            </w:pPr>
            <w:r>
              <w:rPr>
                <w:rFonts w:hint="eastAsia" w:ascii="宋体" w:hAnsi="宋体"/>
                <w:color w:val="auto"/>
                <w:kern w:val="0"/>
                <w:sz w:val="20"/>
                <w:szCs w:val="20"/>
              </w:rPr>
              <w:t>四、纳税调整后所得（</w:t>
            </w:r>
            <w:r>
              <w:rPr>
                <w:rFonts w:ascii="宋体" w:hAnsi="宋体"/>
                <w:color w:val="auto"/>
                <w:kern w:val="0"/>
                <w:sz w:val="20"/>
                <w:szCs w:val="20"/>
              </w:rPr>
              <w:t>18－19＋20－21－22＋23</w:t>
            </w:r>
            <w:r>
              <w:rPr>
                <w:rFonts w:hint="eastAsia" w:ascii="宋体" w:hAnsi="宋体"/>
                <w:color w:val="auto"/>
                <w:kern w:val="0"/>
                <w:sz w:val="20"/>
                <w:szCs w:val="20"/>
              </w:rPr>
              <w:t>）</w:t>
            </w:r>
          </w:p>
        </w:tc>
        <w:tc>
          <w:tcPr>
            <w:tcW w:w="1418" w:type="dxa"/>
            <w:noWrap w:val="0"/>
            <w:vAlign w:val="center"/>
          </w:tcPr>
          <w:p w14:paraId="7642B0CE">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74DAA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46DF4FA8">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25</w:t>
            </w:r>
          </w:p>
        </w:tc>
        <w:tc>
          <w:tcPr>
            <w:tcW w:w="620" w:type="dxa"/>
            <w:vMerge w:val="continue"/>
            <w:noWrap w:val="0"/>
            <w:vAlign w:val="center"/>
          </w:tcPr>
          <w:p w14:paraId="0B8AF6D3">
            <w:pPr>
              <w:widowControl/>
              <w:spacing w:line="240" w:lineRule="exact"/>
              <w:jc w:val="left"/>
              <w:rPr>
                <w:rFonts w:hint="eastAsia" w:ascii="宋体" w:hAnsi="宋体"/>
                <w:color w:val="auto"/>
                <w:kern w:val="0"/>
                <w:sz w:val="20"/>
                <w:szCs w:val="20"/>
              </w:rPr>
            </w:pPr>
          </w:p>
        </w:tc>
        <w:tc>
          <w:tcPr>
            <w:tcW w:w="7392" w:type="dxa"/>
            <w:noWrap w:val="0"/>
            <w:vAlign w:val="center"/>
          </w:tcPr>
          <w:p w14:paraId="523268A2">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减：所得减免（填写</w:t>
            </w:r>
            <w:r>
              <w:rPr>
                <w:rFonts w:ascii="宋体" w:hAnsi="宋体"/>
                <w:color w:val="auto"/>
                <w:kern w:val="0"/>
                <w:sz w:val="20"/>
                <w:szCs w:val="20"/>
              </w:rPr>
              <w:t>A107020</w:t>
            </w:r>
            <w:r>
              <w:rPr>
                <w:rFonts w:hint="eastAsia" w:ascii="宋体" w:hAnsi="宋体"/>
                <w:color w:val="auto"/>
                <w:kern w:val="0"/>
                <w:sz w:val="20"/>
                <w:szCs w:val="20"/>
              </w:rPr>
              <w:t>）</w:t>
            </w:r>
          </w:p>
        </w:tc>
        <w:tc>
          <w:tcPr>
            <w:tcW w:w="1418" w:type="dxa"/>
            <w:noWrap w:val="0"/>
            <w:vAlign w:val="center"/>
          </w:tcPr>
          <w:p w14:paraId="5DE0560D">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0A12F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338C90A5">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26</w:t>
            </w:r>
          </w:p>
        </w:tc>
        <w:tc>
          <w:tcPr>
            <w:tcW w:w="620" w:type="dxa"/>
            <w:vMerge w:val="continue"/>
            <w:noWrap w:val="0"/>
            <w:vAlign w:val="center"/>
          </w:tcPr>
          <w:p w14:paraId="66EF8FAA">
            <w:pPr>
              <w:widowControl/>
              <w:spacing w:line="240" w:lineRule="exact"/>
              <w:jc w:val="left"/>
              <w:rPr>
                <w:rFonts w:hint="eastAsia" w:ascii="宋体" w:hAnsi="宋体"/>
                <w:color w:val="auto"/>
                <w:kern w:val="0"/>
                <w:sz w:val="20"/>
                <w:szCs w:val="20"/>
              </w:rPr>
            </w:pPr>
          </w:p>
        </w:tc>
        <w:tc>
          <w:tcPr>
            <w:tcW w:w="7392" w:type="dxa"/>
            <w:noWrap w:val="0"/>
            <w:vAlign w:val="center"/>
          </w:tcPr>
          <w:p w14:paraId="7D988CD0">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减：弥补以前年度亏损（填写</w:t>
            </w:r>
            <w:r>
              <w:rPr>
                <w:rFonts w:ascii="宋体" w:hAnsi="宋体"/>
                <w:color w:val="auto"/>
                <w:kern w:val="0"/>
                <w:sz w:val="20"/>
                <w:szCs w:val="20"/>
              </w:rPr>
              <w:t>A106000</w:t>
            </w:r>
            <w:r>
              <w:rPr>
                <w:rFonts w:hint="eastAsia" w:ascii="宋体" w:hAnsi="宋体"/>
                <w:color w:val="auto"/>
                <w:kern w:val="0"/>
                <w:sz w:val="20"/>
                <w:szCs w:val="20"/>
              </w:rPr>
              <w:t>）</w:t>
            </w:r>
          </w:p>
        </w:tc>
        <w:tc>
          <w:tcPr>
            <w:tcW w:w="1418" w:type="dxa"/>
            <w:noWrap w:val="0"/>
            <w:vAlign w:val="center"/>
          </w:tcPr>
          <w:p w14:paraId="783A7FD3">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7DF7D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023FEB8F">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27</w:t>
            </w:r>
          </w:p>
        </w:tc>
        <w:tc>
          <w:tcPr>
            <w:tcW w:w="620" w:type="dxa"/>
            <w:vMerge w:val="continue"/>
            <w:noWrap w:val="0"/>
            <w:vAlign w:val="center"/>
          </w:tcPr>
          <w:p w14:paraId="027F718A">
            <w:pPr>
              <w:widowControl/>
              <w:spacing w:line="240" w:lineRule="exact"/>
              <w:jc w:val="left"/>
              <w:rPr>
                <w:rFonts w:hint="eastAsia" w:ascii="宋体" w:hAnsi="宋体"/>
                <w:color w:val="auto"/>
                <w:kern w:val="0"/>
                <w:sz w:val="20"/>
                <w:szCs w:val="20"/>
              </w:rPr>
            </w:pPr>
          </w:p>
        </w:tc>
        <w:tc>
          <w:tcPr>
            <w:tcW w:w="7392" w:type="dxa"/>
            <w:noWrap w:val="0"/>
            <w:vAlign w:val="center"/>
          </w:tcPr>
          <w:p w14:paraId="70D486E2">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减：抵扣应纳税所得额（填写</w:t>
            </w:r>
            <w:r>
              <w:rPr>
                <w:rFonts w:ascii="宋体" w:hAnsi="宋体"/>
                <w:color w:val="auto"/>
                <w:kern w:val="0"/>
                <w:sz w:val="20"/>
                <w:szCs w:val="20"/>
              </w:rPr>
              <w:t>A107030</w:t>
            </w:r>
            <w:r>
              <w:rPr>
                <w:rFonts w:hint="eastAsia" w:ascii="宋体" w:hAnsi="宋体"/>
                <w:color w:val="auto"/>
                <w:kern w:val="0"/>
                <w:sz w:val="20"/>
                <w:szCs w:val="20"/>
              </w:rPr>
              <w:t>）</w:t>
            </w:r>
          </w:p>
        </w:tc>
        <w:tc>
          <w:tcPr>
            <w:tcW w:w="1418" w:type="dxa"/>
            <w:noWrap w:val="0"/>
            <w:vAlign w:val="center"/>
          </w:tcPr>
          <w:p w14:paraId="04615FC1">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71EE8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4D6DCAE9">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28</w:t>
            </w:r>
          </w:p>
        </w:tc>
        <w:tc>
          <w:tcPr>
            <w:tcW w:w="620" w:type="dxa"/>
            <w:vMerge w:val="continue"/>
            <w:noWrap w:val="0"/>
            <w:vAlign w:val="center"/>
          </w:tcPr>
          <w:p w14:paraId="477465EE">
            <w:pPr>
              <w:widowControl/>
              <w:spacing w:line="240" w:lineRule="exact"/>
              <w:jc w:val="left"/>
              <w:rPr>
                <w:rFonts w:hint="eastAsia" w:ascii="宋体" w:hAnsi="宋体"/>
                <w:color w:val="auto"/>
                <w:kern w:val="0"/>
                <w:sz w:val="20"/>
                <w:szCs w:val="20"/>
              </w:rPr>
            </w:pPr>
          </w:p>
        </w:tc>
        <w:tc>
          <w:tcPr>
            <w:tcW w:w="7392" w:type="dxa"/>
            <w:noWrap w:val="0"/>
            <w:vAlign w:val="center"/>
          </w:tcPr>
          <w:p w14:paraId="2B0C1EB6">
            <w:pPr>
              <w:widowControl/>
              <w:spacing w:line="240" w:lineRule="exact"/>
              <w:jc w:val="left"/>
              <w:rPr>
                <w:rFonts w:hint="eastAsia" w:ascii="宋体" w:hAnsi="宋体" w:eastAsia="宋体"/>
                <w:color w:val="auto"/>
                <w:kern w:val="0"/>
                <w:sz w:val="20"/>
                <w:szCs w:val="20"/>
              </w:rPr>
            </w:pPr>
            <w:r>
              <w:rPr>
                <w:rFonts w:hint="eastAsia" w:ascii="宋体" w:hAnsi="宋体"/>
                <w:color w:val="auto"/>
                <w:kern w:val="0"/>
                <w:sz w:val="20"/>
                <w:szCs w:val="20"/>
              </w:rPr>
              <w:t>五、应纳税所得额（</w:t>
            </w:r>
            <w:r>
              <w:rPr>
                <w:rFonts w:ascii="宋体" w:hAnsi="宋体"/>
                <w:color w:val="auto"/>
                <w:kern w:val="0"/>
                <w:sz w:val="20"/>
                <w:szCs w:val="20"/>
              </w:rPr>
              <w:t>24－25－26－27</w:t>
            </w:r>
            <w:r>
              <w:rPr>
                <w:rFonts w:hint="eastAsia" w:ascii="宋体" w:hAnsi="宋体"/>
                <w:color w:val="auto"/>
                <w:kern w:val="0"/>
                <w:sz w:val="20"/>
                <w:szCs w:val="20"/>
              </w:rPr>
              <w:t>）</w:t>
            </w:r>
          </w:p>
        </w:tc>
        <w:tc>
          <w:tcPr>
            <w:tcW w:w="1418" w:type="dxa"/>
            <w:noWrap w:val="0"/>
            <w:vAlign w:val="center"/>
          </w:tcPr>
          <w:p w14:paraId="724E30F9">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2A48C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2C2C328F">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29</w:t>
            </w:r>
          </w:p>
        </w:tc>
        <w:tc>
          <w:tcPr>
            <w:tcW w:w="620" w:type="dxa"/>
            <w:vMerge w:val="restart"/>
            <w:noWrap w:val="0"/>
            <w:vAlign w:val="center"/>
          </w:tcPr>
          <w:p w14:paraId="79EB040F">
            <w:pPr>
              <w:widowControl/>
              <w:spacing w:line="240" w:lineRule="exact"/>
              <w:jc w:val="center"/>
              <w:rPr>
                <w:rFonts w:hint="eastAsia" w:ascii="宋体" w:hAnsi="宋体"/>
                <w:color w:val="auto"/>
                <w:kern w:val="0"/>
                <w:sz w:val="20"/>
                <w:szCs w:val="20"/>
              </w:rPr>
            </w:pPr>
            <w:r>
              <w:rPr>
                <w:rFonts w:hint="eastAsia" w:ascii="宋体" w:hAnsi="宋体"/>
                <w:color w:val="auto"/>
                <w:kern w:val="0"/>
                <w:sz w:val="20"/>
                <w:szCs w:val="20"/>
              </w:rPr>
              <w:t>应纳税额计算</w:t>
            </w:r>
          </w:p>
        </w:tc>
        <w:tc>
          <w:tcPr>
            <w:tcW w:w="7392" w:type="dxa"/>
            <w:noWrap w:val="0"/>
            <w:vAlign w:val="center"/>
          </w:tcPr>
          <w:p w14:paraId="76D8BCC1">
            <w:pPr>
              <w:widowControl/>
              <w:spacing w:line="240" w:lineRule="exact"/>
              <w:jc w:val="left"/>
              <w:rPr>
                <w:rFonts w:hint="eastAsia" w:ascii="宋体" w:hAnsi="宋体" w:eastAsia="宋体"/>
                <w:color w:val="auto"/>
                <w:kern w:val="0"/>
                <w:sz w:val="20"/>
                <w:szCs w:val="20"/>
                <w:lang w:eastAsia="zh-CN"/>
              </w:rPr>
            </w:pPr>
            <w:r>
              <w:rPr>
                <w:rFonts w:hint="eastAsia" w:ascii="宋体" w:hAnsi="宋体"/>
                <w:color w:val="auto"/>
                <w:kern w:val="0"/>
                <w:sz w:val="20"/>
                <w:szCs w:val="20"/>
              </w:rPr>
              <w:t>税率</w:t>
            </w:r>
            <w:r>
              <w:rPr>
                <w:rFonts w:hint="eastAsia" w:ascii="宋体" w:hAnsi="宋体"/>
                <w:color w:val="auto"/>
                <w:kern w:val="0"/>
                <w:sz w:val="20"/>
                <w:szCs w:val="20"/>
                <w:lang w:eastAsia="zh-CN"/>
              </w:rPr>
              <w:t>（</w:t>
            </w:r>
            <w:r>
              <w:rPr>
                <w:rFonts w:hint="eastAsia" w:ascii="宋体" w:hAnsi="宋体"/>
                <w:color w:val="auto"/>
                <w:kern w:val="0"/>
                <w:sz w:val="20"/>
                <w:szCs w:val="20"/>
                <w:lang w:val="en-US" w:eastAsia="zh-CN"/>
              </w:rPr>
              <w:t>25%</w:t>
            </w:r>
            <w:r>
              <w:rPr>
                <w:rFonts w:hint="eastAsia" w:ascii="宋体" w:hAnsi="宋体"/>
                <w:color w:val="auto"/>
                <w:kern w:val="0"/>
                <w:sz w:val="20"/>
                <w:szCs w:val="20"/>
                <w:lang w:eastAsia="zh-CN"/>
              </w:rPr>
              <w:t>）</w:t>
            </w:r>
          </w:p>
        </w:tc>
        <w:tc>
          <w:tcPr>
            <w:tcW w:w="1418" w:type="dxa"/>
            <w:noWrap w:val="0"/>
            <w:vAlign w:val="center"/>
          </w:tcPr>
          <w:p w14:paraId="48E1F38C">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32260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36C29CA7">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30</w:t>
            </w:r>
          </w:p>
        </w:tc>
        <w:tc>
          <w:tcPr>
            <w:tcW w:w="620" w:type="dxa"/>
            <w:vMerge w:val="continue"/>
            <w:noWrap w:val="0"/>
            <w:vAlign w:val="center"/>
          </w:tcPr>
          <w:p w14:paraId="6B536B8E">
            <w:pPr>
              <w:widowControl/>
              <w:spacing w:line="240" w:lineRule="exact"/>
              <w:jc w:val="left"/>
              <w:rPr>
                <w:rFonts w:hint="eastAsia" w:ascii="宋体" w:hAnsi="宋体"/>
                <w:color w:val="auto"/>
                <w:kern w:val="0"/>
                <w:sz w:val="20"/>
                <w:szCs w:val="20"/>
              </w:rPr>
            </w:pPr>
          </w:p>
        </w:tc>
        <w:tc>
          <w:tcPr>
            <w:tcW w:w="7392" w:type="dxa"/>
            <w:noWrap w:val="0"/>
            <w:vAlign w:val="center"/>
          </w:tcPr>
          <w:p w14:paraId="3516A0AB">
            <w:pPr>
              <w:widowControl/>
              <w:spacing w:line="240" w:lineRule="exact"/>
              <w:jc w:val="left"/>
              <w:rPr>
                <w:rFonts w:hint="eastAsia" w:ascii="宋体" w:hAnsi="宋体" w:eastAsia="宋体"/>
                <w:color w:val="auto"/>
                <w:kern w:val="0"/>
                <w:sz w:val="20"/>
                <w:szCs w:val="20"/>
              </w:rPr>
            </w:pPr>
            <w:r>
              <w:rPr>
                <w:rFonts w:hint="eastAsia" w:ascii="宋体" w:hAnsi="宋体"/>
                <w:color w:val="auto"/>
                <w:kern w:val="0"/>
                <w:sz w:val="20"/>
                <w:szCs w:val="20"/>
              </w:rPr>
              <w:t>六、应纳所得税额（</w:t>
            </w:r>
            <w:r>
              <w:rPr>
                <w:rFonts w:ascii="宋体" w:hAnsi="宋体"/>
                <w:color w:val="auto"/>
                <w:kern w:val="0"/>
                <w:sz w:val="20"/>
                <w:szCs w:val="20"/>
              </w:rPr>
              <w:t>28</w:t>
            </w:r>
            <w:r>
              <w:rPr>
                <w:rFonts w:hint="eastAsia" w:ascii="宋体" w:hAnsi="宋体"/>
                <w:color w:val="auto"/>
                <w:kern w:val="0"/>
                <w:sz w:val="20"/>
                <w:szCs w:val="20"/>
              </w:rPr>
              <w:t>×</w:t>
            </w:r>
            <w:r>
              <w:rPr>
                <w:rFonts w:ascii="宋体" w:hAnsi="宋体"/>
                <w:color w:val="auto"/>
                <w:kern w:val="0"/>
                <w:sz w:val="20"/>
                <w:szCs w:val="20"/>
              </w:rPr>
              <w:t>29</w:t>
            </w:r>
            <w:r>
              <w:rPr>
                <w:rFonts w:hint="eastAsia" w:ascii="宋体" w:hAnsi="宋体"/>
                <w:color w:val="auto"/>
                <w:kern w:val="0"/>
                <w:sz w:val="20"/>
                <w:szCs w:val="20"/>
              </w:rPr>
              <w:t>）</w:t>
            </w:r>
          </w:p>
        </w:tc>
        <w:tc>
          <w:tcPr>
            <w:tcW w:w="1418" w:type="dxa"/>
            <w:noWrap w:val="0"/>
            <w:vAlign w:val="center"/>
          </w:tcPr>
          <w:p w14:paraId="27400029">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26EFD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1DBBC3E2">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31</w:t>
            </w:r>
          </w:p>
        </w:tc>
        <w:tc>
          <w:tcPr>
            <w:tcW w:w="620" w:type="dxa"/>
            <w:vMerge w:val="continue"/>
            <w:noWrap w:val="0"/>
            <w:vAlign w:val="center"/>
          </w:tcPr>
          <w:p w14:paraId="01F6129D">
            <w:pPr>
              <w:widowControl/>
              <w:spacing w:line="240" w:lineRule="exact"/>
              <w:jc w:val="left"/>
              <w:rPr>
                <w:rFonts w:hint="eastAsia" w:ascii="宋体" w:hAnsi="宋体"/>
                <w:color w:val="auto"/>
                <w:kern w:val="0"/>
                <w:sz w:val="20"/>
                <w:szCs w:val="20"/>
              </w:rPr>
            </w:pPr>
          </w:p>
        </w:tc>
        <w:tc>
          <w:tcPr>
            <w:tcW w:w="7392" w:type="dxa"/>
            <w:noWrap w:val="0"/>
            <w:vAlign w:val="center"/>
          </w:tcPr>
          <w:p w14:paraId="6CF98C52">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减：减免所得税额（</w:t>
            </w:r>
            <w:r>
              <w:rPr>
                <w:rFonts w:ascii="宋体" w:hAnsi="宋体"/>
                <w:color w:val="auto"/>
                <w:kern w:val="0"/>
                <w:sz w:val="20"/>
                <w:szCs w:val="20"/>
              </w:rPr>
              <w:t>31.1＋31.2＋…</w:t>
            </w:r>
            <w:r>
              <w:rPr>
                <w:rFonts w:hint="eastAsia" w:ascii="宋体" w:hAnsi="宋体"/>
                <w:color w:val="auto"/>
                <w:kern w:val="0"/>
                <w:sz w:val="20"/>
                <w:szCs w:val="20"/>
              </w:rPr>
              <w:t>）</w:t>
            </w:r>
          </w:p>
        </w:tc>
        <w:tc>
          <w:tcPr>
            <w:tcW w:w="1418" w:type="dxa"/>
            <w:noWrap w:val="0"/>
            <w:vAlign w:val="center"/>
          </w:tcPr>
          <w:p w14:paraId="71D92B04">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63B69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381AC633">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31.1</w:t>
            </w:r>
          </w:p>
        </w:tc>
        <w:tc>
          <w:tcPr>
            <w:tcW w:w="620" w:type="dxa"/>
            <w:vMerge w:val="continue"/>
            <w:noWrap w:val="0"/>
            <w:vAlign w:val="center"/>
          </w:tcPr>
          <w:p w14:paraId="0C2EECD7">
            <w:pPr>
              <w:widowControl/>
              <w:spacing w:line="240" w:lineRule="exact"/>
              <w:jc w:val="left"/>
              <w:rPr>
                <w:rFonts w:hint="eastAsia" w:ascii="宋体" w:hAnsi="宋体"/>
                <w:color w:val="auto"/>
                <w:kern w:val="0"/>
                <w:sz w:val="20"/>
                <w:szCs w:val="20"/>
              </w:rPr>
            </w:pPr>
          </w:p>
        </w:tc>
        <w:tc>
          <w:tcPr>
            <w:tcW w:w="7392" w:type="dxa"/>
            <w:noWrap w:val="0"/>
            <w:vAlign w:val="center"/>
          </w:tcPr>
          <w:p w14:paraId="00A85224">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（填写优惠事项名称）</w:t>
            </w:r>
          </w:p>
        </w:tc>
        <w:tc>
          <w:tcPr>
            <w:tcW w:w="1418" w:type="dxa"/>
            <w:noWrap w:val="0"/>
            <w:vAlign w:val="center"/>
          </w:tcPr>
          <w:p w14:paraId="7A2ED3C5">
            <w:pPr>
              <w:widowControl/>
              <w:spacing w:line="240" w:lineRule="exact"/>
              <w:jc w:val="right"/>
              <w:rPr>
                <w:rFonts w:hint="eastAsia" w:ascii="宋体" w:hAnsi="宋体"/>
                <w:color w:val="auto"/>
                <w:kern w:val="0"/>
                <w:sz w:val="20"/>
                <w:szCs w:val="20"/>
              </w:rPr>
            </w:pPr>
          </w:p>
        </w:tc>
      </w:tr>
      <w:tr w14:paraId="49DDD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231D015E">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31.2</w:t>
            </w:r>
          </w:p>
        </w:tc>
        <w:tc>
          <w:tcPr>
            <w:tcW w:w="620" w:type="dxa"/>
            <w:vMerge w:val="continue"/>
            <w:noWrap w:val="0"/>
            <w:vAlign w:val="center"/>
          </w:tcPr>
          <w:p w14:paraId="30CE560C">
            <w:pPr>
              <w:widowControl/>
              <w:spacing w:line="240" w:lineRule="exact"/>
              <w:jc w:val="left"/>
              <w:rPr>
                <w:rFonts w:hint="eastAsia" w:ascii="宋体" w:hAnsi="宋体"/>
                <w:color w:val="auto"/>
                <w:kern w:val="0"/>
                <w:sz w:val="20"/>
                <w:szCs w:val="20"/>
              </w:rPr>
            </w:pPr>
          </w:p>
        </w:tc>
        <w:tc>
          <w:tcPr>
            <w:tcW w:w="7392" w:type="dxa"/>
            <w:noWrap w:val="0"/>
            <w:vAlign w:val="center"/>
          </w:tcPr>
          <w:p w14:paraId="59058C29">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（填写优惠事项名称）</w:t>
            </w:r>
          </w:p>
        </w:tc>
        <w:tc>
          <w:tcPr>
            <w:tcW w:w="1418" w:type="dxa"/>
            <w:noWrap w:val="0"/>
            <w:vAlign w:val="center"/>
          </w:tcPr>
          <w:p w14:paraId="05F3D6B7">
            <w:pPr>
              <w:widowControl/>
              <w:spacing w:line="240" w:lineRule="exact"/>
              <w:jc w:val="right"/>
              <w:rPr>
                <w:rFonts w:hint="eastAsia" w:ascii="宋体" w:hAnsi="宋体"/>
                <w:color w:val="auto"/>
                <w:kern w:val="0"/>
                <w:sz w:val="20"/>
                <w:szCs w:val="20"/>
              </w:rPr>
            </w:pPr>
          </w:p>
        </w:tc>
      </w:tr>
      <w:tr w14:paraId="67FE4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1E4A5096">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32</w:t>
            </w:r>
          </w:p>
        </w:tc>
        <w:tc>
          <w:tcPr>
            <w:tcW w:w="620" w:type="dxa"/>
            <w:vMerge w:val="continue"/>
            <w:noWrap w:val="0"/>
            <w:vAlign w:val="center"/>
          </w:tcPr>
          <w:p w14:paraId="55F38464">
            <w:pPr>
              <w:widowControl/>
              <w:spacing w:line="240" w:lineRule="exact"/>
              <w:jc w:val="left"/>
              <w:rPr>
                <w:rFonts w:hint="eastAsia" w:ascii="宋体" w:hAnsi="宋体"/>
                <w:color w:val="auto"/>
                <w:kern w:val="0"/>
                <w:sz w:val="20"/>
                <w:szCs w:val="20"/>
              </w:rPr>
            </w:pPr>
          </w:p>
        </w:tc>
        <w:tc>
          <w:tcPr>
            <w:tcW w:w="7392" w:type="dxa"/>
            <w:noWrap w:val="0"/>
            <w:vAlign w:val="center"/>
          </w:tcPr>
          <w:p w14:paraId="730074B2">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减：抵免所得税额（填写</w:t>
            </w:r>
            <w:r>
              <w:rPr>
                <w:rFonts w:ascii="宋体" w:hAnsi="宋体"/>
                <w:color w:val="auto"/>
                <w:kern w:val="0"/>
                <w:sz w:val="20"/>
                <w:szCs w:val="20"/>
              </w:rPr>
              <w:t>A107050</w:t>
            </w:r>
            <w:r>
              <w:rPr>
                <w:rFonts w:hint="eastAsia" w:ascii="宋体" w:hAnsi="宋体"/>
                <w:color w:val="auto"/>
                <w:kern w:val="0"/>
                <w:sz w:val="20"/>
                <w:szCs w:val="20"/>
              </w:rPr>
              <w:t>）</w:t>
            </w:r>
          </w:p>
        </w:tc>
        <w:tc>
          <w:tcPr>
            <w:tcW w:w="1418" w:type="dxa"/>
            <w:noWrap w:val="0"/>
            <w:vAlign w:val="center"/>
          </w:tcPr>
          <w:p w14:paraId="532C64C6">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3E0A9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71CC203D">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33</w:t>
            </w:r>
          </w:p>
        </w:tc>
        <w:tc>
          <w:tcPr>
            <w:tcW w:w="620" w:type="dxa"/>
            <w:vMerge w:val="continue"/>
            <w:noWrap w:val="0"/>
            <w:vAlign w:val="center"/>
          </w:tcPr>
          <w:p w14:paraId="1BB27D4B">
            <w:pPr>
              <w:widowControl/>
              <w:spacing w:line="240" w:lineRule="exact"/>
              <w:jc w:val="left"/>
              <w:rPr>
                <w:rFonts w:hint="eastAsia" w:ascii="宋体" w:hAnsi="宋体"/>
                <w:color w:val="auto"/>
                <w:kern w:val="0"/>
                <w:sz w:val="20"/>
                <w:szCs w:val="20"/>
              </w:rPr>
            </w:pPr>
          </w:p>
        </w:tc>
        <w:tc>
          <w:tcPr>
            <w:tcW w:w="7392" w:type="dxa"/>
            <w:noWrap w:val="0"/>
            <w:vAlign w:val="center"/>
          </w:tcPr>
          <w:p w14:paraId="344EE334">
            <w:pPr>
              <w:widowControl/>
              <w:spacing w:line="240" w:lineRule="exact"/>
              <w:jc w:val="left"/>
              <w:rPr>
                <w:rFonts w:hint="eastAsia" w:ascii="宋体" w:hAnsi="宋体" w:eastAsia="宋体"/>
                <w:color w:val="auto"/>
                <w:kern w:val="0"/>
                <w:sz w:val="20"/>
                <w:szCs w:val="20"/>
              </w:rPr>
            </w:pPr>
            <w:r>
              <w:rPr>
                <w:rFonts w:hint="eastAsia" w:ascii="宋体" w:hAnsi="宋体"/>
                <w:color w:val="auto"/>
                <w:kern w:val="0"/>
                <w:sz w:val="20"/>
                <w:szCs w:val="20"/>
              </w:rPr>
              <w:t>七、应纳税额（</w:t>
            </w:r>
            <w:r>
              <w:rPr>
                <w:rFonts w:ascii="宋体" w:hAnsi="宋体"/>
                <w:color w:val="auto"/>
                <w:kern w:val="0"/>
                <w:sz w:val="20"/>
                <w:szCs w:val="20"/>
              </w:rPr>
              <w:t>30－31－32</w:t>
            </w:r>
            <w:r>
              <w:rPr>
                <w:rFonts w:hint="eastAsia" w:ascii="宋体" w:hAnsi="宋体"/>
                <w:color w:val="auto"/>
                <w:kern w:val="0"/>
                <w:sz w:val="20"/>
                <w:szCs w:val="20"/>
              </w:rPr>
              <w:t>）</w:t>
            </w:r>
          </w:p>
        </w:tc>
        <w:tc>
          <w:tcPr>
            <w:tcW w:w="1418" w:type="dxa"/>
            <w:noWrap w:val="0"/>
            <w:vAlign w:val="center"/>
          </w:tcPr>
          <w:p w14:paraId="5A9E1434">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1FD5A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0B5FF3D9">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34</w:t>
            </w:r>
          </w:p>
        </w:tc>
        <w:tc>
          <w:tcPr>
            <w:tcW w:w="620" w:type="dxa"/>
            <w:vMerge w:val="continue"/>
            <w:noWrap w:val="0"/>
            <w:vAlign w:val="center"/>
          </w:tcPr>
          <w:p w14:paraId="64815DF0">
            <w:pPr>
              <w:widowControl/>
              <w:spacing w:line="240" w:lineRule="exact"/>
              <w:jc w:val="left"/>
              <w:rPr>
                <w:rFonts w:hint="eastAsia" w:ascii="宋体" w:hAnsi="宋体"/>
                <w:color w:val="auto"/>
                <w:kern w:val="0"/>
                <w:sz w:val="20"/>
                <w:szCs w:val="20"/>
              </w:rPr>
            </w:pPr>
          </w:p>
        </w:tc>
        <w:tc>
          <w:tcPr>
            <w:tcW w:w="7392" w:type="dxa"/>
            <w:noWrap w:val="0"/>
            <w:vAlign w:val="center"/>
          </w:tcPr>
          <w:p w14:paraId="41B6BF22">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加：境外所得应纳所得税额（填写</w:t>
            </w:r>
            <w:r>
              <w:rPr>
                <w:rFonts w:ascii="宋体" w:hAnsi="宋体"/>
                <w:color w:val="auto"/>
                <w:kern w:val="0"/>
                <w:sz w:val="20"/>
                <w:szCs w:val="20"/>
              </w:rPr>
              <w:t>A108000</w:t>
            </w:r>
            <w:r>
              <w:rPr>
                <w:rFonts w:hint="eastAsia" w:ascii="宋体" w:hAnsi="宋体"/>
                <w:color w:val="auto"/>
                <w:kern w:val="0"/>
                <w:sz w:val="20"/>
                <w:szCs w:val="20"/>
              </w:rPr>
              <w:t>）</w:t>
            </w:r>
          </w:p>
        </w:tc>
        <w:tc>
          <w:tcPr>
            <w:tcW w:w="1418" w:type="dxa"/>
            <w:noWrap w:val="0"/>
            <w:vAlign w:val="center"/>
          </w:tcPr>
          <w:p w14:paraId="1C42D787">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6717B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084845AA">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35</w:t>
            </w:r>
          </w:p>
        </w:tc>
        <w:tc>
          <w:tcPr>
            <w:tcW w:w="620" w:type="dxa"/>
            <w:vMerge w:val="continue"/>
            <w:noWrap w:val="0"/>
            <w:vAlign w:val="center"/>
          </w:tcPr>
          <w:p w14:paraId="7441DE8B">
            <w:pPr>
              <w:widowControl/>
              <w:spacing w:line="240" w:lineRule="exact"/>
              <w:jc w:val="left"/>
              <w:rPr>
                <w:rFonts w:hint="eastAsia" w:ascii="宋体" w:hAnsi="宋体"/>
                <w:color w:val="auto"/>
                <w:kern w:val="0"/>
                <w:sz w:val="20"/>
                <w:szCs w:val="20"/>
              </w:rPr>
            </w:pPr>
          </w:p>
        </w:tc>
        <w:tc>
          <w:tcPr>
            <w:tcW w:w="7392" w:type="dxa"/>
            <w:noWrap w:val="0"/>
            <w:vAlign w:val="center"/>
          </w:tcPr>
          <w:p w14:paraId="183EDD1F">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减：境外所得抵免所得税额（填写</w:t>
            </w:r>
            <w:r>
              <w:rPr>
                <w:rFonts w:ascii="宋体" w:hAnsi="宋体"/>
                <w:color w:val="auto"/>
                <w:kern w:val="0"/>
                <w:sz w:val="20"/>
                <w:szCs w:val="20"/>
              </w:rPr>
              <w:t>A108000</w:t>
            </w:r>
            <w:r>
              <w:rPr>
                <w:rFonts w:hint="eastAsia" w:ascii="宋体" w:hAnsi="宋体"/>
                <w:color w:val="auto"/>
                <w:kern w:val="0"/>
                <w:sz w:val="20"/>
                <w:szCs w:val="20"/>
              </w:rPr>
              <w:t>）</w:t>
            </w:r>
          </w:p>
        </w:tc>
        <w:tc>
          <w:tcPr>
            <w:tcW w:w="1418" w:type="dxa"/>
            <w:noWrap w:val="0"/>
            <w:vAlign w:val="center"/>
          </w:tcPr>
          <w:p w14:paraId="607424FF">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44A34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73940C2C">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36</w:t>
            </w:r>
          </w:p>
        </w:tc>
        <w:tc>
          <w:tcPr>
            <w:tcW w:w="620" w:type="dxa"/>
            <w:vMerge w:val="continue"/>
            <w:noWrap w:val="0"/>
            <w:vAlign w:val="center"/>
          </w:tcPr>
          <w:p w14:paraId="078CDB84">
            <w:pPr>
              <w:widowControl/>
              <w:spacing w:line="240" w:lineRule="exact"/>
              <w:jc w:val="left"/>
              <w:rPr>
                <w:rFonts w:hint="eastAsia" w:ascii="宋体" w:hAnsi="宋体"/>
                <w:color w:val="auto"/>
                <w:kern w:val="0"/>
                <w:sz w:val="20"/>
                <w:szCs w:val="20"/>
              </w:rPr>
            </w:pPr>
          </w:p>
        </w:tc>
        <w:tc>
          <w:tcPr>
            <w:tcW w:w="7392" w:type="dxa"/>
            <w:noWrap w:val="0"/>
            <w:vAlign w:val="center"/>
          </w:tcPr>
          <w:p w14:paraId="27B0026A">
            <w:pPr>
              <w:widowControl/>
              <w:spacing w:line="240" w:lineRule="exact"/>
              <w:jc w:val="left"/>
              <w:rPr>
                <w:rFonts w:hint="eastAsia" w:ascii="宋体" w:hAnsi="宋体" w:eastAsia="宋体"/>
                <w:color w:val="auto"/>
                <w:kern w:val="0"/>
                <w:sz w:val="20"/>
                <w:szCs w:val="20"/>
              </w:rPr>
            </w:pPr>
            <w:r>
              <w:rPr>
                <w:rFonts w:hint="eastAsia" w:ascii="宋体" w:hAnsi="宋体"/>
                <w:color w:val="auto"/>
                <w:kern w:val="0"/>
                <w:sz w:val="20"/>
                <w:szCs w:val="20"/>
              </w:rPr>
              <w:t>八、实际应纳所得税额（</w:t>
            </w:r>
            <w:r>
              <w:rPr>
                <w:rFonts w:ascii="宋体" w:hAnsi="宋体"/>
                <w:color w:val="auto"/>
                <w:kern w:val="0"/>
                <w:sz w:val="20"/>
                <w:szCs w:val="20"/>
              </w:rPr>
              <w:t>33＋34－35</w:t>
            </w:r>
            <w:r>
              <w:rPr>
                <w:rFonts w:hint="eastAsia" w:ascii="宋体" w:hAnsi="宋体"/>
                <w:color w:val="auto"/>
                <w:kern w:val="0"/>
                <w:sz w:val="20"/>
                <w:szCs w:val="20"/>
              </w:rPr>
              <w:t>）</w:t>
            </w:r>
          </w:p>
        </w:tc>
        <w:tc>
          <w:tcPr>
            <w:tcW w:w="1418" w:type="dxa"/>
            <w:noWrap w:val="0"/>
            <w:vAlign w:val="center"/>
          </w:tcPr>
          <w:p w14:paraId="1C456630">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12A6AB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5285EA5F">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37</w:t>
            </w:r>
          </w:p>
        </w:tc>
        <w:tc>
          <w:tcPr>
            <w:tcW w:w="620" w:type="dxa"/>
            <w:vMerge w:val="restart"/>
            <w:noWrap w:val="0"/>
            <w:vAlign w:val="center"/>
          </w:tcPr>
          <w:p w14:paraId="4C0826DA">
            <w:pPr>
              <w:widowControl/>
              <w:spacing w:line="240" w:lineRule="exact"/>
              <w:jc w:val="left"/>
              <w:rPr>
                <w:rFonts w:hint="eastAsia" w:ascii="宋体" w:hAnsi="宋体"/>
                <w:color w:val="auto"/>
                <w:kern w:val="0"/>
                <w:sz w:val="20"/>
                <w:szCs w:val="20"/>
              </w:rPr>
            </w:pPr>
            <w:r>
              <w:rPr>
                <w:rFonts w:hint="eastAsia" w:ascii="宋体" w:hAnsi="宋体"/>
                <w:color w:val="auto"/>
                <w:kern w:val="0"/>
                <w:sz w:val="20"/>
                <w:szCs w:val="20"/>
              </w:rPr>
              <w:t>实际应补（退）税额计算</w:t>
            </w:r>
          </w:p>
        </w:tc>
        <w:tc>
          <w:tcPr>
            <w:tcW w:w="7392" w:type="dxa"/>
            <w:noWrap w:val="0"/>
            <w:vAlign w:val="center"/>
          </w:tcPr>
          <w:p w14:paraId="5E44E320">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减：本年累计预缴所得税额</w:t>
            </w:r>
          </w:p>
        </w:tc>
        <w:tc>
          <w:tcPr>
            <w:tcW w:w="1418" w:type="dxa"/>
            <w:noWrap w:val="0"/>
            <w:vAlign w:val="center"/>
          </w:tcPr>
          <w:p w14:paraId="536CD78E">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0F9F4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272083B0">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38</w:t>
            </w:r>
          </w:p>
        </w:tc>
        <w:tc>
          <w:tcPr>
            <w:tcW w:w="620" w:type="dxa"/>
            <w:vMerge w:val="continue"/>
            <w:noWrap w:val="0"/>
            <w:vAlign w:val="center"/>
          </w:tcPr>
          <w:p w14:paraId="13D2F540">
            <w:pPr>
              <w:widowControl/>
              <w:spacing w:line="240" w:lineRule="exact"/>
              <w:jc w:val="left"/>
              <w:rPr>
                <w:rFonts w:hint="eastAsia" w:ascii="宋体" w:hAnsi="宋体"/>
                <w:color w:val="auto"/>
                <w:kern w:val="0"/>
                <w:sz w:val="20"/>
                <w:szCs w:val="20"/>
              </w:rPr>
            </w:pPr>
          </w:p>
        </w:tc>
        <w:tc>
          <w:tcPr>
            <w:tcW w:w="7392" w:type="dxa"/>
            <w:noWrap w:val="0"/>
            <w:vAlign w:val="center"/>
          </w:tcPr>
          <w:p w14:paraId="5B2DA73D">
            <w:pPr>
              <w:widowControl/>
              <w:spacing w:line="240" w:lineRule="exact"/>
              <w:jc w:val="left"/>
              <w:rPr>
                <w:rFonts w:hint="eastAsia" w:ascii="宋体" w:hAnsi="宋体" w:eastAsia="宋体"/>
                <w:color w:val="auto"/>
                <w:kern w:val="0"/>
                <w:sz w:val="20"/>
                <w:szCs w:val="20"/>
              </w:rPr>
            </w:pPr>
            <w:r>
              <w:rPr>
                <w:rFonts w:hint="eastAsia" w:ascii="宋体" w:hAnsi="宋体"/>
                <w:color w:val="auto"/>
                <w:kern w:val="0"/>
                <w:sz w:val="20"/>
                <w:szCs w:val="20"/>
              </w:rPr>
              <w:t>九、本年应补（退）所得税额（</w:t>
            </w:r>
            <w:r>
              <w:rPr>
                <w:rFonts w:ascii="宋体" w:hAnsi="宋体"/>
                <w:color w:val="auto"/>
                <w:kern w:val="0"/>
                <w:sz w:val="20"/>
                <w:szCs w:val="20"/>
              </w:rPr>
              <w:t>36－37</w:t>
            </w:r>
            <w:r>
              <w:rPr>
                <w:rFonts w:hint="eastAsia" w:ascii="宋体" w:hAnsi="宋体"/>
                <w:color w:val="auto"/>
                <w:kern w:val="0"/>
                <w:sz w:val="20"/>
                <w:szCs w:val="20"/>
              </w:rPr>
              <w:t>）</w:t>
            </w:r>
          </w:p>
        </w:tc>
        <w:tc>
          <w:tcPr>
            <w:tcW w:w="1418" w:type="dxa"/>
            <w:noWrap w:val="0"/>
            <w:vAlign w:val="center"/>
          </w:tcPr>
          <w:p w14:paraId="24E68887">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01F75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66C99216">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39</w:t>
            </w:r>
          </w:p>
        </w:tc>
        <w:tc>
          <w:tcPr>
            <w:tcW w:w="620" w:type="dxa"/>
            <w:vMerge w:val="continue"/>
            <w:noWrap w:val="0"/>
            <w:vAlign w:val="center"/>
          </w:tcPr>
          <w:p w14:paraId="6A15F7C9">
            <w:pPr>
              <w:widowControl/>
              <w:spacing w:line="240" w:lineRule="exact"/>
              <w:jc w:val="left"/>
              <w:rPr>
                <w:rFonts w:hint="eastAsia" w:ascii="宋体" w:hAnsi="宋体"/>
                <w:color w:val="auto"/>
                <w:kern w:val="0"/>
                <w:sz w:val="20"/>
                <w:szCs w:val="20"/>
              </w:rPr>
            </w:pPr>
          </w:p>
        </w:tc>
        <w:tc>
          <w:tcPr>
            <w:tcW w:w="7392" w:type="dxa"/>
            <w:noWrap w:val="0"/>
            <w:vAlign w:val="center"/>
          </w:tcPr>
          <w:p w14:paraId="2EA675A0">
            <w:pPr>
              <w:widowControl/>
              <w:spacing w:line="240" w:lineRule="exact"/>
              <w:ind w:firstLine="400" w:firstLineChars="200"/>
              <w:jc w:val="left"/>
              <w:rPr>
                <w:rFonts w:hint="eastAsia" w:ascii="宋体" w:hAnsi="宋体" w:eastAsia="宋体"/>
                <w:color w:val="auto"/>
                <w:kern w:val="0"/>
                <w:sz w:val="20"/>
                <w:szCs w:val="20"/>
              </w:rPr>
            </w:pPr>
            <w:r>
              <w:rPr>
                <w:rFonts w:hint="eastAsia" w:ascii="宋体" w:hAnsi="宋体"/>
                <w:color w:val="auto"/>
                <w:kern w:val="0"/>
                <w:sz w:val="20"/>
                <w:szCs w:val="20"/>
              </w:rPr>
              <w:t>其中：总机构分摊本年应补（退）所得税额（填写</w:t>
            </w:r>
            <w:r>
              <w:rPr>
                <w:rFonts w:ascii="宋体" w:hAnsi="宋体"/>
                <w:color w:val="auto"/>
                <w:kern w:val="0"/>
                <w:sz w:val="20"/>
                <w:szCs w:val="20"/>
              </w:rPr>
              <w:t>A109000</w:t>
            </w:r>
            <w:r>
              <w:rPr>
                <w:rFonts w:hint="eastAsia" w:ascii="宋体" w:hAnsi="宋体"/>
                <w:color w:val="auto"/>
                <w:kern w:val="0"/>
                <w:sz w:val="20"/>
                <w:szCs w:val="20"/>
              </w:rPr>
              <w:t>）</w:t>
            </w:r>
          </w:p>
        </w:tc>
        <w:tc>
          <w:tcPr>
            <w:tcW w:w="1418" w:type="dxa"/>
            <w:noWrap w:val="0"/>
            <w:vAlign w:val="center"/>
          </w:tcPr>
          <w:p w14:paraId="6164273C">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64C2D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5890C820">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40</w:t>
            </w:r>
          </w:p>
        </w:tc>
        <w:tc>
          <w:tcPr>
            <w:tcW w:w="620" w:type="dxa"/>
            <w:vMerge w:val="continue"/>
            <w:noWrap w:val="0"/>
            <w:vAlign w:val="center"/>
          </w:tcPr>
          <w:p w14:paraId="7533E3A5">
            <w:pPr>
              <w:widowControl/>
              <w:spacing w:line="240" w:lineRule="exact"/>
              <w:jc w:val="left"/>
              <w:rPr>
                <w:rFonts w:hint="eastAsia" w:ascii="宋体" w:hAnsi="宋体"/>
                <w:color w:val="auto"/>
                <w:kern w:val="0"/>
                <w:sz w:val="20"/>
                <w:szCs w:val="20"/>
              </w:rPr>
            </w:pPr>
          </w:p>
        </w:tc>
        <w:tc>
          <w:tcPr>
            <w:tcW w:w="7392" w:type="dxa"/>
            <w:noWrap w:val="0"/>
            <w:vAlign w:val="center"/>
          </w:tcPr>
          <w:p w14:paraId="211A6502">
            <w:pPr>
              <w:widowControl/>
              <w:spacing w:line="240" w:lineRule="exact"/>
              <w:ind w:firstLine="1000" w:firstLineChars="500"/>
              <w:jc w:val="left"/>
              <w:rPr>
                <w:rFonts w:hint="eastAsia" w:ascii="宋体" w:hAnsi="宋体" w:eastAsia="宋体"/>
                <w:color w:val="auto"/>
                <w:kern w:val="0"/>
                <w:sz w:val="20"/>
                <w:szCs w:val="20"/>
              </w:rPr>
            </w:pPr>
            <w:r>
              <w:rPr>
                <w:rFonts w:hint="eastAsia" w:ascii="宋体" w:hAnsi="宋体"/>
                <w:color w:val="auto"/>
                <w:kern w:val="0"/>
                <w:sz w:val="20"/>
                <w:szCs w:val="20"/>
              </w:rPr>
              <w:t>财政集中分配本年应补（退）所得税额（填写</w:t>
            </w:r>
            <w:r>
              <w:rPr>
                <w:rFonts w:ascii="宋体" w:hAnsi="宋体"/>
                <w:color w:val="auto"/>
                <w:kern w:val="0"/>
                <w:sz w:val="20"/>
                <w:szCs w:val="20"/>
              </w:rPr>
              <w:t>A109000</w:t>
            </w:r>
            <w:r>
              <w:rPr>
                <w:rFonts w:hint="eastAsia" w:ascii="宋体" w:hAnsi="宋体"/>
                <w:color w:val="auto"/>
                <w:kern w:val="0"/>
                <w:sz w:val="20"/>
                <w:szCs w:val="20"/>
              </w:rPr>
              <w:t>）</w:t>
            </w:r>
          </w:p>
        </w:tc>
        <w:tc>
          <w:tcPr>
            <w:tcW w:w="1418" w:type="dxa"/>
            <w:noWrap w:val="0"/>
            <w:vAlign w:val="center"/>
          </w:tcPr>
          <w:p w14:paraId="6697D2CE">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4E5C1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6435759A">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41</w:t>
            </w:r>
          </w:p>
        </w:tc>
        <w:tc>
          <w:tcPr>
            <w:tcW w:w="620" w:type="dxa"/>
            <w:vMerge w:val="continue"/>
            <w:noWrap w:val="0"/>
            <w:vAlign w:val="center"/>
          </w:tcPr>
          <w:p w14:paraId="35DAEB90">
            <w:pPr>
              <w:widowControl/>
              <w:spacing w:line="240" w:lineRule="exact"/>
              <w:jc w:val="left"/>
              <w:rPr>
                <w:rFonts w:hint="eastAsia" w:ascii="宋体" w:hAnsi="宋体"/>
                <w:color w:val="auto"/>
                <w:kern w:val="0"/>
                <w:sz w:val="20"/>
                <w:szCs w:val="20"/>
              </w:rPr>
            </w:pPr>
          </w:p>
        </w:tc>
        <w:tc>
          <w:tcPr>
            <w:tcW w:w="7392" w:type="dxa"/>
            <w:noWrap w:val="0"/>
            <w:vAlign w:val="center"/>
          </w:tcPr>
          <w:p w14:paraId="465F3B9F">
            <w:pPr>
              <w:widowControl/>
              <w:spacing w:line="240" w:lineRule="exact"/>
              <w:ind w:firstLine="1000" w:firstLineChars="500"/>
              <w:jc w:val="left"/>
              <w:rPr>
                <w:rFonts w:hint="eastAsia" w:ascii="宋体" w:hAnsi="宋体" w:eastAsia="宋体"/>
                <w:color w:val="auto"/>
                <w:kern w:val="0"/>
                <w:sz w:val="20"/>
                <w:szCs w:val="20"/>
              </w:rPr>
            </w:pPr>
            <w:r>
              <w:rPr>
                <w:rFonts w:hint="eastAsia" w:ascii="宋体" w:hAnsi="宋体"/>
                <w:color w:val="auto"/>
                <w:kern w:val="0"/>
                <w:sz w:val="20"/>
                <w:szCs w:val="20"/>
              </w:rPr>
              <w:t>总机构主体生产经营部门分摊本年应补（退）所得税额（填写</w:t>
            </w:r>
            <w:r>
              <w:rPr>
                <w:rFonts w:ascii="宋体" w:hAnsi="宋体"/>
                <w:color w:val="auto"/>
                <w:kern w:val="0"/>
                <w:sz w:val="20"/>
                <w:szCs w:val="20"/>
              </w:rPr>
              <w:t>A109000</w:t>
            </w:r>
            <w:r>
              <w:rPr>
                <w:rFonts w:hint="eastAsia" w:ascii="宋体" w:hAnsi="宋体"/>
                <w:color w:val="auto"/>
                <w:kern w:val="0"/>
                <w:sz w:val="20"/>
                <w:szCs w:val="20"/>
              </w:rPr>
              <w:t>）</w:t>
            </w:r>
          </w:p>
        </w:tc>
        <w:tc>
          <w:tcPr>
            <w:tcW w:w="1418" w:type="dxa"/>
            <w:noWrap w:val="0"/>
            <w:vAlign w:val="center"/>
          </w:tcPr>
          <w:p w14:paraId="17116EF6">
            <w:pPr>
              <w:widowControl/>
              <w:spacing w:line="240" w:lineRule="exact"/>
              <w:jc w:val="right"/>
              <w:rPr>
                <w:rFonts w:hint="eastAsia" w:ascii="宋体" w:hAnsi="宋体"/>
                <w:color w:val="auto"/>
                <w:kern w:val="0"/>
                <w:sz w:val="20"/>
                <w:szCs w:val="20"/>
              </w:rPr>
            </w:pPr>
            <w:r>
              <w:rPr>
                <w:rFonts w:hint="eastAsia" w:ascii="宋体" w:hAnsi="宋体"/>
                <w:color w:val="auto"/>
                <w:kern w:val="0"/>
                <w:sz w:val="20"/>
                <w:szCs w:val="20"/>
              </w:rPr>
              <w:t>　</w:t>
            </w:r>
          </w:p>
        </w:tc>
      </w:tr>
      <w:tr w14:paraId="6670C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086A0BA8">
            <w:pPr>
              <w:widowControl/>
              <w:spacing w:line="240" w:lineRule="exact"/>
              <w:jc w:val="center"/>
              <w:rPr>
                <w:rFonts w:hint="eastAsia" w:ascii="宋体" w:hAnsi="宋体"/>
                <w:color w:val="auto"/>
                <w:kern w:val="0"/>
                <w:sz w:val="20"/>
                <w:szCs w:val="20"/>
              </w:rPr>
            </w:pPr>
            <w:r>
              <w:rPr>
                <w:rFonts w:ascii="宋体" w:hAnsi="宋体"/>
                <w:color w:val="auto"/>
                <w:kern w:val="0"/>
                <w:sz w:val="20"/>
                <w:szCs w:val="20"/>
              </w:rPr>
              <w:t>42</w:t>
            </w:r>
          </w:p>
        </w:tc>
        <w:tc>
          <w:tcPr>
            <w:tcW w:w="620" w:type="dxa"/>
            <w:vMerge w:val="continue"/>
            <w:noWrap w:val="0"/>
            <w:vAlign w:val="center"/>
          </w:tcPr>
          <w:p w14:paraId="644CE16D">
            <w:pPr>
              <w:widowControl/>
              <w:spacing w:line="240" w:lineRule="exact"/>
              <w:jc w:val="left"/>
              <w:rPr>
                <w:rFonts w:hint="eastAsia" w:ascii="宋体" w:hAnsi="宋体"/>
                <w:color w:val="auto"/>
                <w:kern w:val="0"/>
                <w:sz w:val="20"/>
                <w:szCs w:val="20"/>
              </w:rPr>
            </w:pPr>
          </w:p>
        </w:tc>
        <w:tc>
          <w:tcPr>
            <w:tcW w:w="7392" w:type="dxa"/>
            <w:noWrap w:val="0"/>
            <w:vAlign w:val="center"/>
          </w:tcPr>
          <w:p w14:paraId="0F2E4385">
            <w:pPr>
              <w:spacing w:line="240" w:lineRule="exact"/>
              <w:rPr>
                <w:rFonts w:hint="eastAsia" w:ascii="宋体" w:hAnsi="宋体" w:eastAsia="宋体"/>
                <w:color w:val="auto"/>
                <w:kern w:val="0"/>
                <w:sz w:val="20"/>
                <w:szCs w:val="20"/>
              </w:rPr>
            </w:pPr>
            <w:r>
              <w:rPr>
                <w:rFonts w:hint="eastAsia" w:ascii="宋体" w:hAnsi="宋体"/>
                <w:color w:val="auto"/>
                <w:kern w:val="0"/>
                <w:sz w:val="20"/>
                <w:szCs w:val="20"/>
              </w:rPr>
              <w:t>减：民族自治地区企业所得税地方分享部分：（□</w:t>
            </w:r>
            <w:r>
              <w:rPr>
                <w:rFonts w:ascii="宋体" w:hAnsi="宋体"/>
                <w:color w:val="auto"/>
                <w:kern w:val="0"/>
                <w:sz w:val="20"/>
                <w:szCs w:val="20"/>
              </w:rPr>
              <w:t xml:space="preserve"> </w:t>
            </w:r>
            <w:r>
              <w:rPr>
                <w:rFonts w:hint="eastAsia" w:ascii="宋体" w:hAnsi="宋体"/>
                <w:color w:val="auto"/>
                <w:kern w:val="0"/>
                <w:sz w:val="20"/>
                <w:szCs w:val="20"/>
              </w:rPr>
              <w:t>免征</w:t>
            </w:r>
            <w:r>
              <w:rPr>
                <w:rFonts w:ascii="宋体" w:hAnsi="宋体"/>
                <w:color w:val="auto"/>
                <w:kern w:val="0"/>
                <w:sz w:val="20"/>
                <w:szCs w:val="20"/>
              </w:rPr>
              <w:t xml:space="preserve"> □ </w:t>
            </w:r>
            <w:r>
              <w:rPr>
                <w:rFonts w:hint="eastAsia" w:ascii="宋体" w:hAnsi="宋体"/>
                <w:color w:val="auto"/>
                <w:kern w:val="0"/>
                <w:sz w:val="20"/>
                <w:szCs w:val="20"/>
              </w:rPr>
              <w:t>减征：减征幅度</w:t>
            </w:r>
            <w:r>
              <w:rPr>
                <w:rFonts w:ascii="宋体" w:hAnsi="宋体"/>
                <w:color w:val="auto"/>
                <w:kern w:val="0"/>
                <w:sz w:val="20"/>
                <w:szCs w:val="20"/>
                <w:u w:val="single"/>
              </w:rPr>
              <w:t xml:space="preserve">   </w:t>
            </w:r>
            <w:r>
              <w:rPr>
                <w:rFonts w:ascii="宋体" w:hAnsi="宋体"/>
                <w:color w:val="auto"/>
                <w:kern w:val="0"/>
                <w:sz w:val="20"/>
                <w:szCs w:val="20"/>
              </w:rPr>
              <w:t>%</w:t>
            </w:r>
            <w:r>
              <w:rPr>
                <w:rFonts w:hint="eastAsia" w:ascii="宋体" w:hAnsi="宋体"/>
                <w:color w:val="auto"/>
                <w:kern w:val="0"/>
                <w:sz w:val="20"/>
                <w:szCs w:val="20"/>
              </w:rPr>
              <w:t>）</w:t>
            </w:r>
          </w:p>
        </w:tc>
        <w:tc>
          <w:tcPr>
            <w:tcW w:w="1418" w:type="dxa"/>
            <w:noWrap w:val="0"/>
            <w:vAlign w:val="center"/>
          </w:tcPr>
          <w:p w14:paraId="03AFFCE0">
            <w:pPr>
              <w:widowControl/>
              <w:spacing w:line="240" w:lineRule="exact"/>
              <w:jc w:val="right"/>
              <w:rPr>
                <w:rFonts w:hint="eastAsia" w:ascii="宋体" w:hAnsi="宋体"/>
                <w:color w:val="auto"/>
                <w:kern w:val="0"/>
                <w:sz w:val="20"/>
                <w:szCs w:val="20"/>
              </w:rPr>
            </w:pPr>
          </w:p>
        </w:tc>
      </w:tr>
      <w:tr w14:paraId="22608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1D958388">
            <w:pPr>
              <w:widowControl/>
              <w:spacing w:line="240" w:lineRule="exact"/>
              <w:jc w:val="center"/>
              <w:rPr>
                <w:rFonts w:hint="eastAsia" w:ascii="宋体" w:hAnsi="宋体" w:eastAsia="宋体"/>
                <w:color w:val="auto"/>
                <w:kern w:val="0"/>
                <w:sz w:val="20"/>
                <w:szCs w:val="20"/>
              </w:rPr>
            </w:pPr>
            <w:r>
              <w:rPr>
                <w:rFonts w:hint="eastAsia" w:ascii="宋体" w:hAnsi="宋体"/>
                <w:color w:val="auto"/>
                <w:kern w:val="0"/>
                <w:sz w:val="20"/>
                <w:szCs w:val="20"/>
              </w:rPr>
              <w:t>43</w:t>
            </w:r>
          </w:p>
        </w:tc>
        <w:tc>
          <w:tcPr>
            <w:tcW w:w="620" w:type="dxa"/>
            <w:vMerge w:val="continue"/>
            <w:noWrap w:val="0"/>
            <w:vAlign w:val="center"/>
          </w:tcPr>
          <w:p w14:paraId="53AC94DF">
            <w:pPr>
              <w:widowControl/>
              <w:spacing w:line="240" w:lineRule="exact"/>
              <w:jc w:val="left"/>
              <w:rPr>
                <w:rFonts w:hint="eastAsia" w:ascii="宋体" w:hAnsi="宋体"/>
                <w:color w:val="auto"/>
                <w:kern w:val="0"/>
                <w:sz w:val="20"/>
                <w:szCs w:val="20"/>
              </w:rPr>
            </w:pPr>
          </w:p>
        </w:tc>
        <w:tc>
          <w:tcPr>
            <w:tcW w:w="7392" w:type="dxa"/>
            <w:noWrap w:val="0"/>
            <w:vAlign w:val="center"/>
          </w:tcPr>
          <w:p w14:paraId="19365E03">
            <w:pPr>
              <w:widowControl/>
              <w:spacing w:line="240" w:lineRule="exact"/>
              <w:jc w:val="left"/>
              <w:rPr>
                <w:rFonts w:hint="eastAsia" w:ascii="宋体" w:hAnsi="宋体" w:eastAsia="宋体"/>
                <w:color w:val="auto"/>
                <w:kern w:val="0"/>
                <w:sz w:val="20"/>
                <w:szCs w:val="20"/>
                <w:lang w:eastAsia="zh-CN"/>
              </w:rPr>
            </w:pPr>
            <w:r>
              <w:rPr>
                <w:rFonts w:hint="eastAsia" w:ascii="宋体" w:hAnsi="宋体"/>
                <w:color w:val="auto"/>
                <w:kern w:val="0"/>
                <w:sz w:val="20"/>
                <w:szCs w:val="20"/>
              </w:rPr>
              <w:t>减：</w:t>
            </w:r>
            <w:r>
              <w:rPr>
                <w:rFonts w:ascii="宋体" w:hAnsi="宋体" w:eastAsia="宋体"/>
                <w:color w:val="auto"/>
                <w:kern w:val="0"/>
                <w:sz w:val="20"/>
                <w:szCs w:val="20"/>
              </w:rPr>
              <w:t>稽查查</w:t>
            </w:r>
            <w:r>
              <w:rPr>
                <w:rFonts w:hint="eastAsia" w:ascii="宋体" w:hAnsi="宋体"/>
                <w:color w:val="auto"/>
                <w:kern w:val="0"/>
                <w:sz w:val="20"/>
                <w:szCs w:val="20"/>
              </w:rPr>
              <w:t>补（退）</w:t>
            </w:r>
            <w:r>
              <w:rPr>
                <w:rFonts w:ascii="宋体" w:hAnsi="宋体" w:eastAsia="宋体"/>
                <w:color w:val="auto"/>
                <w:kern w:val="0"/>
                <w:sz w:val="20"/>
                <w:szCs w:val="20"/>
              </w:rPr>
              <w:t>所得税额</w:t>
            </w:r>
          </w:p>
        </w:tc>
        <w:tc>
          <w:tcPr>
            <w:tcW w:w="1418" w:type="dxa"/>
            <w:noWrap w:val="0"/>
            <w:vAlign w:val="center"/>
          </w:tcPr>
          <w:p w14:paraId="393BC4C8">
            <w:pPr>
              <w:widowControl/>
              <w:spacing w:line="240" w:lineRule="exact"/>
              <w:jc w:val="right"/>
              <w:rPr>
                <w:rFonts w:hint="eastAsia" w:ascii="宋体" w:hAnsi="宋体"/>
                <w:color w:val="auto"/>
                <w:kern w:val="0"/>
                <w:sz w:val="20"/>
                <w:szCs w:val="20"/>
              </w:rPr>
            </w:pPr>
          </w:p>
        </w:tc>
      </w:tr>
      <w:tr w14:paraId="2F1A7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3BE94367">
            <w:pPr>
              <w:widowControl/>
              <w:spacing w:line="240" w:lineRule="exact"/>
              <w:jc w:val="center"/>
              <w:rPr>
                <w:rFonts w:hint="eastAsia" w:ascii="宋体" w:hAnsi="宋体" w:eastAsia="宋体" w:cs="Times New Roman"/>
                <w:color w:val="auto"/>
                <w:kern w:val="0"/>
                <w:sz w:val="20"/>
                <w:szCs w:val="20"/>
                <w:lang w:val="en-US" w:eastAsia="zh-CN" w:bidi="ar-SA"/>
              </w:rPr>
            </w:pPr>
            <w:r>
              <w:rPr>
                <w:rFonts w:ascii="宋体" w:hAnsi="宋体"/>
                <w:color w:val="auto"/>
                <w:kern w:val="0"/>
                <w:sz w:val="20"/>
                <w:szCs w:val="20"/>
              </w:rPr>
              <w:t>4</w:t>
            </w:r>
            <w:r>
              <w:rPr>
                <w:rFonts w:hint="eastAsia" w:ascii="宋体" w:hAnsi="宋体"/>
                <w:color w:val="auto"/>
                <w:kern w:val="0"/>
                <w:sz w:val="20"/>
                <w:szCs w:val="20"/>
                <w:lang w:val="en-US" w:eastAsia="zh-CN"/>
              </w:rPr>
              <w:t>4</w:t>
            </w:r>
          </w:p>
        </w:tc>
        <w:tc>
          <w:tcPr>
            <w:tcW w:w="620" w:type="dxa"/>
            <w:vMerge w:val="continue"/>
            <w:noWrap w:val="0"/>
            <w:vAlign w:val="center"/>
          </w:tcPr>
          <w:p w14:paraId="134DF24C">
            <w:pPr>
              <w:widowControl/>
              <w:spacing w:line="240" w:lineRule="exact"/>
              <w:jc w:val="left"/>
              <w:rPr>
                <w:rFonts w:hint="eastAsia" w:ascii="宋体" w:hAnsi="宋体"/>
                <w:color w:val="auto"/>
                <w:kern w:val="0"/>
                <w:sz w:val="20"/>
                <w:szCs w:val="20"/>
              </w:rPr>
            </w:pPr>
          </w:p>
        </w:tc>
        <w:tc>
          <w:tcPr>
            <w:tcW w:w="7392" w:type="dxa"/>
            <w:noWrap w:val="0"/>
            <w:vAlign w:val="center"/>
          </w:tcPr>
          <w:p w14:paraId="65C91B0C">
            <w:pPr>
              <w:widowControl/>
              <w:spacing w:line="240" w:lineRule="exact"/>
              <w:jc w:val="left"/>
              <w:rPr>
                <w:rFonts w:hint="eastAsia" w:ascii="宋体" w:hAnsi="宋体"/>
                <w:color w:val="auto"/>
                <w:kern w:val="0"/>
                <w:sz w:val="20"/>
                <w:szCs w:val="20"/>
              </w:rPr>
            </w:pPr>
            <w:r>
              <w:rPr>
                <w:rFonts w:hint="eastAsia" w:ascii="宋体" w:hAnsi="宋体"/>
                <w:color w:val="auto"/>
                <w:kern w:val="0"/>
                <w:sz w:val="20"/>
                <w:szCs w:val="20"/>
              </w:rPr>
              <w:t>减：</w:t>
            </w:r>
            <w:r>
              <w:rPr>
                <w:rFonts w:ascii="宋体" w:hAnsi="宋体" w:eastAsia="宋体"/>
                <w:color w:val="auto"/>
                <w:kern w:val="0"/>
                <w:sz w:val="20"/>
                <w:szCs w:val="20"/>
              </w:rPr>
              <w:t>特别纳税调整</w:t>
            </w:r>
            <w:r>
              <w:rPr>
                <w:rFonts w:hint="eastAsia" w:ascii="宋体" w:hAnsi="宋体"/>
                <w:color w:val="auto"/>
                <w:kern w:val="0"/>
                <w:sz w:val="20"/>
                <w:szCs w:val="20"/>
              </w:rPr>
              <w:t>补（退）</w:t>
            </w:r>
            <w:r>
              <w:rPr>
                <w:rFonts w:ascii="宋体" w:hAnsi="宋体" w:eastAsia="宋体"/>
                <w:color w:val="auto"/>
                <w:kern w:val="0"/>
                <w:sz w:val="20"/>
                <w:szCs w:val="20"/>
              </w:rPr>
              <w:t>所得税额</w:t>
            </w:r>
          </w:p>
        </w:tc>
        <w:tc>
          <w:tcPr>
            <w:tcW w:w="1418" w:type="dxa"/>
            <w:noWrap w:val="0"/>
            <w:vAlign w:val="center"/>
          </w:tcPr>
          <w:p w14:paraId="286998A2">
            <w:pPr>
              <w:widowControl/>
              <w:spacing w:line="240" w:lineRule="exact"/>
              <w:jc w:val="right"/>
              <w:rPr>
                <w:rFonts w:hint="eastAsia" w:ascii="宋体" w:hAnsi="宋体"/>
                <w:color w:val="auto"/>
                <w:kern w:val="0"/>
                <w:sz w:val="20"/>
                <w:szCs w:val="20"/>
              </w:rPr>
            </w:pPr>
          </w:p>
        </w:tc>
      </w:tr>
      <w:tr w14:paraId="07219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20" w:type="dxa"/>
            <w:noWrap w:val="0"/>
            <w:vAlign w:val="center"/>
          </w:tcPr>
          <w:p w14:paraId="1B2D77A0">
            <w:pPr>
              <w:widowControl/>
              <w:spacing w:line="240" w:lineRule="exact"/>
              <w:jc w:val="center"/>
              <w:rPr>
                <w:rFonts w:hint="eastAsia" w:ascii="宋体" w:hAnsi="宋体" w:eastAsia="宋体"/>
                <w:color w:val="auto"/>
                <w:kern w:val="0"/>
                <w:sz w:val="20"/>
                <w:szCs w:val="20"/>
                <w:lang w:val="en-US" w:eastAsia="zh-CN"/>
              </w:rPr>
            </w:pPr>
            <w:r>
              <w:rPr>
                <w:rFonts w:ascii="宋体" w:hAnsi="宋体"/>
                <w:color w:val="auto"/>
                <w:kern w:val="0"/>
                <w:sz w:val="20"/>
                <w:szCs w:val="20"/>
              </w:rPr>
              <w:t>4</w:t>
            </w:r>
            <w:r>
              <w:rPr>
                <w:rFonts w:hint="eastAsia" w:ascii="宋体" w:hAnsi="宋体"/>
                <w:color w:val="auto"/>
                <w:kern w:val="0"/>
                <w:sz w:val="20"/>
                <w:szCs w:val="20"/>
                <w:lang w:val="en-US" w:eastAsia="zh-CN"/>
              </w:rPr>
              <w:t>5</w:t>
            </w:r>
          </w:p>
        </w:tc>
        <w:tc>
          <w:tcPr>
            <w:tcW w:w="620" w:type="dxa"/>
            <w:vMerge w:val="continue"/>
            <w:noWrap w:val="0"/>
            <w:vAlign w:val="center"/>
          </w:tcPr>
          <w:p w14:paraId="623929D6">
            <w:pPr>
              <w:widowControl/>
              <w:spacing w:line="240" w:lineRule="exact"/>
              <w:jc w:val="left"/>
              <w:rPr>
                <w:rFonts w:hint="eastAsia" w:ascii="宋体" w:hAnsi="宋体"/>
                <w:color w:val="auto"/>
                <w:kern w:val="0"/>
                <w:sz w:val="20"/>
                <w:szCs w:val="20"/>
              </w:rPr>
            </w:pPr>
          </w:p>
        </w:tc>
        <w:tc>
          <w:tcPr>
            <w:tcW w:w="7392" w:type="dxa"/>
            <w:noWrap w:val="0"/>
            <w:vAlign w:val="center"/>
          </w:tcPr>
          <w:p w14:paraId="67BED94D">
            <w:pPr>
              <w:widowControl/>
              <w:spacing w:line="240" w:lineRule="exact"/>
              <w:jc w:val="left"/>
              <w:rPr>
                <w:rFonts w:hint="eastAsia" w:ascii="宋体" w:hAnsi="宋体" w:eastAsia="宋体"/>
                <w:color w:val="auto"/>
                <w:kern w:val="0"/>
                <w:sz w:val="20"/>
                <w:szCs w:val="20"/>
              </w:rPr>
            </w:pPr>
            <w:r>
              <w:rPr>
                <w:rFonts w:hint="eastAsia" w:ascii="宋体" w:hAnsi="宋体"/>
                <w:color w:val="auto"/>
                <w:kern w:val="0"/>
                <w:sz w:val="20"/>
                <w:szCs w:val="20"/>
              </w:rPr>
              <w:t>十、本年实际应补（退）所得税额（</w:t>
            </w:r>
            <w:r>
              <w:rPr>
                <w:rFonts w:ascii="宋体" w:hAnsi="宋体"/>
                <w:color w:val="auto"/>
                <w:kern w:val="0"/>
                <w:sz w:val="20"/>
                <w:szCs w:val="20"/>
              </w:rPr>
              <w:t>38－42</w:t>
            </w:r>
            <w:r>
              <w:rPr>
                <w:rFonts w:hint="eastAsia" w:ascii="宋体" w:hAnsi="宋体"/>
                <w:color w:val="auto"/>
                <w:kern w:val="0"/>
                <w:sz w:val="20"/>
                <w:szCs w:val="20"/>
              </w:rPr>
              <w:t>－43－44）</w:t>
            </w:r>
          </w:p>
        </w:tc>
        <w:tc>
          <w:tcPr>
            <w:tcW w:w="1418" w:type="dxa"/>
            <w:noWrap w:val="0"/>
            <w:vAlign w:val="center"/>
          </w:tcPr>
          <w:p w14:paraId="4EF8652A">
            <w:pPr>
              <w:widowControl/>
              <w:spacing w:line="240" w:lineRule="exact"/>
              <w:jc w:val="right"/>
              <w:rPr>
                <w:rFonts w:hint="eastAsia" w:ascii="宋体" w:hAnsi="宋体" w:eastAsia="宋体"/>
                <w:color w:val="auto"/>
                <w:kern w:val="0"/>
                <w:sz w:val="20"/>
                <w:szCs w:val="20"/>
              </w:rPr>
            </w:pPr>
          </w:p>
        </w:tc>
      </w:tr>
    </w:tbl>
    <w:p w14:paraId="3D85F12B">
      <w:pPr>
        <w:widowControl/>
        <w:jc w:val="left"/>
        <w:rPr>
          <w:color w:val="auto"/>
        </w:rPr>
      </w:pPr>
      <w:r>
        <w:rPr>
          <w:color w:val="auto"/>
        </w:rPr>
        <w:br w:type="page"/>
      </w:r>
    </w:p>
    <w:p w14:paraId="5AFD84C1">
      <w:pPr>
        <w:pStyle w:val="7"/>
        <w:rPr>
          <w:rFonts w:hint="eastAsia" w:ascii="方正小标宋_GBK" w:hAnsi="方正小标宋_GBK" w:eastAsia="方正小标宋_GBK" w:cs="方正小标宋_GBK"/>
          <w:color w:val="auto"/>
        </w:rPr>
      </w:pPr>
      <w:bookmarkStart w:id="8" w:name="_Toc164008813"/>
      <w:bookmarkStart w:id="9" w:name="_Toc1634982304"/>
      <w:bookmarkStart w:id="10" w:name="_Toc176972043"/>
      <w:bookmarkStart w:id="11" w:name="_Toc7304"/>
      <w:bookmarkStart w:id="12" w:name="_Toc21286"/>
      <w:bookmarkStart w:id="13" w:name="_Toc12075"/>
      <w:bookmarkStart w:id="14" w:name="_Toc54267893"/>
      <w:bookmarkStart w:id="15" w:name="_Toc9829"/>
      <w:bookmarkStart w:id="16" w:name="_Toc24132"/>
      <w:bookmarkStart w:id="17" w:name="_Toc26285"/>
      <w:bookmarkStart w:id="18" w:name="_Toc11389"/>
      <w:r>
        <w:rPr>
          <w:rFonts w:hint="eastAsia" w:ascii="方正小标宋_GBK" w:hAnsi="方正小标宋_GBK" w:eastAsia="方正小标宋_GBK" w:cs="方正小标宋_GBK"/>
          <w:color w:val="auto"/>
        </w:rPr>
        <w:t>A100000《企业所得税年度纳税申报主表》填报说明</w:t>
      </w:r>
      <w:bookmarkEnd w:id="8"/>
      <w:bookmarkEnd w:id="9"/>
      <w:bookmarkEnd w:id="10"/>
    </w:p>
    <w:bookmarkEnd w:id="11"/>
    <w:bookmarkEnd w:id="12"/>
    <w:bookmarkEnd w:id="13"/>
    <w:bookmarkEnd w:id="14"/>
    <w:bookmarkEnd w:id="15"/>
    <w:bookmarkEnd w:id="16"/>
    <w:bookmarkEnd w:id="17"/>
    <w:bookmarkEnd w:id="18"/>
    <w:p w14:paraId="681C907D">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本表为企业所得税年度纳税申报表的主表，纳税人应当</w:t>
      </w:r>
      <w:r>
        <w:rPr>
          <w:rFonts w:hint="eastAsia" w:ascii="宋体" w:hAnsi="宋体" w:eastAsia="宋体" w:cs="宋体"/>
          <w:color w:val="auto"/>
          <w:lang w:eastAsia="zh-CN"/>
        </w:rPr>
        <w:t>根据有关规定</w:t>
      </w:r>
      <w:r>
        <w:rPr>
          <w:rFonts w:hint="eastAsia" w:ascii="宋体" w:hAnsi="宋体" w:eastAsia="宋体" w:cs="宋体"/>
          <w:color w:val="auto"/>
        </w:rPr>
        <w:t>计算填报利润总额、应纳税所得额、应纳税额和实际应补（退）税额等有关项目。纳税人在计算应纳税所得额及应纳税额时，会计处理与税收规定不一致的，应当按照税收规定计算。税收规定不明确的，在没有明确规定之前，暂按国家统一会计制度计算。</w:t>
      </w:r>
    </w:p>
    <w:p w14:paraId="0F92E104">
      <w:pPr>
        <w:pStyle w:val="10"/>
        <w:ind w:firstLine="480"/>
        <w:jc w:val="both"/>
        <w:outlineLvl w:val="1"/>
        <w:rPr>
          <w:rFonts w:hint="eastAsia"/>
          <w:color w:val="auto"/>
          <w:sz w:val="24"/>
          <w:szCs w:val="24"/>
        </w:rPr>
      </w:pPr>
      <w:bookmarkStart w:id="19" w:name="_Toc30416"/>
      <w:bookmarkStart w:id="20" w:name="_Toc26832"/>
      <w:bookmarkStart w:id="21" w:name="_Toc164008814"/>
      <w:bookmarkStart w:id="22" w:name="_Toc163974756"/>
      <w:bookmarkStart w:id="23" w:name="_Toc1624919271"/>
      <w:bookmarkStart w:id="24" w:name="_Toc17105"/>
      <w:bookmarkStart w:id="25" w:name="_Toc18808"/>
      <w:bookmarkStart w:id="26" w:name="_Toc176972044"/>
      <w:bookmarkStart w:id="27" w:name="_Toc1191137581_WPSOffice_Level1"/>
      <w:bookmarkStart w:id="28" w:name="_Toc3511"/>
      <w:bookmarkStart w:id="29" w:name="_Toc29250"/>
      <w:bookmarkStart w:id="30" w:name="_Toc163974560"/>
      <w:bookmarkStart w:id="31" w:name="_Toc3391"/>
      <w:bookmarkStart w:id="32" w:name="_Toc238322417_WPSOffice_Level1"/>
      <w:r>
        <w:rPr>
          <w:rFonts w:hint="eastAsia"/>
          <w:color w:val="auto"/>
          <w:sz w:val="24"/>
          <w:szCs w:val="24"/>
        </w:rPr>
        <w:t>一、有关项目填报说明</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F814B93">
      <w:pPr>
        <w:pStyle w:val="11"/>
        <w:ind w:firstLine="480"/>
        <w:rPr>
          <w:rFonts w:hint="eastAsia"/>
          <w:color w:val="auto"/>
        </w:rPr>
      </w:pPr>
      <w:bookmarkStart w:id="33" w:name="_Toc1431273687_WPSOffice_Level2"/>
      <w:bookmarkStart w:id="34" w:name="_Toc1473874572_WPSOffice_Level2"/>
      <w:r>
        <w:rPr>
          <w:rFonts w:hint="eastAsia"/>
          <w:color w:val="auto"/>
        </w:rPr>
        <w:t>（一）表体项目</w:t>
      </w:r>
      <w:bookmarkEnd w:id="33"/>
      <w:bookmarkEnd w:id="34"/>
    </w:p>
    <w:p w14:paraId="06411482">
      <w:pPr>
        <w:pStyle w:val="8"/>
        <w:ind w:firstLine="480"/>
        <w:rPr>
          <w:rFonts w:hint="eastAsia"/>
          <w:color w:val="auto"/>
        </w:rPr>
      </w:pPr>
      <w:r>
        <w:rPr>
          <w:rFonts w:hint="eastAsia"/>
          <w:color w:val="auto"/>
        </w:rPr>
        <w:t>本表是在纳税人会计利润总额的基础上，加减纳税调整等金额后计算出“纳税调整后所得”。会计与税法的差异（包括收入类、扣除类、资产类等差异）通过《纳税调整项目明细表》（A105000）集中填报。</w:t>
      </w:r>
    </w:p>
    <w:p w14:paraId="4B69E51D">
      <w:pPr>
        <w:pStyle w:val="8"/>
        <w:ind w:firstLine="480"/>
        <w:rPr>
          <w:rFonts w:hint="eastAsia"/>
          <w:color w:val="auto"/>
        </w:rPr>
      </w:pPr>
      <w:r>
        <w:rPr>
          <w:rFonts w:hint="eastAsia"/>
          <w:color w:val="auto"/>
        </w:rPr>
        <w:t>本表包括利润总额计算、应纳税所得额计算、应纳税额计算、实际应补（退）税额计算四个部分。</w:t>
      </w:r>
    </w:p>
    <w:p w14:paraId="5222AFBF">
      <w:pPr>
        <w:pStyle w:val="8"/>
        <w:ind w:firstLine="480"/>
        <w:rPr>
          <w:rFonts w:hint="eastAsia"/>
          <w:color w:val="auto"/>
        </w:rPr>
      </w:pPr>
      <w:r>
        <w:rPr>
          <w:rFonts w:hint="eastAsia"/>
          <w:color w:val="auto"/>
        </w:rPr>
        <w:t>1.“利润总额计算”部分，按照国家统一会计制度规定计算填报。</w:t>
      </w:r>
      <w:bookmarkStart w:id="35" w:name="_Hlk164241768"/>
      <w:r>
        <w:rPr>
          <w:rFonts w:hint="eastAsia"/>
          <w:color w:val="auto"/>
        </w:rPr>
        <w:t>执</w:t>
      </w:r>
      <w:bookmarkEnd w:id="35"/>
      <w:r>
        <w:rPr>
          <w:rFonts w:hint="eastAsia"/>
          <w:color w:val="auto"/>
        </w:rPr>
        <w:t>行企业会计准则、小企业会计准则、企业会计制度等的纳税人，其数据直接取自《利润表》（另有说明的除外）；执行</w:t>
      </w:r>
      <w:bookmarkStart w:id="36" w:name="_Hlk134867403"/>
      <w:r>
        <w:rPr>
          <w:rFonts w:hint="eastAsia"/>
          <w:color w:val="auto"/>
        </w:rPr>
        <w:t>政府会计准则制度</w:t>
      </w:r>
      <w:bookmarkEnd w:id="36"/>
      <w:r>
        <w:rPr>
          <w:rFonts w:hint="eastAsia"/>
          <w:color w:val="auto"/>
        </w:rPr>
        <w:t>的纳税人，其数据取自《收入支出表》；执行民间非营利组织会计制度的纳税人，其数据取自《业务活动表》；执行其他国家统一会计制度的纳税人，根据本表项目进行分析填报。</w:t>
      </w:r>
    </w:p>
    <w:p w14:paraId="1AD8FD6A">
      <w:pPr>
        <w:pStyle w:val="8"/>
        <w:ind w:firstLine="480"/>
        <w:rPr>
          <w:rFonts w:hint="eastAsia"/>
          <w:color w:val="auto"/>
        </w:rPr>
      </w:pPr>
      <w:r>
        <w:rPr>
          <w:rFonts w:hint="eastAsia"/>
          <w:color w:val="auto"/>
        </w:rPr>
        <w:t>2.“应纳税所得额计算”、“应纳税额计算”和“实际应补（退）税额计算”部分，根据具体项目填写。</w:t>
      </w:r>
    </w:p>
    <w:p w14:paraId="40354BE1">
      <w:pPr>
        <w:pStyle w:val="11"/>
        <w:ind w:firstLine="480"/>
        <w:rPr>
          <w:rFonts w:hint="eastAsia"/>
          <w:color w:val="auto"/>
        </w:rPr>
      </w:pPr>
      <w:bookmarkStart w:id="37" w:name="_Toc961699152_WPSOffice_Level2"/>
      <w:bookmarkStart w:id="38" w:name="_Toc164281316_WPSOffice_Level2"/>
      <w:r>
        <w:rPr>
          <w:rFonts w:hint="eastAsia"/>
          <w:color w:val="auto"/>
        </w:rPr>
        <w:t>（二）行次说明</w:t>
      </w:r>
      <w:bookmarkEnd w:id="37"/>
      <w:bookmarkEnd w:id="38"/>
    </w:p>
    <w:p w14:paraId="6A50B772">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1.第1行“营业收入”：填报纳税人主要经营业务和其他经营业务取得的收入总额。本行根据“主营业务收入”和“其他业务收入”的数额填报。一般企业纳税人</w:t>
      </w:r>
      <w:r>
        <w:rPr>
          <w:rFonts w:hint="eastAsia" w:ascii="宋体" w:hAnsi="宋体" w:eastAsia="宋体" w:cs="宋体"/>
          <w:color w:val="auto"/>
          <w:lang w:eastAsia="zh-CN"/>
        </w:rPr>
        <w:t>在</w:t>
      </w:r>
      <w:r>
        <w:rPr>
          <w:rFonts w:hint="eastAsia" w:ascii="宋体" w:hAnsi="宋体" w:eastAsia="宋体" w:cs="宋体"/>
          <w:color w:val="auto"/>
        </w:rPr>
        <w:t>《一般企业收入明细表》（A101010）填报</w:t>
      </w:r>
      <w:r>
        <w:rPr>
          <w:rFonts w:hint="eastAsia" w:ascii="宋体" w:hAnsi="宋体" w:eastAsia="宋体" w:cs="宋体"/>
          <w:color w:val="auto"/>
          <w:lang w:eastAsia="zh-CN"/>
        </w:rPr>
        <w:t>具体情况</w:t>
      </w:r>
      <w:r>
        <w:rPr>
          <w:rFonts w:hint="eastAsia" w:ascii="宋体" w:hAnsi="宋体" w:eastAsia="宋体" w:cs="宋体"/>
          <w:color w:val="auto"/>
        </w:rPr>
        <w:t>；金融企业纳税人</w:t>
      </w:r>
      <w:r>
        <w:rPr>
          <w:rFonts w:hint="eastAsia" w:ascii="宋体" w:hAnsi="宋体" w:eastAsia="宋体" w:cs="宋体"/>
          <w:color w:val="auto"/>
          <w:lang w:eastAsia="zh-CN"/>
        </w:rPr>
        <w:t>在</w:t>
      </w:r>
      <w:r>
        <w:rPr>
          <w:rFonts w:hint="eastAsia" w:ascii="宋体" w:hAnsi="宋体" w:eastAsia="宋体" w:cs="宋体"/>
          <w:color w:val="auto"/>
        </w:rPr>
        <w:t>《金融企业收入明细表》（A101020）填报</w:t>
      </w:r>
      <w:r>
        <w:rPr>
          <w:rFonts w:hint="eastAsia" w:ascii="宋体" w:hAnsi="宋体" w:eastAsia="宋体" w:cs="宋体"/>
          <w:color w:val="auto"/>
          <w:lang w:eastAsia="zh-CN"/>
        </w:rPr>
        <w:t>具体情况</w:t>
      </w:r>
      <w:r>
        <w:rPr>
          <w:rFonts w:hint="eastAsia" w:ascii="宋体" w:hAnsi="宋体" w:eastAsia="宋体" w:cs="宋体"/>
          <w:color w:val="auto"/>
        </w:rPr>
        <w:t>；事业单位、社会团体、民办非企业单位、非营利组织等纳税人</w:t>
      </w:r>
      <w:r>
        <w:rPr>
          <w:rFonts w:hint="eastAsia" w:ascii="宋体" w:hAnsi="宋体" w:eastAsia="宋体" w:cs="宋体"/>
          <w:color w:val="auto"/>
          <w:lang w:eastAsia="zh-CN"/>
        </w:rPr>
        <w:t>在</w:t>
      </w:r>
      <w:r>
        <w:rPr>
          <w:rFonts w:hint="eastAsia" w:ascii="宋体" w:hAnsi="宋体" w:eastAsia="宋体" w:cs="宋体"/>
          <w:color w:val="auto"/>
        </w:rPr>
        <w:t>《事业单位、民间非营利组织收入、支出明细表》（A103000）填报</w:t>
      </w:r>
      <w:r>
        <w:rPr>
          <w:rFonts w:hint="eastAsia" w:ascii="宋体" w:hAnsi="宋体" w:eastAsia="宋体" w:cs="宋体"/>
          <w:color w:val="auto"/>
          <w:lang w:eastAsia="zh-CN"/>
        </w:rPr>
        <w:t>具体情况</w:t>
      </w:r>
      <w:r>
        <w:rPr>
          <w:rFonts w:hint="eastAsia" w:ascii="宋体" w:hAnsi="宋体" w:eastAsia="宋体" w:cs="宋体"/>
          <w:color w:val="auto"/>
        </w:rPr>
        <w:t>。</w:t>
      </w:r>
    </w:p>
    <w:p w14:paraId="4FA2B94E">
      <w:pPr>
        <w:pStyle w:val="8"/>
        <w:ind w:firstLine="480"/>
        <w:rPr>
          <w:rFonts w:hint="eastAsia" w:cs="宋体"/>
          <w:color w:val="auto"/>
        </w:rPr>
      </w:pPr>
      <w:r>
        <w:rPr>
          <w:rFonts w:hint="eastAsia" w:cs="宋体"/>
          <w:color w:val="auto"/>
        </w:rPr>
        <w:t>2.第2行“营业成本”：填报纳税人主要经营业务和其他经营业务发生的成本总额。本行根据“主营业务成本”和“其他业务成本”的数额填报。一般企业纳税人</w:t>
      </w:r>
      <w:r>
        <w:rPr>
          <w:rFonts w:hint="eastAsia" w:cs="宋体"/>
          <w:color w:val="auto"/>
          <w:lang w:eastAsia="zh-CN"/>
        </w:rPr>
        <w:t>在</w:t>
      </w:r>
      <w:r>
        <w:rPr>
          <w:rFonts w:hint="eastAsia" w:cs="宋体"/>
          <w:color w:val="auto"/>
        </w:rPr>
        <w:t>《一般企业成本支出明细表》（A102010）填报</w:t>
      </w:r>
      <w:r>
        <w:rPr>
          <w:rFonts w:hint="eastAsia" w:ascii="宋体" w:hAnsi="宋体" w:eastAsia="宋体" w:cs="宋体"/>
          <w:color w:val="auto"/>
          <w:lang w:eastAsia="zh-CN"/>
        </w:rPr>
        <w:t>具体情况</w:t>
      </w:r>
      <w:r>
        <w:rPr>
          <w:rFonts w:hint="eastAsia" w:cs="宋体"/>
          <w:color w:val="auto"/>
        </w:rPr>
        <w:t>；金融企业纳税人</w:t>
      </w:r>
      <w:r>
        <w:rPr>
          <w:rFonts w:hint="eastAsia" w:cs="宋体"/>
          <w:color w:val="auto"/>
          <w:lang w:eastAsia="zh-CN"/>
        </w:rPr>
        <w:t>在</w:t>
      </w:r>
      <w:r>
        <w:rPr>
          <w:rFonts w:hint="eastAsia" w:cs="宋体"/>
          <w:color w:val="auto"/>
        </w:rPr>
        <w:t>《金融企业支出明细表》（A102020）填报</w:t>
      </w:r>
      <w:r>
        <w:rPr>
          <w:rFonts w:hint="eastAsia" w:ascii="宋体" w:hAnsi="宋体" w:eastAsia="宋体" w:cs="宋体"/>
          <w:color w:val="auto"/>
          <w:lang w:eastAsia="zh-CN"/>
        </w:rPr>
        <w:t>具体情况</w:t>
      </w:r>
      <w:r>
        <w:rPr>
          <w:rFonts w:hint="eastAsia" w:cs="宋体"/>
          <w:color w:val="auto"/>
        </w:rPr>
        <w:t>；事业单位、社会团体、民办非企业单位、非营利组织等纳税人，</w:t>
      </w:r>
      <w:r>
        <w:rPr>
          <w:rFonts w:hint="eastAsia" w:cs="宋体"/>
          <w:color w:val="auto"/>
          <w:lang w:eastAsia="zh-CN"/>
        </w:rPr>
        <w:t>在</w:t>
      </w:r>
      <w:r>
        <w:rPr>
          <w:rFonts w:hint="eastAsia" w:cs="宋体"/>
          <w:color w:val="auto"/>
        </w:rPr>
        <w:t>《事业单位、民间非营利组织收入、支出明细表》（A103000）填报</w:t>
      </w:r>
      <w:r>
        <w:rPr>
          <w:rFonts w:hint="eastAsia" w:ascii="宋体" w:hAnsi="宋体" w:eastAsia="宋体" w:cs="宋体"/>
          <w:color w:val="auto"/>
          <w:lang w:eastAsia="zh-CN"/>
        </w:rPr>
        <w:t>具体情况</w:t>
      </w:r>
      <w:r>
        <w:rPr>
          <w:rFonts w:hint="eastAsia" w:cs="宋体"/>
          <w:color w:val="auto"/>
        </w:rPr>
        <w:t>。</w:t>
      </w:r>
    </w:p>
    <w:p w14:paraId="679C7807">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3.第3行“税金及附加”：填报纳税人经营活动发生的消费税、城市维护建设税、资源税、土地增值税和教育费附加等相关税费。本行根据纳税人相关会计科目填报。纳税人在其他会计科目核算的税金不得重复填报。</w:t>
      </w:r>
    </w:p>
    <w:p w14:paraId="3EE9C33B">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4.第4行“销售费用”：填报纳税人在销售商品和材料、提供劳务的过程中发生的各种费用。</w:t>
      </w:r>
      <w:r>
        <w:rPr>
          <w:rFonts w:hint="eastAsia" w:ascii="宋体" w:hAnsi="宋体" w:eastAsia="宋体" w:cs="宋体"/>
          <w:color w:val="auto"/>
          <w:lang w:eastAsia="zh-CN"/>
        </w:rPr>
        <w:t>在</w:t>
      </w:r>
      <w:r>
        <w:rPr>
          <w:rFonts w:hint="eastAsia" w:ascii="宋体" w:hAnsi="宋体" w:eastAsia="宋体" w:cs="宋体"/>
          <w:color w:val="auto"/>
        </w:rPr>
        <w:t>《期间费用明细表》（A104000）中“销售费用”</w:t>
      </w:r>
      <w:r>
        <w:rPr>
          <w:rFonts w:hint="eastAsia" w:ascii="宋体" w:hAnsi="宋体" w:eastAsia="宋体" w:cs="宋体"/>
          <w:color w:val="auto"/>
          <w:lang w:eastAsia="zh-CN"/>
        </w:rPr>
        <w:t>项目</w:t>
      </w:r>
      <w:r>
        <w:rPr>
          <w:rFonts w:hint="eastAsia" w:ascii="宋体" w:hAnsi="宋体" w:eastAsia="宋体" w:cs="宋体"/>
          <w:color w:val="auto"/>
        </w:rPr>
        <w:t>填报</w:t>
      </w:r>
      <w:r>
        <w:rPr>
          <w:rFonts w:hint="eastAsia" w:ascii="宋体" w:hAnsi="宋体" w:eastAsia="宋体" w:cs="宋体"/>
          <w:color w:val="auto"/>
          <w:lang w:eastAsia="zh-CN"/>
        </w:rPr>
        <w:t>具体情况</w:t>
      </w:r>
      <w:r>
        <w:rPr>
          <w:rFonts w:hint="eastAsia" w:ascii="宋体" w:hAnsi="宋体" w:eastAsia="宋体" w:cs="宋体"/>
          <w:color w:val="auto"/>
        </w:rPr>
        <w:t>。</w:t>
      </w:r>
    </w:p>
    <w:p w14:paraId="7CEF79B0">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5.第5行“管理费用”：填报纳税人为组织和管理企业生产经营发生的管理费用。</w:t>
      </w:r>
      <w:r>
        <w:rPr>
          <w:rFonts w:hint="eastAsia" w:ascii="宋体" w:hAnsi="宋体" w:eastAsia="宋体" w:cs="宋体"/>
          <w:color w:val="auto"/>
          <w:lang w:eastAsia="zh-CN"/>
        </w:rPr>
        <w:t>在</w:t>
      </w:r>
      <w:r>
        <w:rPr>
          <w:rFonts w:hint="eastAsia" w:ascii="宋体" w:hAnsi="宋体" w:eastAsia="宋体" w:cs="宋体"/>
          <w:color w:val="auto"/>
        </w:rPr>
        <w:t>《期间费用明细表》（A104000）中“管理费用”</w:t>
      </w:r>
      <w:r>
        <w:rPr>
          <w:rFonts w:hint="eastAsia" w:ascii="宋体" w:hAnsi="宋体" w:eastAsia="宋体" w:cs="宋体"/>
          <w:color w:val="auto"/>
          <w:lang w:eastAsia="zh-CN"/>
        </w:rPr>
        <w:t>项目</w:t>
      </w:r>
      <w:r>
        <w:rPr>
          <w:rFonts w:hint="eastAsia" w:ascii="宋体" w:hAnsi="宋体" w:eastAsia="宋体" w:cs="宋体"/>
          <w:color w:val="auto"/>
        </w:rPr>
        <w:t>填报</w:t>
      </w:r>
      <w:r>
        <w:rPr>
          <w:rFonts w:hint="eastAsia" w:ascii="宋体" w:hAnsi="宋体" w:eastAsia="宋体" w:cs="宋体"/>
          <w:color w:val="auto"/>
          <w:lang w:eastAsia="zh-CN"/>
        </w:rPr>
        <w:t>具体情况</w:t>
      </w:r>
      <w:r>
        <w:rPr>
          <w:rFonts w:hint="eastAsia" w:ascii="宋体" w:hAnsi="宋体" w:eastAsia="宋体" w:cs="宋体"/>
          <w:color w:val="auto"/>
        </w:rPr>
        <w:t>。本行应剔除会计核算“管理费用”科目下“研究费用”明细科目的发生额，并减去“管理费用”科目下“无形资产摊销”中自行开发无形资产摊销额。</w:t>
      </w:r>
    </w:p>
    <w:p w14:paraId="78470708">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6.第6行“研发费用”：填报</w:t>
      </w:r>
      <w:r>
        <w:rPr>
          <w:rFonts w:hint="eastAsia" w:ascii="宋体" w:hAnsi="宋体" w:eastAsia="宋体" w:cs="宋体"/>
          <w:color w:val="auto"/>
          <w:lang w:eastAsia="zh-CN"/>
        </w:rPr>
        <w:t>纳税人</w:t>
      </w:r>
      <w:r>
        <w:rPr>
          <w:rFonts w:hint="eastAsia" w:ascii="宋体" w:hAnsi="宋体" w:eastAsia="宋体" w:cs="宋体"/>
          <w:color w:val="auto"/>
        </w:rPr>
        <w:t>进行研究与开发过程中发生的费用化支出，以及计入管理费用的自行开发无形资产摊销</w:t>
      </w:r>
      <w:r>
        <w:rPr>
          <w:rFonts w:hint="eastAsia" w:ascii="宋体" w:hAnsi="宋体" w:eastAsia="宋体" w:cs="宋体"/>
          <w:color w:val="auto"/>
          <w:lang w:eastAsia="zh-CN"/>
        </w:rPr>
        <w:t>额</w:t>
      </w:r>
      <w:r>
        <w:rPr>
          <w:rFonts w:hint="eastAsia" w:ascii="宋体" w:hAnsi="宋体" w:eastAsia="宋体" w:cs="宋体"/>
          <w:color w:val="auto"/>
        </w:rPr>
        <w:t>。</w:t>
      </w:r>
      <w:r>
        <w:rPr>
          <w:rFonts w:hint="eastAsia" w:ascii="宋体" w:hAnsi="宋体" w:eastAsia="宋体" w:cs="宋体"/>
          <w:color w:val="auto"/>
          <w:highlight w:val="none"/>
          <w:lang w:eastAsia="zh-CN"/>
        </w:rPr>
        <w:t>在</w:t>
      </w:r>
      <w:r>
        <w:rPr>
          <w:rFonts w:hint="eastAsia" w:ascii="宋体" w:hAnsi="宋体" w:eastAsia="宋体" w:cs="宋体"/>
          <w:color w:val="auto"/>
          <w:highlight w:val="none"/>
        </w:rPr>
        <w:t>《期间费用明细表》（A104000）中“管理费用”</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填报</w:t>
      </w:r>
      <w:r>
        <w:rPr>
          <w:rFonts w:hint="eastAsia" w:ascii="宋体" w:hAnsi="宋体" w:eastAsia="宋体" w:cs="宋体"/>
          <w:color w:val="auto"/>
          <w:highlight w:val="none"/>
          <w:lang w:eastAsia="zh-CN"/>
        </w:rPr>
        <w:t>具体情况</w:t>
      </w:r>
      <w:r>
        <w:rPr>
          <w:rFonts w:hint="eastAsia" w:ascii="宋体" w:hAnsi="宋体" w:eastAsia="宋体" w:cs="宋体"/>
          <w:color w:val="auto"/>
          <w:highlight w:val="none"/>
        </w:rPr>
        <w:t>。</w:t>
      </w:r>
      <w:r>
        <w:rPr>
          <w:rFonts w:hint="eastAsia" w:ascii="宋体" w:hAnsi="宋体" w:eastAsia="宋体" w:cs="宋体"/>
          <w:color w:val="auto"/>
        </w:rPr>
        <w:t>本行根据“管理费用”科目下的“研究费用”明细科目的发生额，以及“管理费用”科目下的“无形资产摊销”明细科目的发生额分析填报。</w:t>
      </w:r>
    </w:p>
    <w:p w14:paraId="2668C2DF">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7.第7行“财务费用”：填报纳税人为筹集生产经营所需资金等发生的筹资费用。</w:t>
      </w:r>
      <w:r>
        <w:rPr>
          <w:rFonts w:hint="eastAsia" w:ascii="宋体" w:hAnsi="宋体" w:eastAsia="宋体" w:cs="宋体"/>
          <w:color w:val="auto"/>
          <w:lang w:eastAsia="zh-CN"/>
        </w:rPr>
        <w:t>在</w:t>
      </w:r>
      <w:r>
        <w:rPr>
          <w:rFonts w:hint="eastAsia" w:ascii="宋体" w:hAnsi="宋体" w:eastAsia="宋体" w:cs="宋体"/>
          <w:color w:val="auto"/>
        </w:rPr>
        <w:t>《期间费用明细表》（A104000）中“财务费用”</w:t>
      </w:r>
      <w:r>
        <w:rPr>
          <w:rFonts w:hint="eastAsia" w:ascii="宋体" w:hAnsi="宋体" w:eastAsia="宋体" w:cs="宋体"/>
          <w:color w:val="auto"/>
          <w:lang w:eastAsia="zh-CN"/>
        </w:rPr>
        <w:t>项目</w:t>
      </w:r>
      <w:r>
        <w:rPr>
          <w:rFonts w:hint="eastAsia" w:ascii="宋体" w:hAnsi="宋体" w:eastAsia="宋体" w:cs="宋体"/>
          <w:color w:val="auto"/>
        </w:rPr>
        <w:t>填报</w:t>
      </w:r>
      <w:r>
        <w:rPr>
          <w:rFonts w:hint="eastAsia" w:ascii="宋体" w:hAnsi="宋体" w:eastAsia="宋体" w:cs="宋体"/>
          <w:color w:val="auto"/>
          <w:lang w:eastAsia="zh-CN"/>
        </w:rPr>
        <w:t>具体情况</w:t>
      </w:r>
      <w:r>
        <w:rPr>
          <w:rFonts w:hint="eastAsia" w:ascii="宋体" w:hAnsi="宋体" w:eastAsia="宋体" w:cs="宋体"/>
          <w:color w:val="auto"/>
        </w:rPr>
        <w:t>。</w:t>
      </w:r>
    </w:p>
    <w:p w14:paraId="7672B70D">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8.第8行“其他收益”：填报纳税人计入其他收益的政府补助，以及其他与日常活动相关且计入其他收益的项目金额。本行根据“其他收益”科目的发生额分析填报。</w:t>
      </w:r>
    </w:p>
    <w:p w14:paraId="19C20152">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9.第9行“投资收益”：填报纳税人以各种方式对外投资所取得的收益或发生的损失。根据“投资收益”科目的</w:t>
      </w:r>
      <w:r>
        <w:rPr>
          <w:rFonts w:hint="eastAsia" w:ascii="宋体" w:hAnsi="宋体" w:eastAsia="宋体" w:cs="宋体"/>
          <w:color w:val="auto"/>
          <w:lang w:eastAsia="zh-CN"/>
        </w:rPr>
        <w:t>发生</w:t>
      </w:r>
      <w:r>
        <w:rPr>
          <w:rFonts w:hint="eastAsia" w:ascii="宋体" w:hAnsi="宋体" w:eastAsia="宋体" w:cs="宋体"/>
          <w:color w:val="auto"/>
        </w:rPr>
        <w:t>额计算填报，损失以</w:t>
      </w:r>
      <w:r>
        <w:rPr>
          <w:rFonts w:hint="eastAsia" w:ascii="宋体" w:hAnsi="宋体" w:eastAsia="宋体" w:cs="宋体"/>
          <w:color w:val="auto"/>
          <w:lang w:eastAsia="zh-CN"/>
        </w:rPr>
        <w:t>“－”</w:t>
      </w:r>
      <w:r>
        <w:rPr>
          <w:rFonts w:hint="eastAsia" w:ascii="宋体" w:hAnsi="宋体" w:eastAsia="宋体" w:cs="宋体"/>
          <w:color w:val="auto"/>
        </w:rPr>
        <w:t>号填列。</w:t>
      </w:r>
    </w:p>
    <w:p w14:paraId="2F8FBFC6">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10.第10行“净敞口套期收益”：填报</w:t>
      </w:r>
      <w:r>
        <w:rPr>
          <w:rFonts w:hint="eastAsia" w:ascii="宋体" w:hAnsi="宋体" w:eastAsia="宋体" w:cs="宋体"/>
          <w:color w:val="auto"/>
          <w:lang w:eastAsia="zh-CN"/>
        </w:rPr>
        <w:t>纳税人</w:t>
      </w:r>
      <w:r>
        <w:rPr>
          <w:rFonts w:hint="eastAsia" w:ascii="宋体" w:hAnsi="宋体" w:eastAsia="宋体" w:cs="宋体"/>
          <w:color w:val="auto"/>
        </w:rPr>
        <w:t>净敞口套期下被套期项目累计公允价值变动转入当期损益的金额或现金流量套期储备转入当期损益的金额。本行根据“净敞口套期损益”科目的发生额分析填报</w:t>
      </w:r>
      <w:r>
        <w:rPr>
          <w:rFonts w:hint="eastAsia" w:ascii="宋体" w:hAnsi="宋体" w:eastAsia="宋体" w:cs="宋体"/>
          <w:color w:val="auto"/>
          <w:lang w:eastAsia="zh-CN"/>
        </w:rPr>
        <w:t>，</w:t>
      </w:r>
      <w:r>
        <w:rPr>
          <w:rFonts w:hint="eastAsia" w:ascii="宋体" w:hAnsi="宋体" w:eastAsia="宋体" w:cs="宋体"/>
          <w:color w:val="auto"/>
        </w:rPr>
        <w:t>损失以</w:t>
      </w:r>
      <w:r>
        <w:rPr>
          <w:rFonts w:hint="eastAsia" w:ascii="宋体" w:hAnsi="宋体" w:eastAsia="宋体" w:cs="宋体"/>
          <w:color w:val="auto"/>
          <w:lang w:eastAsia="zh-CN"/>
        </w:rPr>
        <w:t>“－”</w:t>
      </w:r>
      <w:r>
        <w:rPr>
          <w:rFonts w:hint="eastAsia" w:ascii="宋体" w:hAnsi="宋体" w:eastAsia="宋体" w:cs="宋体"/>
          <w:color w:val="auto"/>
        </w:rPr>
        <w:t>号填列。</w:t>
      </w:r>
    </w:p>
    <w:p w14:paraId="274BC10F">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11.第11行“公允价值变动收益”：填报纳税人在初始确认时划分为以公允价值计量且其变动计入当期损益的金融资产或金融负债（包括交易性金融资产或负债，直接指定为以公允价值计量且其变动计入当期损益的金融资产或金融负债），以及采用公允价值模式计量的投资性房地产、衍生工具和套期业务中公允价值变动形成的应计入当期损益的利得或损失。本行根据“公允价值变动损益”科目的</w:t>
      </w:r>
      <w:r>
        <w:rPr>
          <w:rFonts w:hint="eastAsia" w:ascii="宋体" w:hAnsi="宋体" w:eastAsia="宋体" w:cs="宋体"/>
          <w:color w:val="auto"/>
          <w:lang w:eastAsia="zh-CN"/>
        </w:rPr>
        <w:t>发生</w:t>
      </w:r>
      <w:r>
        <w:rPr>
          <w:rFonts w:hint="eastAsia" w:ascii="宋体" w:hAnsi="宋体" w:eastAsia="宋体" w:cs="宋体"/>
          <w:color w:val="auto"/>
        </w:rPr>
        <w:t>额填报，损失以</w:t>
      </w:r>
      <w:r>
        <w:rPr>
          <w:rFonts w:hint="eastAsia" w:ascii="宋体" w:hAnsi="宋体" w:eastAsia="宋体" w:cs="宋体"/>
          <w:color w:val="auto"/>
          <w:lang w:eastAsia="zh-CN"/>
        </w:rPr>
        <w:t>“－”</w:t>
      </w:r>
      <w:r>
        <w:rPr>
          <w:rFonts w:hint="eastAsia" w:ascii="宋体" w:hAnsi="宋体" w:eastAsia="宋体" w:cs="宋体"/>
          <w:color w:val="auto"/>
        </w:rPr>
        <w:t>号填</w:t>
      </w:r>
      <w:r>
        <w:rPr>
          <w:rFonts w:hint="eastAsia" w:ascii="宋体" w:hAnsi="宋体" w:eastAsia="宋体" w:cs="宋体"/>
          <w:color w:val="auto"/>
          <w:lang w:eastAsia="zh-CN"/>
        </w:rPr>
        <w:t>列</w:t>
      </w:r>
      <w:r>
        <w:rPr>
          <w:rFonts w:hint="eastAsia" w:ascii="宋体" w:hAnsi="宋体" w:eastAsia="宋体" w:cs="宋体"/>
          <w:color w:val="auto"/>
        </w:rPr>
        <w:t>。</w:t>
      </w:r>
    </w:p>
    <w:p w14:paraId="38251BB3">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12.第12行“信用减值损失”：填报</w:t>
      </w:r>
      <w:r>
        <w:rPr>
          <w:rFonts w:hint="eastAsia" w:ascii="宋体" w:hAnsi="宋体" w:eastAsia="宋体" w:cs="宋体"/>
          <w:color w:val="auto"/>
          <w:lang w:eastAsia="zh-CN"/>
        </w:rPr>
        <w:t>纳税人</w:t>
      </w:r>
      <w:r>
        <w:rPr>
          <w:rFonts w:hint="eastAsia" w:ascii="宋体" w:hAnsi="宋体" w:eastAsia="宋体" w:cs="宋体"/>
          <w:color w:val="auto"/>
        </w:rPr>
        <w:t>按照《企业会计准则第22 号——金融工具确认和计量》（财会〔2017〕7号</w:t>
      </w:r>
      <w:r>
        <w:rPr>
          <w:rFonts w:hint="eastAsia" w:ascii="宋体" w:hAnsi="宋体" w:eastAsia="宋体" w:cs="宋体"/>
          <w:color w:val="auto"/>
          <w:lang w:eastAsia="zh-CN"/>
        </w:rPr>
        <w:t>发布</w:t>
      </w:r>
      <w:r>
        <w:rPr>
          <w:rFonts w:hint="eastAsia" w:ascii="宋体" w:hAnsi="宋体" w:eastAsia="宋体" w:cs="宋体"/>
          <w:color w:val="auto"/>
        </w:rPr>
        <w:t>）的要求计提的各项金融工具信用减值准备所确认的信用损失。该项目应根据“信用减值损失”科目的发生额分析填报，损失以</w:t>
      </w:r>
      <w:r>
        <w:rPr>
          <w:rFonts w:hint="eastAsia" w:ascii="宋体" w:hAnsi="宋体" w:eastAsia="宋体" w:cs="宋体"/>
          <w:color w:val="auto"/>
          <w:lang w:eastAsia="zh-CN"/>
        </w:rPr>
        <w:t>“－”</w:t>
      </w:r>
      <w:r>
        <w:rPr>
          <w:rFonts w:hint="eastAsia" w:ascii="宋体" w:hAnsi="宋体" w:eastAsia="宋体" w:cs="宋体"/>
          <w:color w:val="auto"/>
        </w:rPr>
        <w:t>号填列。</w:t>
      </w:r>
    </w:p>
    <w:p w14:paraId="4FF869D4">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13.第13行“资产减值损失”：填报纳税人计提各项资产准备发生的减值损失。本行根据企业“资产减值损失”科目上的</w:t>
      </w:r>
      <w:r>
        <w:rPr>
          <w:rFonts w:hint="eastAsia" w:ascii="宋体" w:hAnsi="宋体" w:eastAsia="宋体" w:cs="宋体"/>
          <w:color w:val="auto"/>
          <w:lang w:eastAsia="zh-CN"/>
        </w:rPr>
        <w:t>发生额</w:t>
      </w:r>
      <w:r>
        <w:rPr>
          <w:rFonts w:hint="eastAsia" w:ascii="宋体" w:hAnsi="宋体" w:eastAsia="宋体" w:cs="宋体"/>
          <w:color w:val="auto"/>
        </w:rPr>
        <w:t>填报，损失以</w:t>
      </w:r>
      <w:r>
        <w:rPr>
          <w:rFonts w:hint="eastAsia" w:ascii="宋体" w:hAnsi="宋体" w:eastAsia="宋体" w:cs="宋体"/>
          <w:color w:val="auto"/>
          <w:lang w:eastAsia="zh-CN"/>
        </w:rPr>
        <w:t>“－”</w:t>
      </w:r>
      <w:r>
        <w:rPr>
          <w:rFonts w:hint="eastAsia" w:ascii="宋体" w:hAnsi="宋体" w:eastAsia="宋体" w:cs="宋体"/>
          <w:color w:val="auto"/>
        </w:rPr>
        <w:t>号填列。实行其他会计制度的比照填报。</w:t>
      </w:r>
    </w:p>
    <w:p w14:paraId="227EF333">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14.第14行“资产处置收益”：填报</w:t>
      </w:r>
      <w:r>
        <w:rPr>
          <w:rFonts w:hint="eastAsia" w:ascii="宋体" w:hAnsi="宋体" w:eastAsia="宋体" w:cs="宋体"/>
          <w:color w:val="auto"/>
          <w:lang w:eastAsia="zh-CN"/>
        </w:rPr>
        <w:t>纳税人</w:t>
      </w:r>
      <w:r>
        <w:rPr>
          <w:rFonts w:hint="eastAsia" w:ascii="宋体" w:hAnsi="宋体" w:eastAsia="宋体" w:cs="宋体"/>
          <w:color w:val="auto"/>
        </w:rPr>
        <w:t>出售划分为持有待售的非流动资产（金融工具、长期股权投资和投资性房地产除外）或处置组（子公司和业务除外）时确认的处置利得或损失，以及处置未划分为持有待售的固定资产、在建工程、生产性生物资产及无形资产而产生的处置利得或损失。债务重组中因处置非流动资产（金融工具、长期股权投资和投资性房地产除外）产生的利得或损失和非货币性资产交换中换出非流动资产（金融工具、长期股权投资和投资性房地产除外）产生的利得或损失也在本行</w:t>
      </w:r>
      <w:r>
        <w:rPr>
          <w:rFonts w:hint="eastAsia" w:ascii="宋体" w:hAnsi="宋体" w:eastAsia="宋体" w:cs="宋体"/>
          <w:color w:val="auto"/>
          <w:lang w:eastAsia="zh-CN"/>
        </w:rPr>
        <w:t>填报</w:t>
      </w:r>
      <w:r>
        <w:rPr>
          <w:rFonts w:hint="eastAsia" w:ascii="宋体" w:hAnsi="宋体" w:eastAsia="宋体" w:cs="宋体"/>
          <w:color w:val="auto"/>
        </w:rPr>
        <w:t>。本行根据“资产处置损益”科目的发生额分析填报；损失以</w:t>
      </w:r>
      <w:r>
        <w:rPr>
          <w:rFonts w:hint="eastAsia" w:ascii="宋体" w:hAnsi="宋体" w:eastAsia="宋体" w:cs="宋体"/>
          <w:color w:val="auto"/>
          <w:lang w:eastAsia="zh-CN"/>
        </w:rPr>
        <w:t>“－”</w:t>
      </w:r>
      <w:r>
        <w:rPr>
          <w:rFonts w:hint="eastAsia" w:ascii="宋体" w:hAnsi="宋体" w:eastAsia="宋体" w:cs="宋体"/>
          <w:color w:val="auto"/>
        </w:rPr>
        <w:t>号填列。</w:t>
      </w:r>
    </w:p>
    <w:p w14:paraId="40964528">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15.第15行“营业利润”：填报纳税人当期的营业利润。根据上述项目计算填报。</w:t>
      </w:r>
    </w:p>
    <w:p w14:paraId="79E95627">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16.第16行“营业外收入”：填报</w:t>
      </w:r>
      <w:r>
        <w:rPr>
          <w:rFonts w:hint="eastAsia" w:ascii="宋体" w:hAnsi="宋体" w:eastAsia="宋体" w:cs="宋体"/>
          <w:color w:val="auto"/>
          <w:lang w:eastAsia="zh-CN"/>
        </w:rPr>
        <w:t>纳税人</w:t>
      </w:r>
      <w:r>
        <w:rPr>
          <w:rFonts w:hint="eastAsia" w:ascii="宋体" w:hAnsi="宋体" w:eastAsia="宋体" w:cs="宋体"/>
          <w:color w:val="auto"/>
        </w:rPr>
        <w:t>发生的除营业利润以外的收益，主要包括与企业日常活动无关的政府补助、盘盈利得、捐赠利得（企业接受股东或股东的子公司直接或间接的捐赠，经济实质属于股东对企业的资本性投入的除外）等。一般企业纳税人</w:t>
      </w:r>
      <w:r>
        <w:rPr>
          <w:rFonts w:hint="eastAsia" w:ascii="宋体" w:hAnsi="宋体" w:eastAsia="宋体" w:cs="宋体"/>
          <w:color w:val="auto"/>
          <w:lang w:eastAsia="zh-CN"/>
        </w:rPr>
        <w:t>在</w:t>
      </w:r>
      <w:r>
        <w:rPr>
          <w:rFonts w:hint="eastAsia" w:ascii="宋体" w:hAnsi="宋体" w:eastAsia="宋体" w:cs="宋体"/>
          <w:color w:val="auto"/>
        </w:rPr>
        <w:t>《一般企业收入明细表》（A101010）填报</w:t>
      </w:r>
      <w:r>
        <w:rPr>
          <w:rFonts w:hint="eastAsia" w:ascii="宋体" w:hAnsi="宋体" w:eastAsia="宋体" w:cs="宋体"/>
          <w:color w:val="auto"/>
          <w:lang w:eastAsia="zh-CN"/>
        </w:rPr>
        <w:t>具体情况</w:t>
      </w:r>
      <w:r>
        <w:rPr>
          <w:rFonts w:hint="eastAsia" w:ascii="宋体" w:hAnsi="宋体" w:eastAsia="宋体" w:cs="宋体"/>
          <w:color w:val="auto"/>
        </w:rPr>
        <w:t>；金融企业纳税人</w:t>
      </w:r>
      <w:r>
        <w:rPr>
          <w:rFonts w:hint="eastAsia" w:ascii="宋体" w:hAnsi="宋体" w:eastAsia="宋体" w:cs="宋体"/>
          <w:color w:val="auto"/>
          <w:lang w:eastAsia="zh-CN"/>
        </w:rPr>
        <w:t>在</w:t>
      </w:r>
      <w:r>
        <w:rPr>
          <w:rFonts w:hint="eastAsia" w:ascii="宋体" w:hAnsi="宋体" w:eastAsia="宋体" w:cs="宋体"/>
          <w:color w:val="auto"/>
        </w:rPr>
        <w:t>《金融企业收入明细表》（A101020）填报</w:t>
      </w:r>
      <w:r>
        <w:rPr>
          <w:rFonts w:hint="eastAsia" w:ascii="宋体" w:hAnsi="宋体" w:eastAsia="宋体" w:cs="宋体"/>
          <w:color w:val="auto"/>
          <w:lang w:eastAsia="zh-CN"/>
        </w:rPr>
        <w:t>具体情况</w:t>
      </w:r>
      <w:r>
        <w:rPr>
          <w:rFonts w:hint="eastAsia" w:ascii="宋体" w:hAnsi="宋体" w:eastAsia="宋体" w:cs="宋体"/>
          <w:color w:val="auto"/>
        </w:rPr>
        <w:t>；实行事业单位会计准则或民间非营利组织会计制度的纳税人</w:t>
      </w:r>
      <w:r>
        <w:rPr>
          <w:rFonts w:hint="eastAsia" w:ascii="宋体" w:hAnsi="宋体" w:eastAsia="宋体" w:cs="宋体"/>
          <w:color w:val="auto"/>
          <w:lang w:eastAsia="zh-CN"/>
        </w:rPr>
        <w:t>在</w:t>
      </w:r>
      <w:r>
        <w:rPr>
          <w:rFonts w:hint="eastAsia" w:ascii="宋体" w:hAnsi="宋体" w:eastAsia="宋体" w:cs="宋体"/>
          <w:color w:val="auto"/>
        </w:rPr>
        <w:t>《事业单位、民间非营利组织收入、支出明细表》（A103000）填报</w:t>
      </w:r>
      <w:r>
        <w:rPr>
          <w:rFonts w:hint="eastAsia" w:ascii="宋体" w:hAnsi="宋体" w:eastAsia="宋体" w:cs="宋体"/>
          <w:color w:val="auto"/>
          <w:lang w:eastAsia="zh-CN"/>
        </w:rPr>
        <w:t>具体情况</w:t>
      </w:r>
      <w:r>
        <w:rPr>
          <w:rFonts w:hint="eastAsia" w:ascii="宋体" w:hAnsi="宋体" w:eastAsia="宋体" w:cs="宋体"/>
          <w:color w:val="auto"/>
        </w:rPr>
        <w:t>。</w:t>
      </w:r>
    </w:p>
    <w:p w14:paraId="4F8B4BAE">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17.第17行“营业外支出”：填报</w:t>
      </w:r>
      <w:r>
        <w:rPr>
          <w:rFonts w:hint="eastAsia" w:ascii="宋体" w:hAnsi="宋体" w:eastAsia="宋体" w:cs="宋体"/>
          <w:color w:val="auto"/>
          <w:lang w:eastAsia="zh-CN"/>
        </w:rPr>
        <w:t>纳税人</w:t>
      </w:r>
      <w:r>
        <w:rPr>
          <w:rFonts w:hint="eastAsia" w:ascii="宋体" w:hAnsi="宋体" w:eastAsia="宋体" w:cs="宋体"/>
          <w:color w:val="auto"/>
        </w:rPr>
        <w:t>发生的除营业利润以外的支出，主要包括公益性捐赠支出、非常损失、盘亏损失、非流动资产毁损报废损失等。</w:t>
      </w:r>
      <w:r>
        <w:rPr>
          <w:rFonts w:hint="eastAsia" w:ascii="宋体" w:hAnsi="宋体" w:eastAsia="宋体" w:cs="宋体"/>
          <w:color w:val="auto"/>
          <w:lang w:eastAsia="zh-CN"/>
        </w:rPr>
        <w:t>纳税人</w:t>
      </w:r>
      <w:r>
        <w:rPr>
          <w:rFonts w:hint="eastAsia" w:ascii="宋体" w:hAnsi="宋体" w:eastAsia="宋体" w:cs="宋体"/>
          <w:color w:val="auto"/>
        </w:rPr>
        <w:t>在不同交易中形成的非流动资产毁损报废利得和损失不得相互抵销，应分别在“营业外收入”项目和“营业外支出”项目进行填列。一般企业纳税人</w:t>
      </w:r>
      <w:r>
        <w:rPr>
          <w:rFonts w:hint="eastAsia" w:ascii="宋体" w:hAnsi="宋体" w:eastAsia="宋体" w:cs="宋体"/>
          <w:color w:val="auto"/>
          <w:lang w:eastAsia="zh-CN"/>
        </w:rPr>
        <w:t>在</w:t>
      </w:r>
      <w:r>
        <w:rPr>
          <w:rFonts w:hint="eastAsia" w:ascii="宋体" w:hAnsi="宋体" w:eastAsia="宋体" w:cs="宋体"/>
          <w:color w:val="auto"/>
        </w:rPr>
        <w:t>《一般企业成本支出明细表》（A102010）填报</w:t>
      </w:r>
      <w:r>
        <w:rPr>
          <w:rFonts w:hint="eastAsia" w:ascii="宋体" w:hAnsi="宋体" w:eastAsia="宋体" w:cs="宋体"/>
          <w:color w:val="auto"/>
          <w:lang w:eastAsia="zh-CN"/>
        </w:rPr>
        <w:t>具体情况</w:t>
      </w:r>
      <w:r>
        <w:rPr>
          <w:rFonts w:hint="eastAsia" w:ascii="宋体" w:hAnsi="宋体" w:eastAsia="宋体" w:cs="宋体"/>
          <w:color w:val="auto"/>
        </w:rPr>
        <w:t>；金融企业纳税人</w:t>
      </w:r>
      <w:r>
        <w:rPr>
          <w:rFonts w:hint="eastAsia" w:ascii="宋体" w:hAnsi="宋体" w:eastAsia="宋体" w:cs="宋体"/>
          <w:color w:val="auto"/>
          <w:lang w:eastAsia="zh-CN"/>
        </w:rPr>
        <w:t>在</w:t>
      </w:r>
      <w:r>
        <w:rPr>
          <w:rFonts w:hint="eastAsia" w:ascii="宋体" w:hAnsi="宋体" w:eastAsia="宋体" w:cs="宋体"/>
          <w:color w:val="auto"/>
        </w:rPr>
        <w:t>《金融企业支出明细表》（A102020）填报</w:t>
      </w:r>
      <w:r>
        <w:rPr>
          <w:rFonts w:hint="eastAsia" w:ascii="宋体" w:hAnsi="宋体" w:eastAsia="宋体" w:cs="宋体"/>
          <w:color w:val="auto"/>
          <w:lang w:eastAsia="zh-CN"/>
        </w:rPr>
        <w:t>具体情况</w:t>
      </w:r>
      <w:r>
        <w:rPr>
          <w:rFonts w:hint="eastAsia" w:ascii="宋体" w:hAnsi="宋体" w:eastAsia="宋体" w:cs="宋体"/>
          <w:color w:val="auto"/>
        </w:rPr>
        <w:t>；实行事业单位会计准则或民间非营利组织会计制度的纳税人</w:t>
      </w:r>
      <w:r>
        <w:rPr>
          <w:rFonts w:hint="eastAsia" w:ascii="宋体" w:hAnsi="宋体" w:eastAsia="宋体" w:cs="宋体"/>
          <w:color w:val="auto"/>
          <w:lang w:eastAsia="zh-CN"/>
        </w:rPr>
        <w:t>在</w:t>
      </w:r>
      <w:r>
        <w:rPr>
          <w:rFonts w:hint="eastAsia" w:ascii="宋体" w:hAnsi="宋体" w:eastAsia="宋体" w:cs="宋体"/>
          <w:color w:val="auto"/>
        </w:rPr>
        <w:t>《事业单位、民间非营利组织收入、支出明细表》（A103000）填报</w:t>
      </w:r>
      <w:r>
        <w:rPr>
          <w:rFonts w:hint="eastAsia" w:ascii="宋体" w:hAnsi="宋体" w:eastAsia="宋体" w:cs="宋体"/>
          <w:color w:val="auto"/>
          <w:lang w:eastAsia="zh-CN"/>
        </w:rPr>
        <w:t>具体情况</w:t>
      </w:r>
      <w:r>
        <w:rPr>
          <w:rFonts w:hint="eastAsia" w:ascii="宋体" w:hAnsi="宋体" w:eastAsia="宋体" w:cs="宋体"/>
          <w:color w:val="auto"/>
        </w:rPr>
        <w:t>。</w:t>
      </w:r>
    </w:p>
    <w:p w14:paraId="0C6C4A2A">
      <w:pPr>
        <w:pStyle w:val="9"/>
        <w:spacing w:line="360" w:lineRule="auto"/>
        <w:ind w:firstLine="480"/>
        <w:rPr>
          <w:rFonts w:hint="eastAsia" w:ascii="宋体" w:hAnsi="宋体" w:eastAsia="宋体" w:cs="宋体"/>
          <w:color w:val="auto"/>
        </w:rPr>
      </w:pPr>
      <w:r>
        <w:rPr>
          <w:rFonts w:hint="eastAsia" w:ascii="宋体" w:hAnsi="宋体" w:eastAsia="宋体" w:cs="宋体"/>
          <w:color w:val="auto"/>
        </w:rPr>
        <w:t>18.第18行“利润总额”：填报纳税人当期的利润总额。根据上述项目计算填报。</w:t>
      </w:r>
    </w:p>
    <w:p w14:paraId="781F424C">
      <w:pPr>
        <w:pStyle w:val="9"/>
        <w:spacing w:line="360" w:lineRule="auto"/>
        <w:ind w:firstLine="480"/>
        <w:rPr>
          <w:color w:val="auto"/>
        </w:rPr>
      </w:pPr>
      <w:r>
        <w:rPr>
          <w:rFonts w:hint="eastAsia" w:ascii="宋体" w:hAnsi="宋体" w:eastAsia="宋体" w:cs="宋体"/>
          <w:color w:val="auto"/>
        </w:rPr>
        <w:t>19.第19</w:t>
      </w:r>
      <w:r>
        <w:rPr>
          <w:rFonts w:hint="eastAsia"/>
          <w:color w:val="auto"/>
        </w:rPr>
        <w:t>行“境外所得”：填报已计入利润总额以及按照税法相关规定已在《纳税调整项目明细表》</w:t>
      </w:r>
      <w:r>
        <w:rPr>
          <w:rFonts w:hint="eastAsia" w:ascii="宋体" w:hAnsi="宋体" w:eastAsia="宋体" w:cs="宋体"/>
          <w:color w:val="auto"/>
        </w:rPr>
        <w:t>（A105000）进行纳税调整的境外所得金额。同时，在《境外所得纳税调整后所得明细表》（A108010）</w:t>
      </w:r>
      <w:r>
        <w:rPr>
          <w:rFonts w:hint="eastAsia"/>
          <w:color w:val="auto"/>
        </w:rPr>
        <w:t>填报具体情况。</w:t>
      </w:r>
    </w:p>
    <w:p w14:paraId="2A0FEF62">
      <w:pPr>
        <w:pStyle w:val="8"/>
        <w:ind w:firstLine="480"/>
        <w:rPr>
          <w:rFonts w:hint="eastAsia" w:cs="宋体"/>
          <w:color w:val="auto"/>
        </w:rPr>
      </w:pPr>
      <w:r>
        <w:rPr>
          <w:rFonts w:hint="eastAsia" w:cs="宋体"/>
          <w:color w:val="auto"/>
        </w:rPr>
        <w:t>20.第</w:t>
      </w:r>
      <w:r>
        <w:rPr>
          <w:rFonts w:cs="宋体"/>
          <w:color w:val="auto"/>
        </w:rPr>
        <w:t>20</w:t>
      </w:r>
      <w:r>
        <w:rPr>
          <w:rFonts w:hint="eastAsia" w:cs="宋体"/>
          <w:color w:val="auto"/>
        </w:rPr>
        <w:t>行“纳税调整增加额”：填报纳税人会计处理与税收规定不一致，进行纳税调整增加的金额。同时，在《纳税调整项目明细表》（A105000）填报具体情况。</w:t>
      </w:r>
    </w:p>
    <w:p w14:paraId="1FF5D390">
      <w:pPr>
        <w:pStyle w:val="8"/>
        <w:ind w:firstLine="480"/>
        <w:rPr>
          <w:rFonts w:hint="eastAsia" w:cs="宋体"/>
          <w:color w:val="auto"/>
        </w:rPr>
      </w:pPr>
      <w:r>
        <w:rPr>
          <w:rFonts w:hint="eastAsia" w:cs="宋体"/>
          <w:color w:val="auto"/>
        </w:rPr>
        <w:t>21.第</w:t>
      </w:r>
      <w:r>
        <w:rPr>
          <w:rFonts w:cs="宋体"/>
          <w:color w:val="auto"/>
        </w:rPr>
        <w:t>21</w:t>
      </w:r>
      <w:r>
        <w:rPr>
          <w:rFonts w:hint="eastAsia" w:cs="宋体"/>
          <w:color w:val="auto"/>
        </w:rPr>
        <w:t>行“纳税调整减少额”：填报纳税人会计处理与税收规定不一致，进行纳税调整减少的金额。同时，在《纳税调整项目明细表》（A105000）中填报具体情况。</w:t>
      </w:r>
    </w:p>
    <w:p w14:paraId="7A9401EB">
      <w:pPr>
        <w:pStyle w:val="8"/>
        <w:ind w:firstLine="480"/>
        <w:rPr>
          <w:rFonts w:hint="eastAsia" w:cs="宋体"/>
          <w:color w:val="auto"/>
        </w:rPr>
      </w:pPr>
      <w:r>
        <w:rPr>
          <w:rFonts w:hint="eastAsia" w:cs="宋体"/>
          <w:color w:val="auto"/>
        </w:rPr>
        <w:t>22.第</w:t>
      </w:r>
      <w:r>
        <w:rPr>
          <w:rFonts w:cs="宋体"/>
          <w:color w:val="auto"/>
        </w:rPr>
        <w:t>22</w:t>
      </w:r>
      <w:r>
        <w:rPr>
          <w:rFonts w:hint="eastAsia" w:cs="宋体"/>
          <w:color w:val="auto"/>
        </w:rPr>
        <w:t>行“免税、减计收入及加计扣除”：根据相关行次计算结果填报属于税收规定的免税收入、减计收入、加计扣除金额。</w:t>
      </w:r>
      <w:bookmarkStart w:id="39" w:name="_Hlk134779499"/>
      <w:r>
        <w:rPr>
          <w:rFonts w:hint="eastAsia" w:cs="宋体"/>
          <w:color w:val="auto"/>
        </w:rPr>
        <w:t>纳税人根据</w:t>
      </w:r>
      <w:r>
        <w:rPr>
          <w:rFonts w:hint="eastAsia"/>
          <w:color w:val="auto"/>
        </w:rPr>
        <w:t>《企业所得税申报事项目录》，在</w:t>
      </w:r>
      <w:r>
        <w:rPr>
          <w:rFonts w:hint="eastAsia" w:cs="宋体"/>
          <w:color w:val="auto"/>
        </w:rPr>
        <w:t>第2</w:t>
      </w:r>
      <w:r>
        <w:rPr>
          <w:rFonts w:cs="宋体"/>
          <w:color w:val="auto"/>
        </w:rPr>
        <w:t>2.1</w:t>
      </w:r>
      <w:r>
        <w:rPr>
          <w:rFonts w:hint="eastAsia" w:cs="宋体"/>
          <w:color w:val="auto"/>
        </w:rPr>
        <w:t>行、第2</w:t>
      </w:r>
      <w:r>
        <w:rPr>
          <w:rFonts w:cs="宋体"/>
          <w:color w:val="auto"/>
        </w:rPr>
        <w:t>2.2</w:t>
      </w:r>
      <w:r>
        <w:rPr>
          <w:rFonts w:hint="eastAsia" w:cs="宋体"/>
          <w:color w:val="auto"/>
        </w:rPr>
        <w:t>行……填报税收规定的免税收入、减计收入、加计扣除等优惠事项的具体名称和本年累计金额。发生多项且根据税收规定可以同时享受的优惠事项，可以增加行次，但每个事项仅能填报一次。纳税人享受符合条件的居民企业之间的股息、红利等权益性投资收益优惠和研发费用加计扣除优惠的，同时在《符合条件的居民企业之间的股息、红利等权益性投资收益优惠明细表》（A107011）和《研发费用加计扣除优惠明细表》（A107012）中填报具体情况。</w:t>
      </w:r>
    </w:p>
    <w:bookmarkEnd w:id="39"/>
    <w:p w14:paraId="1C31EE2C">
      <w:pPr>
        <w:pStyle w:val="8"/>
        <w:ind w:firstLine="480"/>
        <w:rPr>
          <w:rFonts w:hint="eastAsia" w:cs="宋体"/>
          <w:color w:val="auto"/>
        </w:rPr>
      </w:pPr>
      <w:r>
        <w:rPr>
          <w:rFonts w:hint="eastAsia" w:cs="宋体"/>
          <w:color w:val="auto"/>
        </w:rPr>
        <w:t>23.第</w:t>
      </w:r>
      <w:r>
        <w:rPr>
          <w:rFonts w:cs="宋体"/>
          <w:color w:val="auto"/>
        </w:rPr>
        <w:t>23</w:t>
      </w:r>
      <w:r>
        <w:rPr>
          <w:rFonts w:hint="eastAsia" w:cs="宋体"/>
          <w:color w:val="auto"/>
        </w:rPr>
        <w:t>行“境外应税所得抵减境内亏损”：当纳税人选择不用境外所得抵减境内亏损时，填报0；当纳税人选择用境外所得抵减境内亏损时，填报境外所得抵减当年度境内亏损的金额。用境外所得弥补以前年度境内亏损的，同时在《企业所得税弥补亏损明细表》（A106000）和《境外所得税收抵免明细表》（A108000）填报具体情况。</w:t>
      </w:r>
    </w:p>
    <w:p w14:paraId="72EFE6EA">
      <w:pPr>
        <w:pStyle w:val="8"/>
        <w:ind w:firstLine="480"/>
        <w:rPr>
          <w:rFonts w:hint="eastAsia" w:cs="宋体"/>
          <w:color w:val="auto"/>
        </w:rPr>
      </w:pPr>
      <w:r>
        <w:rPr>
          <w:rFonts w:hint="eastAsia" w:cs="宋体"/>
          <w:color w:val="auto"/>
        </w:rPr>
        <w:t>24.第</w:t>
      </w:r>
      <w:r>
        <w:rPr>
          <w:rFonts w:cs="宋体"/>
          <w:color w:val="auto"/>
        </w:rPr>
        <w:t>24</w:t>
      </w:r>
      <w:r>
        <w:rPr>
          <w:rFonts w:hint="eastAsia" w:cs="宋体"/>
          <w:color w:val="auto"/>
        </w:rPr>
        <w:t>行“纳税调整后所得”：填报第18行－第19行＋第20行－第21行－第22行＋第23行金额。</w:t>
      </w:r>
    </w:p>
    <w:p w14:paraId="3FE295B2">
      <w:pPr>
        <w:pStyle w:val="8"/>
        <w:ind w:firstLine="480"/>
        <w:rPr>
          <w:rFonts w:hint="eastAsia" w:cs="宋体"/>
          <w:color w:val="auto"/>
        </w:rPr>
      </w:pPr>
      <w:r>
        <w:rPr>
          <w:rFonts w:hint="eastAsia" w:cs="宋体"/>
          <w:color w:val="auto"/>
        </w:rPr>
        <w:t>25.第2</w:t>
      </w:r>
      <w:r>
        <w:rPr>
          <w:rFonts w:cs="宋体"/>
          <w:color w:val="auto"/>
        </w:rPr>
        <w:t>5</w:t>
      </w:r>
      <w:r>
        <w:rPr>
          <w:rFonts w:hint="eastAsia" w:cs="宋体"/>
          <w:color w:val="auto"/>
        </w:rPr>
        <w:t>行“所得减免”：填报属于税收规定的所得减免金额。同时，在《所得减免优惠明细表》（A107020）填报项目的具体情况。</w:t>
      </w:r>
    </w:p>
    <w:p w14:paraId="1636588E">
      <w:pPr>
        <w:pStyle w:val="8"/>
        <w:ind w:firstLine="480"/>
        <w:rPr>
          <w:rFonts w:hint="eastAsia" w:cs="宋体"/>
          <w:color w:val="auto"/>
        </w:rPr>
      </w:pPr>
      <w:r>
        <w:rPr>
          <w:rFonts w:hint="eastAsia" w:cs="宋体"/>
          <w:color w:val="auto"/>
        </w:rPr>
        <w:t>26.第2</w:t>
      </w:r>
      <w:r>
        <w:rPr>
          <w:rFonts w:cs="宋体"/>
          <w:color w:val="auto"/>
        </w:rPr>
        <w:t>6</w:t>
      </w:r>
      <w:r>
        <w:rPr>
          <w:rFonts w:hint="eastAsia" w:cs="宋体"/>
          <w:color w:val="auto"/>
        </w:rPr>
        <w:t>行“弥补以前年度亏损”：填报纳税人按照税收规定可在税前弥补的以前年度亏损数额。同时，在《企业所得税弥补亏损明细表》（A106000）分年填报具体情况。</w:t>
      </w:r>
    </w:p>
    <w:p w14:paraId="665AEA94">
      <w:pPr>
        <w:pStyle w:val="8"/>
        <w:ind w:firstLine="480"/>
        <w:rPr>
          <w:rFonts w:hint="eastAsia" w:cs="宋体"/>
          <w:color w:val="auto"/>
        </w:rPr>
      </w:pPr>
      <w:r>
        <w:rPr>
          <w:rFonts w:hint="eastAsia" w:cs="宋体"/>
          <w:color w:val="auto"/>
        </w:rPr>
        <w:t>27.第2</w:t>
      </w:r>
      <w:r>
        <w:rPr>
          <w:rFonts w:cs="宋体"/>
          <w:color w:val="auto"/>
        </w:rPr>
        <w:t>7</w:t>
      </w:r>
      <w:r>
        <w:rPr>
          <w:rFonts w:hint="eastAsia" w:cs="宋体"/>
          <w:color w:val="auto"/>
        </w:rPr>
        <w:t>行“抵扣应纳税所得额”：填报根据税收规定应抵扣的应纳税所得额。同时在《抵扣应纳税所得额明细表》（A107030）中填报具体情况。</w:t>
      </w:r>
    </w:p>
    <w:p w14:paraId="425187AB">
      <w:pPr>
        <w:pStyle w:val="8"/>
        <w:ind w:firstLine="480"/>
        <w:rPr>
          <w:rFonts w:hint="eastAsia" w:cs="宋体"/>
          <w:color w:val="auto"/>
        </w:rPr>
      </w:pPr>
      <w:r>
        <w:rPr>
          <w:rFonts w:hint="eastAsia" w:cs="宋体"/>
          <w:color w:val="auto"/>
        </w:rPr>
        <w:t>28.第2</w:t>
      </w:r>
      <w:r>
        <w:rPr>
          <w:rFonts w:cs="宋体"/>
          <w:color w:val="auto"/>
        </w:rPr>
        <w:t>8</w:t>
      </w:r>
      <w:r>
        <w:rPr>
          <w:rFonts w:hint="eastAsia" w:cs="宋体"/>
          <w:color w:val="auto"/>
        </w:rPr>
        <w:t>行“应纳税所得额”：填报第</w:t>
      </w:r>
      <w:r>
        <w:rPr>
          <w:rFonts w:cs="宋体"/>
          <w:color w:val="auto"/>
        </w:rPr>
        <w:t>24</w:t>
      </w:r>
      <w:r>
        <w:rPr>
          <w:rFonts w:hint="eastAsia" w:cs="宋体"/>
          <w:color w:val="auto"/>
        </w:rPr>
        <w:t>行－第2</w:t>
      </w:r>
      <w:r>
        <w:rPr>
          <w:rFonts w:cs="宋体"/>
          <w:color w:val="auto"/>
        </w:rPr>
        <w:t>5</w:t>
      </w:r>
      <w:r>
        <w:rPr>
          <w:rFonts w:hint="eastAsia" w:cs="宋体"/>
          <w:color w:val="auto"/>
        </w:rPr>
        <w:t>行－第2</w:t>
      </w:r>
      <w:r>
        <w:rPr>
          <w:rFonts w:cs="宋体"/>
          <w:color w:val="auto"/>
        </w:rPr>
        <w:t>6</w:t>
      </w:r>
      <w:r>
        <w:rPr>
          <w:rFonts w:hint="eastAsia" w:cs="宋体"/>
          <w:color w:val="auto"/>
        </w:rPr>
        <w:t>行－第2</w:t>
      </w:r>
      <w:r>
        <w:rPr>
          <w:rFonts w:cs="宋体"/>
          <w:color w:val="auto"/>
        </w:rPr>
        <w:t>7</w:t>
      </w:r>
      <w:r>
        <w:rPr>
          <w:rFonts w:hint="eastAsia" w:cs="宋体"/>
          <w:color w:val="auto"/>
        </w:rPr>
        <w:t>行金额。按照上述行次顺序计算结果为负数的，本行按0填报。</w:t>
      </w:r>
    </w:p>
    <w:p w14:paraId="4B2D8C2F">
      <w:pPr>
        <w:pStyle w:val="8"/>
        <w:ind w:firstLine="480"/>
        <w:rPr>
          <w:rFonts w:hint="eastAsia" w:cs="宋体"/>
          <w:color w:val="auto"/>
        </w:rPr>
      </w:pPr>
      <w:r>
        <w:rPr>
          <w:rFonts w:hint="eastAsia" w:cs="宋体"/>
          <w:color w:val="auto"/>
        </w:rPr>
        <w:t>29.第2</w:t>
      </w:r>
      <w:r>
        <w:rPr>
          <w:rFonts w:cs="宋体"/>
          <w:color w:val="auto"/>
        </w:rPr>
        <w:t>9</w:t>
      </w:r>
      <w:r>
        <w:rPr>
          <w:rFonts w:hint="eastAsia" w:cs="宋体"/>
          <w:color w:val="auto"/>
        </w:rPr>
        <w:t>行“税率”：填报税法规定的税率</w:t>
      </w:r>
      <w:r>
        <w:rPr>
          <w:rFonts w:hint="eastAsia" w:cs="宋体"/>
          <w:color w:val="auto"/>
          <w:lang w:val="en-US" w:eastAsia="zh-CN"/>
        </w:rPr>
        <w:t>25%</w:t>
      </w:r>
      <w:r>
        <w:rPr>
          <w:rFonts w:hint="eastAsia" w:cs="宋体"/>
          <w:color w:val="auto"/>
        </w:rPr>
        <w:t>。</w:t>
      </w:r>
    </w:p>
    <w:p w14:paraId="38FB2199">
      <w:pPr>
        <w:pStyle w:val="8"/>
        <w:ind w:firstLine="480"/>
        <w:rPr>
          <w:rFonts w:hint="eastAsia" w:cs="宋体"/>
          <w:color w:val="auto"/>
        </w:rPr>
      </w:pPr>
      <w:r>
        <w:rPr>
          <w:rFonts w:hint="eastAsia" w:cs="宋体"/>
          <w:color w:val="auto"/>
        </w:rPr>
        <w:t>30.第</w:t>
      </w:r>
      <w:r>
        <w:rPr>
          <w:rFonts w:cs="宋体"/>
          <w:color w:val="auto"/>
        </w:rPr>
        <w:t>30</w:t>
      </w:r>
      <w:r>
        <w:rPr>
          <w:rFonts w:hint="eastAsia" w:cs="宋体"/>
          <w:color w:val="auto"/>
        </w:rPr>
        <w:t>行“应纳所得税额”：填报第2</w:t>
      </w:r>
      <w:r>
        <w:rPr>
          <w:rFonts w:cs="宋体"/>
          <w:color w:val="auto"/>
        </w:rPr>
        <w:t>8</w:t>
      </w:r>
      <w:r>
        <w:rPr>
          <w:rFonts w:hint="eastAsia" w:cs="宋体"/>
          <w:color w:val="auto"/>
        </w:rPr>
        <w:t>行×第2</w:t>
      </w:r>
      <w:r>
        <w:rPr>
          <w:rFonts w:cs="宋体"/>
          <w:color w:val="auto"/>
        </w:rPr>
        <w:t>9</w:t>
      </w:r>
      <w:r>
        <w:rPr>
          <w:rFonts w:hint="eastAsia" w:cs="宋体"/>
          <w:color w:val="auto"/>
        </w:rPr>
        <w:t>行金额。</w:t>
      </w:r>
    </w:p>
    <w:p w14:paraId="3AFF1427">
      <w:pPr>
        <w:pStyle w:val="8"/>
        <w:ind w:firstLine="480"/>
        <w:rPr>
          <w:rFonts w:hint="eastAsia" w:cs="宋体"/>
          <w:color w:val="auto"/>
        </w:rPr>
      </w:pPr>
      <w:r>
        <w:rPr>
          <w:rFonts w:hint="eastAsia" w:cs="宋体"/>
          <w:color w:val="auto"/>
        </w:rPr>
        <w:t>31.第</w:t>
      </w:r>
      <w:r>
        <w:rPr>
          <w:rFonts w:cs="宋体"/>
          <w:color w:val="auto"/>
        </w:rPr>
        <w:t>31</w:t>
      </w:r>
      <w:r>
        <w:rPr>
          <w:rFonts w:hint="eastAsia" w:cs="宋体"/>
          <w:color w:val="auto"/>
        </w:rPr>
        <w:t>行“减免所得税额”：根据相关行次计算结果填报纳税人按税收规定实际减免的企业所得税额。</w:t>
      </w:r>
      <w:r>
        <w:rPr>
          <w:rFonts w:hint="eastAsia" w:cs="宋体"/>
          <w:color w:val="auto"/>
          <w:lang w:eastAsia="zh-CN"/>
        </w:rPr>
        <w:t>纳税人</w:t>
      </w:r>
      <w:r>
        <w:rPr>
          <w:rFonts w:hint="eastAsia" w:cs="宋体"/>
          <w:color w:val="auto"/>
        </w:rPr>
        <w:t>根据</w:t>
      </w:r>
      <w:r>
        <w:rPr>
          <w:rFonts w:hint="eastAsia"/>
          <w:color w:val="auto"/>
        </w:rPr>
        <w:t>《企业所得税申报事项目录》，</w:t>
      </w:r>
      <w:r>
        <w:rPr>
          <w:rFonts w:hint="eastAsia" w:cs="宋体"/>
          <w:color w:val="auto"/>
        </w:rPr>
        <w:t>在第</w:t>
      </w:r>
      <w:r>
        <w:rPr>
          <w:rFonts w:cs="宋体"/>
          <w:color w:val="auto"/>
        </w:rPr>
        <w:t>31.1</w:t>
      </w:r>
      <w:r>
        <w:rPr>
          <w:rFonts w:hint="eastAsia" w:cs="宋体"/>
          <w:color w:val="auto"/>
        </w:rPr>
        <w:t>行、第</w:t>
      </w:r>
      <w:r>
        <w:rPr>
          <w:rFonts w:cs="宋体"/>
          <w:color w:val="auto"/>
        </w:rPr>
        <w:t>31.2</w:t>
      </w:r>
      <w:r>
        <w:rPr>
          <w:rFonts w:hint="eastAsia" w:cs="宋体"/>
          <w:color w:val="auto"/>
        </w:rPr>
        <w:t>行……填报税收规定的减免所得税额优惠事项的具体名称和本年累计金额。发生多项且根据税收规定可以同时享受的优惠事项，可以增加行次，但每个事项仅能填报一次。具备高新技术企业资格的纳税人和享受软件、集成电路企业优惠政策的纳税人，同时在《高新技术企业优惠情况及明细表》（A107041）和《软件、集成电路企业优惠情况及明细表》（A107042）中填报具体情况。</w:t>
      </w:r>
    </w:p>
    <w:p w14:paraId="66BFE43B">
      <w:pPr>
        <w:pStyle w:val="8"/>
        <w:ind w:firstLine="480"/>
        <w:rPr>
          <w:rFonts w:hint="eastAsia" w:cs="宋体"/>
          <w:color w:val="auto"/>
        </w:rPr>
      </w:pPr>
      <w:r>
        <w:rPr>
          <w:rFonts w:hint="eastAsia" w:cs="宋体"/>
          <w:color w:val="auto"/>
        </w:rPr>
        <w:t>32.第</w:t>
      </w:r>
      <w:r>
        <w:rPr>
          <w:rFonts w:cs="宋体"/>
          <w:color w:val="auto"/>
        </w:rPr>
        <w:t>32</w:t>
      </w:r>
      <w:r>
        <w:rPr>
          <w:rFonts w:hint="eastAsia" w:cs="宋体"/>
          <w:color w:val="auto"/>
        </w:rPr>
        <w:t>行“抵免所得税额”：填报</w:t>
      </w:r>
      <w:r>
        <w:rPr>
          <w:rFonts w:hint="eastAsia" w:cs="宋体"/>
          <w:color w:val="auto"/>
          <w:lang w:eastAsia="zh-CN"/>
        </w:rPr>
        <w:t>纳税人</w:t>
      </w:r>
      <w:r>
        <w:rPr>
          <w:rFonts w:hint="eastAsia" w:cs="宋体"/>
          <w:color w:val="auto"/>
        </w:rPr>
        <w:t>当年的应纳所得税额中抵免的金额。同时，在《税额抵免优惠明细表》（A107050）中填报具体情况。</w:t>
      </w:r>
    </w:p>
    <w:p w14:paraId="60B57A3B">
      <w:pPr>
        <w:pStyle w:val="8"/>
        <w:ind w:firstLine="480"/>
        <w:rPr>
          <w:rFonts w:hint="eastAsia" w:cs="宋体"/>
          <w:color w:val="auto"/>
        </w:rPr>
      </w:pPr>
      <w:r>
        <w:rPr>
          <w:rFonts w:hint="eastAsia" w:cs="宋体"/>
          <w:color w:val="auto"/>
        </w:rPr>
        <w:t>33.第</w:t>
      </w:r>
      <w:r>
        <w:rPr>
          <w:rFonts w:cs="宋体"/>
          <w:color w:val="auto"/>
        </w:rPr>
        <w:t>33</w:t>
      </w:r>
      <w:r>
        <w:rPr>
          <w:rFonts w:hint="eastAsia" w:cs="宋体"/>
          <w:color w:val="auto"/>
        </w:rPr>
        <w:t>行“应纳税额”：填报第</w:t>
      </w:r>
      <w:r>
        <w:rPr>
          <w:rFonts w:cs="宋体"/>
          <w:color w:val="auto"/>
        </w:rPr>
        <w:t>30</w:t>
      </w:r>
      <w:r>
        <w:rPr>
          <w:rFonts w:hint="eastAsia" w:cs="宋体"/>
          <w:color w:val="auto"/>
        </w:rPr>
        <w:t>行－第</w:t>
      </w:r>
      <w:r>
        <w:rPr>
          <w:rFonts w:cs="宋体"/>
          <w:color w:val="auto"/>
        </w:rPr>
        <w:t>31</w:t>
      </w:r>
      <w:r>
        <w:rPr>
          <w:rFonts w:hint="eastAsia" w:cs="宋体"/>
          <w:color w:val="auto"/>
        </w:rPr>
        <w:t>行－第</w:t>
      </w:r>
      <w:r>
        <w:rPr>
          <w:rFonts w:cs="宋体"/>
          <w:color w:val="auto"/>
        </w:rPr>
        <w:t>32</w:t>
      </w:r>
      <w:r>
        <w:rPr>
          <w:rFonts w:hint="eastAsia" w:cs="宋体"/>
          <w:color w:val="auto"/>
        </w:rPr>
        <w:t>行金额。</w:t>
      </w:r>
    </w:p>
    <w:p w14:paraId="5CB2EB60">
      <w:pPr>
        <w:pStyle w:val="8"/>
        <w:ind w:firstLine="480"/>
        <w:rPr>
          <w:rFonts w:hint="eastAsia" w:cs="宋体"/>
          <w:color w:val="auto"/>
        </w:rPr>
      </w:pPr>
      <w:r>
        <w:rPr>
          <w:rFonts w:hint="eastAsia" w:cs="宋体"/>
          <w:color w:val="auto"/>
        </w:rPr>
        <w:t>34.第</w:t>
      </w:r>
      <w:r>
        <w:rPr>
          <w:rFonts w:cs="宋体"/>
          <w:color w:val="auto"/>
        </w:rPr>
        <w:t>34</w:t>
      </w:r>
      <w:r>
        <w:rPr>
          <w:rFonts w:hint="eastAsia" w:cs="宋体"/>
          <w:color w:val="auto"/>
        </w:rPr>
        <w:t>行“境外所得应纳所得税额”：填报纳税人来源于中国境外的所得，按照我国税收规定计算的应纳所得税额。同时，在《境外所得税收抵免明细表》（A108000）中填报具体情况。</w:t>
      </w:r>
    </w:p>
    <w:p w14:paraId="44B36FAB">
      <w:pPr>
        <w:pStyle w:val="8"/>
        <w:ind w:firstLine="480"/>
        <w:rPr>
          <w:rFonts w:hint="eastAsia" w:cs="宋体"/>
          <w:color w:val="auto"/>
        </w:rPr>
      </w:pPr>
      <w:r>
        <w:rPr>
          <w:rFonts w:hint="eastAsia" w:cs="宋体"/>
          <w:color w:val="auto"/>
        </w:rPr>
        <w:t>35.第3</w:t>
      </w:r>
      <w:r>
        <w:rPr>
          <w:rFonts w:cs="宋体"/>
          <w:color w:val="auto"/>
        </w:rPr>
        <w:t>5</w:t>
      </w:r>
      <w:r>
        <w:rPr>
          <w:rFonts w:hint="eastAsia" w:cs="宋体"/>
          <w:color w:val="auto"/>
        </w:rPr>
        <w:t>行“境外所得抵免所得税额”：填报纳税人来源于中国境外所得依照中国境外税收法律以及相关规定应缴纳并实际缴纳（包括视同已实际缴纳）的企业所得税性质的税款（准予抵免税款）。同时，在《境外所得税收抵免明细表》（A108000）中填报具体情况。</w:t>
      </w:r>
    </w:p>
    <w:p w14:paraId="3FEFC45B">
      <w:pPr>
        <w:pStyle w:val="8"/>
        <w:ind w:firstLine="480"/>
        <w:rPr>
          <w:rFonts w:hint="eastAsia" w:cs="宋体"/>
          <w:color w:val="auto"/>
        </w:rPr>
      </w:pPr>
      <w:r>
        <w:rPr>
          <w:rFonts w:hint="eastAsia" w:cs="宋体"/>
          <w:color w:val="auto"/>
        </w:rPr>
        <w:t>36.第3</w:t>
      </w:r>
      <w:r>
        <w:rPr>
          <w:rFonts w:cs="宋体"/>
          <w:color w:val="auto"/>
        </w:rPr>
        <w:t>6</w:t>
      </w:r>
      <w:r>
        <w:rPr>
          <w:rFonts w:hint="eastAsia" w:cs="宋体"/>
          <w:color w:val="auto"/>
        </w:rPr>
        <w:t>行“实际应纳所得税额”：填报第</w:t>
      </w:r>
      <w:r>
        <w:rPr>
          <w:rFonts w:cs="宋体"/>
          <w:color w:val="auto"/>
        </w:rPr>
        <w:t>33</w:t>
      </w:r>
      <w:r>
        <w:rPr>
          <w:rFonts w:hint="eastAsia" w:cs="宋体"/>
          <w:color w:val="auto"/>
        </w:rPr>
        <w:t>行＋第</w:t>
      </w:r>
      <w:r>
        <w:rPr>
          <w:rFonts w:cs="宋体"/>
          <w:color w:val="auto"/>
        </w:rPr>
        <w:t>34</w:t>
      </w:r>
      <w:r>
        <w:rPr>
          <w:rFonts w:hint="eastAsia" w:cs="宋体"/>
          <w:color w:val="auto"/>
        </w:rPr>
        <w:t>行－第3</w:t>
      </w:r>
      <w:r>
        <w:rPr>
          <w:rFonts w:cs="宋体"/>
          <w:color w:val="auto"/>
        </w:rPr>
        <w:t>5</w:t>
      </w:r>
      <w:r>
        <w:rPr>
          <w:rFonts w:hint="eastAsia" w:cs="宋体"/>
          <w:color w:val="auto"/>
        </w:rPr>
        <w:t>行金额。其中，跨地区经营企业类型为“分支机构—须进行完整年度申报并按比例纳税”的纳税人，填报（第</w:t>
      </w:r>
      <w:r>
        <w:rPr>
          <w:rFonts w:cs="宋体"/>
          <w:color w:val="auto"/>
        </w:rPr>
        <w:t>33</w:t>
      </w:r>
      <w:r>
        <w:rPr>
          <w:rFonts w:hint="eastAsia" w:cs="宋体"/>
          <w:color w:val="auto"/>
        </w:rPr>
        <w:t>行＋第</w:t>
      </w:r>
      <w:r>
        <w:rPr>
          <w:rFonts w:cs="宋体"/>
          <w:color w:val="auto"/>
        </w:rPr>
        <w:t>34</w:t>
      </w:r>
      <w:r>
        <w:rPr>
          <w:rFonts w:hint="eastAsia" w:cs="宋体"/>
          <w:color w:val="auto"/>
        </w:rPr>
        <w:t>行－第3</w:t>
      </w:r>
      <w:r>
        <w:rPr>
          <w:rFonts w:cs="宋体"/>
          <w:color w:val="auto"/>
        </w:rPr>
        <w:t>5</w:t>
      </w:r>
      <w:r>
        <w:rPr>
          <w:rFonts w:hint="eastAsia" w:cs="宋体"/>
          <w:color w:val="auto"/>
        </w:rPr>
        <w:t>行）×“分支机构就地纳税比例”金额。</w:t>
      </w:r>
    </w:p>
    <w:p w14:paraId="192775F6">
      <w:pPr>
        <w:pStyle w:val="8"/>
        <w:ind w:firstLine="480"/>
        <w:rPr>
          <w:rFonts w:hint="eastAsia" w:cs="宋体"/>
          <w:color w:val="auto"/>
        </w:rPr>
      </w:pPr>
      <w:r>
        <w:rPr>
          <w:rFonts w:hint="eastAsia" w:cs="宋体"/>
          <w:color w:val="auto"/>
        </w:rPr>
        <w:t>37.第3</w:t>
      </w:r>
      <w:r>
        <w:rPr>
          <w:rFonts w:cs="宋体"/>
          <w:color w:val="auto"/>
        </w:rPr>
        <w:t>7</w:t>
      </w:r>
      <w:r>
        <w:rPr>
          <w:rFonts w:hint="eastAsia" w:cs="宋体"/>
          <w:color w:val="auto"/>
        </w:rPr>
        <w:t>行“本年累计预缴所得税额”：填报纳税人按照税收规定本纳税年度已在月（季）度累计预缴的所得税额，包括建筑企业总机构直接管理的跨地区设立的项目部按规定向项目所在地主管税务机关预缴的所得税额、预缴时已享受的民族自治地区企业所得税地方分享部分减免金额。</w:t>
      </w:r>
    </w:p>
    <w:p w14:paraId="7BED8084">
      <w:pPr>
        <w:pStyle w:val="8"/>
        <w:ind w:firstLine="480"/>
        <w:rPr>
          <w:rFonts w:hint="eastAsia" w:cs="宋体"/>
          <w:color w:val="auto"/>
        </w:rPr>
      </w:pPr>
      <w:r>
        <w:rPr>
          <w:rFonts w:hint="eastAsia" w:cs="宋体"/>
          <w:color w:val="auto"/>
        </w:rPr>
        <w:t>38.第3</w:t>
      </w:r>
      <w:r>
        <w:rPr>
          <w:rFonts w:cs="宋体"/>
          <w:color w:val="auto"/>
        </w:rPr>
        <w:t>8</w:t>
      </w:r>
      <w:r>
        <w:rPr>
          <w:rFonts w:hint="eastAsia" w:cs="宋体"/>
          <w:color w:val="auto"/>
        </w:rPr>
        <w:t>行“本年应补（退）所得税额”：填报第3</w:t>
      </w:r>
      <w:r>
        <w:rPr>
          <w:rFonts w:cs="宋体"/>
          <w:color w:val="auto"/>
        </w:rPr>
        <w:t>6</w:t>
      </w:r>
      <w:r>
        <w:rPr>
          <w:rFonts w:hint="eastAsia" w:cs="宋体"/>
          <w:color w:val="auto"/>
        </w:rPr>
        <w:t>行－第3</w:t>
      </w:r>
      <w:r>
        <w:rPr>
          <w:rFonts w:cs="宋体"/>
          <w:color w:val="auto"/>
        </w:rPr>
        <w:t>7</w:t>
      </w:r>
      <w:r>
        <w:rPr>
          <w:rFonts w:hint="eastAsia" w:cs="宋体"/>
          <w:color w:val="auto"/>
        </w:rPr>
        <w:t>行金额。</w:t>
      </w:r>
    </w:p>
    <w:p w14:paraId="1F45C847">
      <w:pPr>
        <w:pStyle w:val="8"/>
        <w:ind w:firstLine="480"/>
        <w:rPr>
          <w:rFonts w:hint="eastAsia" w:cs="宋体"/>
          <w:color w:val="auto"/>
        </w:rPr>
      </w:pPr>
      <w:r>
        <w:rPr>
          <w:rFonts w:hint="eastAsia" w:cs="宋体"/>
          <w:color w:val="auto"/>
        </w:rPr>
        <w:t>39.第39行“总机构分摊本年应补（退）所得税额”：填报汇总纳税的总机构按照税收规定在总机构所在地分摊本年应补（退）所得税额。同时，在《跨地区经营汇总纳税企业年度分摊企业所得税明细表》（A109000）中填报具体情况。</w:t>
      </w:r>
    </w:p>
    <w:p w14:paraId="03DFC505">
      <w:pPr>
        <w:pStyle w:val="8"/>
        <w:ind w:firstLine="480"/>
        <w:rPr>
          <w:rFonts w:hint="eastAsia" w:cs="宋体"/>
          <w:color w:val="auto"/>
        </w:rPr>
      </w:pPr>
      <w:r>
        <w:rPr>
          <w:rFonts w:hint="eastAsia" w:cs="宋体"/>
          <w:color w:val="auto"/>
        </w:rPr>
        <w:t>40.第40行“财政集中分配本年应补（退）所得税额”：填报汇总纳税的总机构按照税收规定财政集中分配本年应补（退）所得税款。同时，在《跨地区经营汇总纳税企业年度分摊企业所得税明细表》（A109000）中填报具体情况。</w:t>
      </w:r>
    </w:p>
    <w:p w14:paraId="3FF81474">
      <w:pPr>
        <w:pStyle w:val="8"/>
        <w:ind w:firstLine="480"/>
        <w:rPr>
          <w:rFonts w:hint="eastAsia" w:cs="宋体"/>
          <w:color w:val="auto"/>
        </w:rPr>
      </w:pPr>
      <w:r>
        <w:rPr>
          <w:rFonts w:hint="eastAsia" w:cs="宋体"/>
          <w:color w:val="auto"/>
        </w:rPr>
        <w:t>41.第</w:t>
      </w:r>
      <w:r>
        <w:rPr>
          <w:rFonts w:cs="宋体"/>
          <w:color w:val="auto"/>
        </w:rPr>
        <w:t>41</w:t>
      </w:r>
      <w:r>
        <w:rPr>
          <w:rFonts w:hint="eastAsia" w:cs="宋体"/>
          <w:color w:val="auto"/>
        </w:rPr>
        <w:t>行“总机构主体生产经营部门分摊本年应补（退）所得税额”：填报汇总纳税的总机构所属的具有主体生产经营职能的部门按照税收规定应分摊的本年应补（退）所得税额。同时，在《跨地区经营汇总纳税企业年度分摊企业所得税明细表》（A109000）中填报具体情况。</w:t>
      </w:r>
    </w:p>
    <w:p w14:paraId="623117CC">
      <w:pPr>
        <w:pStyle w:val="8"/>
        <w:ind w:firstLine="480"/>
        <w:rPr>
          <w:rFonts w:hint="eastAsia" w:cs="宋体"/>
          <w:color w:val="auto"/>
        </w:rPr>
      </w:pPr>
      <w:r>
        <w:rPr>
          <w:rFonts w:hint="eastAsia" w:cs="宋体"/>
          <w:color w:val="auto"/>
        </w:rPr>
        <w:t>42.第42行“民族自治地区企业所得税地方分享部分：□ 免征 □ 减征：减征幅度</w:t>
      </w:r>
      <w:r>
        <w:rPr>
          <w:color w:val="auto"/>
          <w:kern w:val="0"/>
          <w:u w:val="single"/>
        </w:rPr>
        <w:t xml:space="preserve">   </w:t>
      </w:r>
      <w:r>
        <w:rPr>
          <w:rFonts w:hint="eastAsia" w:cs="宋体"/>
          <w:color w:val="auto"/>
        </w:rPr>
        <w:t>%）”：根据有关规定，实行民族区域自治的自治区、自治州、自治县的自治机关对本民族自治地方的企业应缴纳的企业所得税中属于地方分享的部分，可以决定减征或免征，自治州、自治县决定减征或者免征的，须报省、自治区、直辖市人民政府批准。</w:t>
      </w:r>
    </w:p>
    <w:p w14:paraId="6DD9A23F">
      <w:pPr>
        <w:pStyle w:val="8"/>
        <w:ind w:firstLine="480"/>
        <w:rPr>
          <w:rFonts w:hint="eastAsia" w:cs="宋体"/>
          <w:color w:val="auto"/>
        </w:rPr>
      </w:pPr>
      <w:r>
        <w:rPr>
          <w:rFonts w:hint="eastAsia" w:cs="宋体"/>
          <w:color w:val="auto"/>
        </w:rPr>
        <w:t>纳税人填报该行次时，根据享受政策的类型选择“免征”或“减征”，二者必选其一。选择“免征”是指免征企业所得税税收地方分享部分；选择“减征：减征幅度</w:t>
      </w:r>
      <w:r>
        <w:rPr>
          <w:color w:val="auto"/>
          <w:kern w:val="0"/>
          <w:u w:val="single"/>
        </w:rPr>
        <w:t xml:space="preserve">   </w:t>
      </w:r>
      <w:r>
        <w:rPr>
          <w:rFonts w:hint="eastAsia" w:cs="宋体"/>
          <w:color w:val="auto"/>
        </w:rPr>
        <w:t>%”是指减征企业所得税税收地方分享部分。此时需填写“减征幅度”，减征幅度填写范围为1至100，表示企业所得税税收地方分享部分的减征比例。例如：地方分享部分减半征收，则选择“减征”，并在“减征幅度”后填写“50%”。</w:t>
      </w:r>
    </w:p>
    <w:p w14:paraId="6FF66ECC">
      <w:pPr>
        <w:pStyle w:val="8"/>
        <w:ind w:firstLine="480"/>
        <w:rPr>
          <w:rFonts w:hint="eastAsia" w:cs="宋体"/>
          <w:color w:val="auto"/>
        </w:rPr>
      </w:pPr>
      <w:r>
        <w:rPr>
          <w:rFonts w:hint="eastAsia" w:cs="宋体"/>
          <w:color w:val="auto"/>
        </w:rPr>
        <w:t>企业类型为“非跨地区经营企业”的，本行填报“实际应纳所得税额”×40%×减征幅度－本年度预缴申报累计已减免的地方分享部分减免金额的余额。企业类型为“跨地区经营汇总纳税企业总机构”的，本行填报总机构因民族地方优惠调整分配金额。</w:t>
      </w:r>
    </w:p>
    <w:p w14:paraId="48580380">
      <w:pPr>
        <w:pStyle w:val="8"/>
        <w:ind w:firstLine="480"/>
        <w:rPr>
          <w:rFonts w:hint="eastAsia" w:cs="宋体"/>
          <w:color w:val="auto"/>
        </w:rPr>
      </w:pPr>
      <w:r>
        <w:rPr>
          <w:rFonts w:hint="eastAsia" w:cs="宋体"/>
          <w:color w:val="auto"/>
        </w:rPr>
        <w:t>43.第43行“稽查查补（退）所得税额”：填报年度汇算清缴期结束后发生的税款所属期为本年度的稽查查补（退）所得税额。</w:t>
      </w:r>
    </w:p>
    <w:p w14:paraId="6F5EF3D4">
      <w:pPr>
        <w:pStyle w:val="8"/>
        <w:ind w:firstLine="480"/>
        <w:rPr>
          <w:rFonts w:hint="eastAsia" w:cs="宋体"/>
          <w:color w:val="auto"/>
        </w:rPr>
      </w:pPr>
      <w:r>
        <w:rPr>
          <w:rFonts w:hint="eastAsia" w:cs="宋体"/>
          <w:color w:val="auto"/>
        </w:rPr>
        <w:t>44.第4</w:t>
      </w:r>
      <w:r>
        <w:rPr>
          <w:rFonts w:hint="eastAsia" w:cs="宋体"/>
          <w:color w:val="auto"/>
          <w:lang w:val="en-US" w:eastAsia="zh-CN"/>
        </w:rPr>
        <w:t>4</w:t>
      </w:r>
      <w:r>
        <w:rPr>
          <w:rFonts w:hint="eastAsia" w:cs="宋体"/>
          <w:color w:val="auto"/>
        </w:rPr>
        <w:t>行“特别纳税调整补（退）所得税额”：填报年度汇算清缴期结束后</w:t>
      </w:r>
      <w:r>
        <w:rPr>
          <w:rFonts w:hint="eastAsia" w:cs="宋体"/>
          <w:color w:val="auto"/>
          <w:lang w:eastAsia="zh-CN"/>
        </w:rPr>
        <w:t>发生的</w:t>
      </w:r>
      <w:r>
        <w:rPr>
          <w:rFonts w:hint="eastAsia" w:cs="宋体"/>
          <w:color w:val="auto"/>
        </w:rPr>
        <w:t>税款所属期为本年度的特别纳税调整实际已补（退）所得税额。</w:t>
      </w:r>
    </w:p>
    <w:p w14:paraId="393FA993">
      <w:pPr>
        <w:pStyle w:val="8"/>
        <w:ind w:firstLine="480"/>
        <w:rPr>
          <w:rFonts w:hint="eastAsia" w:cs="宋体"/>
          <w:color w:val="auto"/>
        </w:rPr>
      </w:pPr>
      <w:r>
        <w:rPr>
          <w:rFonts w:hint="eastAsia" w:cs="宋体"/>
          <w:color w:val="auto"/>
        </w:rPr>
        <w:t>4</w:t>
      </w:r>
      <w:r>
        <w:rPr>
          <w:rFonts w:hint="eastAsia" w:cs="宋体"/>
          <w:color w:val="auto"/>
          <w:lang w:val="en-US" w:eastAsia="zh-CN"/>
        </w:rPr>
        <w:t>5</w:t>
      </w:r>
      <w:r>
        <w:rPr>
          <w:rFonts w:hint="eastAsia" w:cs="宋体"/>
          <w:color w:val="auto"/>
        </w:rPr>
        <w:t>.第45行“本年实际应补（退）所得税额”：填报纳税人当期实际应补（退）的所得税额。企业类型为“非跨地区经营企业”的，本行填报第38行－第42行－第43行－第44行金额。企业类型为“跨地区经营汇总纳税企业总机构”的，本行填报总机构本年实际应补（退）所得税额。</w:t>
      </w:r>
    </w:p>
    <w:p w14:paraId="1E381AA1">
      <w:pPr>
        <w:pStyle w:val="10"/>
        <w:ind w:firstLine="480"/>
        <w:jc w:val="both"/>
        <w:outlineLvl w:val="1"/>
        <w:rPr>
          <w:rFonts w:hint="eastAsia" w:ascii="黑体" w:hAnsi="黑体" w:eastAsia="黑体"/>
          <w:color w:val="auto"/>
          <w:sz w:val="24"/>
          <w:szCs w:val="24"/>
        </w:rPr>
      </w:pPr>
      <w:bookmarkStart w:id="40" w:name="_Toc1721528180_WPSOffice_Level1"/>
      <w:bookmarkStart w:id="41" w:name="_Toc3734"/>
      <w:bookmarkStart w:id="42" w:name="_Toc163974561"/>
      <w:bookmarkStart w:id="43" w:name="_Toc22578"/>
      <w:bookmarkStart w:id="44" w:name="_Toc5206"/>
      <w:bookmarkStart w:id="45" w:name="_Toc663956507"/>
      <w:bookmarkStart w:id="46" w:name="_Toc838873667_WPSOffice_Level1"/>
      <w:bookmarkStart w:id="47" w:name="_Toc11263"/>
      <w:bookmarkStart w:id="48" w:name="_Toc8220"/>
      <w:bookmarkStart w:id="49" w:name="_Toc163974757"/>
      <w:bookmarkStart w:id="50" w:name="_Toc21850"/>
      <w:bookmarkStart w:id="51" w:name="_Toc17318"/>
      <w:bookmarkStart w:id="52" w:name="_Toc176972045"/>
      <w:bookmarkStart w:id="53" w:name="_Toc164008815"/>
      <w:r>
        <w:rPr>
          <w:rFonts w:hint="eastAsia" w:ascii="黑体" w:hAnsi="黑体" w:eastAsia="黑体"/>
          <w:color w:val="auto"/>
          <w:sz w:val="24"/>
          <w:szCs w:val="24"/>
        </w:rPr>
        <w:t>二、表内、表间关系</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6E23E4E">
      <w:pPr>
        <w:pStyle w:val="11"/>
        <w:ind w:firstLine="480"/>
        <w:rPr>
          <w:rFonts w:hint="eastAsia"/>
          <w:color w:val="auto"/>
        </w:rPr>
      </w:pPr>
      <w:bookmarkStart w:id="54" w:name="_Toc426540113_WPSOffice_Level2"/>
      <w:bookmarkStart w:id="55" w:name="_Toc1432589415_WPSOffice_Level2"/>
      <w:r>
        <w:rPr>
          <w:rFonts w:hint="eastAsia"/>
          <w:color w:val="auto"/>
        </w:rPr>
        <w:t>（一）表内关系</w:t>
      </w:r>
      <w:bookmarkEnd w:id="54"/>
      <w:bookmarkEnd w:id="55"/>
    </w:p>
    <w:p w14:paraId="7598D13C">
      <w:pPr>
        <w:pStyle w:val="8"/>
        <w:ind w:firstLine="480"/>
        <w:rPr>
          <w:rFonts w:hint="eastAsia"/>
          <w:color w:val="auto"/>
        </w:rPr>
      </w:pPr>
      <w:r>
        <w:rPr>
          <w:color w:val="auto"/>
        </w:rPr>
        <w:t>1.</w:t>
      </w:r>
      <w:r>
        <w:rPr>
          <w:rFonts w:hint="eastAsia"/>
          <w:color w:val="auto"/>
        </w:rPr>
        <w:t>第</w:t>
      </w:r>
      <w:r>
        <w:rPr>
          <w:color w:val="auto"/>
        </w:rPr>
        <w:t>18</w:t>
      </w:r>
      <w:r>
        <w:rPr>
          <w:rFonts w:hint="eastAsia"/>
          <w:color w:val="auto"/>
        </w:rPr>
        <w:t>行＝第</w:t>
      </w:r>
      <w:r>
        <w:rPr>
          <w:color w:val="auto"/>
        </w:rPr>
        <w:t>15＋16－17</w:t>
      </w:r>
      <w:r>
        <w:rPr>
          <w:rFonts w:hint="eastAsia"/>
          <w:color w:val="auto"/>
        </w:rPr>
        <w:t>行。</w:t>
      </w:r>
    </w:p>
    <w:p w14:paraId="2329C8EF">
      <w:pPr>
        <w:pStyle w:val="8"/>
        <w:ind w:firstLine="480"/>
        <w:rPr>
          <w:rFonts w:hint="eastAsia"/>
          <w:color w:val="auto"/>
        </w:rPr>
      </w:pPr>
      <w:r>
        <w:rPr>
          <w:color w:val="auto"/>
        </w:rPr>
        <w:t>2.</w:t>
      </w:r>
      <w:r>
        <w:rPr>
          <w:rFonts w:hint="eastAsia"/>
          <w:color w:val="auto"/>
        </w:rPr>
        <w:t>第</w:t>
      </w:r>
      <w:r>
        <w:rPr>
          <w:color w:val="auto"/>
        </w:rPr>
        <w:t>24</w:t>
      </w:r>
      <w:r>
        <w:rPr>
          <w:rFonts w:hint="eastAsia"/>
          <w:color w:val="auto"/>
        </w:rPr>
        <w:t>行＝第</w:t>
      </w:r>
      <w:r>
        <w:rPr>
          <w:color w:val="auto"/>
        </w:rPr>
        <w:t>18－19＋20－21－22＋23</w:t>
      </w:r>
      <w:r>
        <w:rPr>
          <w:rFonts w:hint="eastAsia"/>
          <w:color w:val="auto"/>
        </w:rPr>
        <w:t>行。</w:t>
      </w:r>
    </w:p>
    <w:p w14:paraId="652B2257">
      <w:pPr>
        <w:pStyle w:val="8"/>
        <w:ind w:firstLine="480"/>
        <w:rPr>
          <w:rFonts w:hint="eastAsia"/>
          <w:color w:val="auto"/>
        </w:rPr>
      </w:pPr>
      <w:r>
        <w:rPr>
          <w:color w:val="auto"/>
        </w:rPr>
        <w:t>3.</w:t>
      </w:r>
      <w:r>
        <w:rPr>
          <w:rFonts w:hint="eastAsia"/>
          <w:color w:val="auto"/>
        </w:rPr>
        <w:t>第</w:t>
      </w:r>
      <w:r>
        <w:rPr>
          <w:color w:val="auto"/>
        </w:rPr>
        <w:t>28</w:t>
      </w:r>
      <w:r>
        <w:rPr>
          <w:rFonts w:hint="eastAsia"/>
          <w:color w:val="auto"/>
        </w:rPr>
        <w:t>行＝第</w:t>
      </w:r>
      <w:r>
        <w:rPr>
          <w:color w:val="auto"/>
        </w:rPr>
        <w:t>24－25－26－27</w:t>
      </w:r>
      <w:r>
        <w:rPr>
          <w:rFonts w:hint="eastAsia"/>
          <w:color w:val="auto"/>
        </w:rPr>
        <w:t>行。</w:t>
      </w:r>
    </w:p>
    <w:p w14:paraId="7CE29AAB">
      <w:pPr>
        <w:pStyle w:val="8"/>
        <w:ind w:firstLine="480"/>
        <w:rPr>
          <w:rFonts w:hint="eastAsia"/>
          <w:color w:val="auto"/>
        </w:rPr>
      </w:pPr>
      <w:r>
        <w:rPr>
          <w:color w:val="auto"/>
        </w:rPr>
        <w:t>4.</w:t>
      </w:r>
      <w:r>
        <w:rPr>
          <w:rFonts w:hint="eastAsia"/>
          <w:color w:val="auto"/>
        </w:rPr>
        <w:t>第</w:t>
      </w:r>
      <w:r>
        <w:rPr>
          <w:color w:val="auto"/>
        </w:rPr>
        <w:t>30</w:t>
      </w:r>
      <w:r>
        <w:rPr>
          <w:rFonts w:hint="eastAsia"/>
          <w:color w:val="auto"/>
        </w:rPr>
        <w:t>行＝第</w:t>
      </w:r>
      <w:r>
        <w:rPr>
          <w:color w:val="auto"/>
        </w:rPr>
        <w:t>28</w:t>
      </w:r>
      <w:r>
        <w:rPr>
          <w:rFonts w:hint="eastAsia"/>
          <w:color w:val="auto"/>
        </w:rPr>
        <w:t>×</w:t>
      </w:r>
      <w:r>
        <w:rPr>
          <w:color w:val="auto"/>
        </w:rPr>
        <w:t>29</w:t>
      </w:r>
      <w:r>
        <w:rPr>
          <w:rFonts w:hint="eastAsia"/>
          <w:color w:val="auto"/>
        </w:rPr>
        <w:t>行。</w:t>
      </w:r>
    </w:p>
    <w:p w14:paraId="4A47EDCF">
      <w:pPr>
        <w:pStyle w:val="8"/>
        <w:ind w:firstLine="480"/>
        <w:rPr>
          <w:rFonts w:hint="eastAsia"/>
          <w:color w:val="auto"/>
        </w:rPr>
      </w:pPr>
      <w:r>
        <w:rPr>
          <w:color w:val="auto"/>
        </w:rPr>
        <w:t>5.</w:t>
      </w:r>
      <w:r>
        <w:rPr>
          <w:rFonts w:hint="eastAsia"/>
          <w:color w:val="auto"/>
        </w:rPr>
        <w:t>第</w:t>
      </w:r>
      <w:r>
        <w:rPr>
          <w:color w:val="auto"/>
        </w:rPr>
        <w:t>33</w:t>
      </w:r>
      <w:r>
        <w:rPr>
          <w:rFonts w:hint="eastAsia"/>
          <w:color w:val="auto"/>
        </w:rPr>
        <w:t>行＝第</w:t>
      </w:r>
      <w:r>
        <w:rPr>
          <w:color w:val="auto"/>
        </w:rPr>
        <w:t>30－31－32</w:t>
      </w:r>
      <w:r>
        <w:rPr>
          <w:rFonts w:hint="eastAsia"/>
          <w:color w:val="auto"/>
        </w:rPr>
        <w:t>行。</w:t>
      </w:r>
    </w:p>
    <w:p w14:paraId="59500620">
      <w:pPr>
        <w:pStyle w:val="8"/>
        <w:ind w:firstLine="480"/>
        <w:rPr>
          <w:rFonts w:hint="eastAsia"/>
          <w:color w:val="auto"/>
        </w:rPr>
      </w:pPr>
      <w:r>
        <w:rPr>
          <w:color w:val="auto"/>
        </w:rPr>
        <w:t>6.</w:t>
      </w:r>
      <w:r>
        <w:rPr>
          <w:rFonts w:hint="eastAsia"/>
          <w:color w:val="auto"/>
        </w:rPr>
        <w:t>第</w:t>
      </w:r>
      <w:r>
        <w:rPr>
          <w:color w:val="auto"/>
        </w:rPr>
        <w:t>36</w:t>
      </w:r>
      <w:r>
        <w:rPr>
          <w:rFonts w:hint="eastAsia"/>
          <w:color w:val="auto"/>
        </w:rPr>
        <w:t>行＝第</w:t>
      </w:r>
      <w:r>
        <w:rPr>
          <w:color w:val="auto"/>
        </w:rPr>
        <w:t>33＋34－35</w:t>
      </w:r>
      <w:r>
        <w:rPr>
          <w:rFonts w:hint="eastAsia"/>
          <w:color w:val="auto"/>
        </w:rPr>
        <w:t>行。其中，跨地区经营企业类型为“分支机构—须进行完整年度申报并按比例纳税”的纳税人，第</w:t>
      </w:r>
      <w:r>
        <w:rPr>
          <w:color w:val="auto"/>
        </w:rPr>
        <w:t>36</w:t>
      </w:r>
      <w:r>
        <w:rPr>
          <w:rFonts w:hint="eastAsia"/>
          <w:color w:val="auto"/>
        </w:rPr>
        <w:t>行＝（第</w:t>
      </w:r>
      <w:r>
        <w:rPr>
          <w:color w:val="auto"/>
        </w:rPr>
        <w:t>33＋34－35</w:t>
      </w:r>
      <w:r>
        <w:rPr>
          <w:rFonts w:hint="eastAsia"/>
          <w:color w:val="auto"/>
        </w:rPr>
        <w:t>行）×表</w:t>
      </w:r>
      <w:r>
        <w:rPr>
          <w:color w:val="auto"/>
        </w:rPr>
        <w:t>A000000</w:t>
      </w:r>
      <w:r>
        <w:rPr>
          <w:rFonts w:hint="eastAsia"/>
          <w:color w:val="auto"/>
        </w:rPr>
        <w:t>“</w:t>
      </w:r>
      <w:r>
        <w:rPr>
          <w:color w:val="auto"/>
        </w:rPr>
        <w:t>102</w:t>
      </w:r>
      <w:r>
        <w:rPr>
          <w:rFonts w:hint="eastAsia"/>
          <w:color w:val="auto"/>
        </w:rPr>
        <w:t>分支机构就地纳税比例”。</w:t>
      </w:r>
    </w:p>
    <w:p w14:paraId="2B6E445E">
      <w:pPr>
        <w:pStyle w:val="8"/>
        <w:ind w:firstLine="480"/>
        <w:rPr>
          <w:rFonts w:hint="eastAsia"/>
          <w:color w:val="auto"/>
        </w:rPr>
      </w:pPr>
      <w:r>
        <w:rPr>
          <w:color w:val="auto"/>
        </w:rPr>
        <w:t>7.</w:t>
      </w:r>
      <w:r>
        <w:rPr>
          <w:rFonts w:hint="eastAsia"/>
          <w:color w:val="auto"/>
        </w:rPr>
        <w:t>第</w:t>
      </w:r>
      <w:r>
        <w:rPr>
          <w:color w:val="auto"/>
        </w:rPr>
        <w:t>38</w:t>
      </w:r>
      <w:r>
        <w:rPr>
          <w:rFonts w:hint="eastAsia"/>
          <w:color w:val="auto"/>
        </w:rPr>
        <w:t>行＝第</w:t>
      </w:r>
      <w:r>
        <w:rPr>
          <w:color w:val="auto"/>
        </w:rPr>
        <w:t>36－37</w:t>
      </w:r>
      <w:r>
        <w:rPr>
          <w:rFonts w:hint="eastAsia"/>
          <w:color w:val="auto"/>
        </w:rPr>
        <w:t>行。</w:t>
      </w:r>
    </w:p>
    <w:p w14:paraId="4BEED6F2">
      <w:pPr>
        <w:pStyle w:val="8"/>
        <w:ind w:firstLine="480"/>
        <w:rPr>
          <w:rFonts w:hint="eastAsia"/>
          <w:color w:val="auto"/>
        </w:rPr>
      </w:pPr>
      <w:r>
        <w:rPr>
          <w:color w:val="auto"/>
        </w:rPr>
        <w:t>8.</w:t>
      </w:r>
      <w:r>
        <w:rPr>
          <w:rFonts w:hint="eastAsia"/>
          <w:color w:val="auto"/>
        </w:rPr>
        <w:t>企业类型为“非跨地区经营企业”的，第45行＝第38－42－43－44行。</w:t>
      </w:r>
    </w:p>
    <w:p w14:paraId="4739443E">
      <w:pPr>
        <w:pStyle w:val="11"/>
        <w:ind w:firstLine="480"/>
        <w:rPr>
          <w:rFonts w:hint="eastAsia"/>
          <w:color w:val="auto"/>
        </w:rPr>
      </w:pPr>
      <w:bookmarkStart w:id="56" w:name="_Toc211959255_WPSOffice_Level2"/>
      <w:bookmarkStart w:id="57" w:name="_Toc992607885_WPSOffice_Level2"/>
      <w:r>
        <w:rPr>
          <w:rFonts w:hint="eastAsia"/>
          <w:color w:val="auto"/>
        </w:rPr>
        <w:t>（二）表间关系</w:t>
      </w:r>
      <w:bookmarkEnd w:id="56"/>
      <w:bookmarkEnd w:id="57"/>
    </w:p>
    <w:p w14:paraId="23795073">
      <w:pPr>
        <w:pStyle w:val="8"/>
        <w:ind w:firstLine="480"/>
        <w:rPr>
          <w:rFonts w:hint="eastAsia"/>
          <w:color w:val="auto"/>
        </w:rPr>
      </w:pPr>
      <w:r>
        <w:rPr>
          <w:rFonts w:hint="eastAsia"/>
          <w:color w:val="auto"/>
        </w:rPr>
        <w:t>1.第1行＝表A101010第1行或表A101020第1行或表A103000第2＋3＋4＋5＋6行或表A103000第11＋12＋13＋14＋15行。</w:t>
      </w:r>
    </w:p>
    <w:p w14:paraId="1E084814">
      <w:pPr>
        <w:pStyle w:val="8"/>
        <w:ind w:firstLine="480"/>
        <w:rPr>
          <w:rFonts w:hint="eastAsia"/>
          <w:color w:val="auto"/>
        </w:rPr>
      </w:pPr>
      <w:r>
        <w:rPr>
          <w:rFonts w:hint="eastAsia"/>
          <w:color w:val="auto"/>
        </w:rPr>
        <w:t>2.第2行＝表A102010第1行或表A102020第1行或表A103000第19＋20＋21＋22行或表A103000第25＋26＋27行。</w:t>
      </w:r>
    </w:p>
    <w:p w14:paraId="7A7E532C">
      <w:pPr>
        <w:pStyle w:val="8"/>
        <w:ind w:firstLine="480"/>
        <w:rPr>
          <w:rFonts w:hint="eastAsia"/>
          <w:color w:val="auto"/>
        </w:rPr>
      </w:pPr>
      <w:r>
        <w:rPr>
          <w:rFonts w:hint="eastAsia"/>
          <w:color w:val="auto"/>
        </w:rPr>
        <w:t>3.第4行＝表A104000第26行第1列。</w:t>
      </w:r>
    </w:p>
    <w:p w14:paraId="4CA6221E">
      <w:pPr>
        <w:pStyle w:val="8"/>
        <w:ind w:firstLine="480"/>
        <w:rPr>
          <w:rFonts w:hint="eastAsia" w:eastAsia="宋体"/>
          <w:color w:val="auto"/>
          <w:lang w:val="en-US" w:eastAsia="zh-CN"/>
        </w:rPr>
      </w:pPr>
      <w:r>
        <w:rPr>
          <w:rFonts w:hint="eastAsia"/>
          <w:color w:val="auto"/>
        </w:rPr>
        <w:t>4.第5行＋第6行＝表</w:t>
      </w:r>
      <w:r>
        <w:rPr>
          <w:color w:val="auto"/>
        </w:rPr>
        <w:t>A104000</w:t>
      </w:r>
      <w:r>
        <w:rPr>
          <w:rFonts w:hint="eastAsia"/>
          <w:color w:val="auto"/>
        </w:rPr>
        <w:t>第26行第3列</w:t>
      </w:r>
      <w:r>
        <w:rPr>
          <w:rFonts w:hint="eastAsia"/>
          <w:color w:val="auto"/>
          <w:lang w:eastAsia="zh-CN"/>
        </w:rPr>
        <w:t>。</w:t>
      </w:r>
    </w:p>
    <w:p w14:paraId="2504CA4E">
      <w:pPr>
        <w:pStyle w:val="8"/>
        <w:ind w:firstLine="480"/>
        <w:rPr>
          <w:rFonts w:hint="eastAsia"/>
          <w:color w:val="auto"/>
        </w:rPr>
      </w:pPr>
      <w:r>
        <w:rPr>
          <w:rFonts w:hint="eastAsia"/>
          <w:color w:val="auto"/>
        </w:rPr>
        <w:t>5.第7行＝表A104000第26行第5列。</w:t>
      </w:r>
    </w:p>
    <w:p w14:paraId="13192067">
      <w:pPr>
        <w:pStyle w:val="8"/>
        <w:ind w:firstLine="480"/>
        <w:rPr>
          <w:rFonts w:hint="eastAsia"/>
          <w:color w:val="auto"/>
        </w:rPr>
      </w:pPr>
      <w:r>
        <w:rPr>
          <w:rFonts w:hint="eastAsia"/>
          <w:color w:val="auto"/>
        </w:rPr>
        <w:t>6.第9行＝表A103000第8行或第16行</w:t>
      </w:r>
      <w:r>
        <w:rPr>
          <w:rFonts w:hint="eastAsia"/>
          <w:color w:val="auto"/>
          <w:lang w:eastAsia="zh-CN"/>
        </w:rPr>
        <w:t>。</w:t>
      </w:r>
      <w:r>
        <w:rPr>
          <w:rFonts w:hint="eastAsia"/>
          <w:color w:val="auto"/>
        </w:rPr>
        <w:t>（仅限于填报表A103000的纳税人，其他纳税人根据财务核算情况自行填写）</w:t>
      </w:r>
    </w:p>
    <w:p w14:paraId="65BBCD49">
      <w:pPr>
        <w:pStyle w:val="8"/>
        <w:ind w:firstLine="480"/>
        <w:rPr>
          <w:rFonts w:hint="eastAsia"/>
          <w:color w:val="auto"/>
        </w:rPr>
      </w:pPr>
      <w:r>
        <w:rPr>
          <w:rFonts w:hint="eastAsia"/>
          <w:color w:val="auto"/>
        </w:rPr>
        <w:t>7.第16行＝表A101010第16行或表A101020第35行或表A103000第9行或第17行。</w:t>
      </w:r>
    </w:p>
    <w:p w14:paraId="64BB8E99">
      <w:pPr>
        <w:pStyle w:val="8"/>
        <w:ind w:firstLine="480"/>
        <w:rPr>
          <w:rFonts w:hint="eastAsia"/>
          <w:color w:val="auto"/>
        </w:rPr>
      </w:pPr>
      <w:r>
        <w:rPr>
          <w:rFonts w:hint="eastAsia"/>
          <w:color w:val="auto"/>
        </w:rPr>
        <w:t>8.第17行＝</w:t>
      </w:r>
      <w:r>
        <w:rPr>
          <w:rFonts w:hint="eastAsia" w:cs="宋体"/>
          <w:color w:val="auto"/>
        </w:rPr>
        <w:t>表A102010第16行或表A102020第33行或表A103000第23行或第28行。</w:t>
      </w:r>
    </w:p>
    <w:p w14:paraId="7F44D8FB">
      <w:pPr>
        <w:pStyle w:val="8"/>
        <w:ind w:firstLine="480"/>
        <w:rPr>
          <w:rFonts w:hint="eastAsia"/>
          <w:color w:val="auto"/>
        </w:rPr>
      </w:pPr>
      <w:r>
        <w:rPr>
          <w:rFonts w:hint="eastAsia"/>
          <w:color w:val="auto"/>
        </w:rPr>
        <w:t>9.第19行＝表A108010第14列合计－第11列合计。</w:t>
      </w:r>
    </w:p>
    <w:p w14:paraId="37548485">
      <w:pPr>
        <w:pStyle w:val="8"/>
        <w:ind w:firstLine="480"/>
        <w:rPr>
          <w:rFonts w:hint="eastAsia"/>
          <w:color w:val="auto"/>
        </w:rPr>
      </w:pPr>
      <w:r>
        <w:rPr>
          <w:color w:val="auto"/>
        </w:rPr>
        <w:t>1</w:t>
      </w:r>
      <w:r>
        <w:rPr>
          <w:rFonts w:hint="eastAsia"/>
          <w:color w:val="auto"/>
        </w:rPr>
        <w:t>0</w:t>
      </w:r>
      <w:r>
        <w:rPr>
          <w:color w:val="auto"/>
        </w:rPr>
        <w:t>.第20</w:t>
      </w:r>
      <w:r>
        <w:rPr>
          <w:rFonts w:hint="eastAsia"/>
          <w:color w:val="auto"/>
        </w:rPr>
        <w:t>行＝表</w:t>
      </w:r>
      <w:r>
        <w:rPr>
          <w:color w:val="auto"/>
        </w:rPr>
        <w:t>A105000第</w:t>
      </w:r>
      <w:r>
        <w:rPr>
          <w:rFonts w:hint="eastAsia"/>
          <w:color w:val="auto"/>
        </w:rPr>
        <w:t>46行第</w:t>
      </w:r>
      <w:r>
        <w:rPr>
          <w:color w:val="auto"/>
        </w:rPr>
        <w:t>3列。</w:t>
      </w:r>
    </w:p>
    <w:p w14:paraId="6B2C381C">
      <w:pPr>
        <w:pStyle w:val="8"/>
        <w:ind w:firstLine="480"/>
        <w:rPr>
          <w:rFonts w:hint="eastAsia"/>
          <w:color w:val="auto"/>
        </w:rPr>
      </w:pPr>
      <w:r>
        <w:rPr>
          <w:color w:val="auto"/>
        </w:rPr>
        <w:t>1</w:t>
      </w:r>
      <w:r>
        <w:rPr>
          <w:rFonts w:hint="eastAsia"/>
          <w:color w:val="auto"/>
        </w:rPr>
        <w:t>1</w:t>
      </w:r>
      <w:r>
        <w:rPr>
          <w:color w:val="auto"/>
        </w:rPr>
        <w:t>.第21</w:t>
      </w:r>
      <w:r>
        <w:rPr>
          <w:rFonts w:hint="eastAsia"/>
          <w:color w:val="auto"/>
        </w:rPr>
        <w:t>行＝表</w:t>
      </w:r>
      <w:r>
        <w:rPr>
          <w:color w:val="auto"/>
        </w:rPr>
        <w:t>A105000第</w:t>
      </w:r>
      <w:r>
        <w:rPr>
          <w:rFonts w:hint="eastAsia"/>
          <w:color w:val="auto"/>
        </w:rPr>
        <w:t>46行第</w:t>
      </w:r>
      <w:r>
        <w:rPr>
          <w:color w:val="auto"/>
        </w:rPr>
        <w:t>4列。</w:t>
      </w:r>
    </w:p>
    <w:p w14:paraId="1F92B1A1">
      <w:pPr>
        <w:pStyle w:val="8"/>
        <w:ind w:firstLine="480"/>
        <w:rPr>
          <w:rFonts w:hint="eastAsia"/>
          <w:color w:val="auto"/>
        </w:rPr>
      </w:pPr>
      <w:r>
        <w:rPr>
          <w:color w:val="auto"/>
        </w:rPr>
        <w:t>1</w:t>
      </w:r>
      <w:r>
        <w:rPr>
          <w:rFonts w:hint="eastAsia"/>
          <w:color w:val="auto"/>
        </w:rPr>
        <w:t>2</w:t>
      </w:r>
      <w:r>
        <w:rPr>
          <w:color w:val="auto"/>
        </w:rPr>
        <w:t>.</w:t>
      </w:r>
      <w:r>
        <w:rPr>
          <w:rFonts w:hint="eastAsia"/>
          <w:color w:val="auto"/>
        </w:rPr>
        <w:t>第23行：</w:t>
      </w:r>
    </w:p>
    <w:p w14:paraId="5EFAD7F6">
      <w:pPr>
        <w:pStyle w:val="8"/>
        <w:ind w:left="1545" w:leftChars="450" w:hanging="600" w:hangingChars="250"/>
        <w:rPr>
          <w:rFonts w:hint="eastAsia"/>
          <w:color w:val="auto"/>
        </w:rPr>
      </w:pPr>
      <w:r>
        <w:rPr>
          <w:rFonts w:hint="eastAsia"/>
          <w:color w:val="auto"/>
        </w:rPr>
        <w:t>（1）当第18－19＋20－21－22行≥0，第23行＝0；</w:t>
      </w:r>
    </w:p>
    <w:p w14:paraId="6E805A31">
      <w:pPr>
        <w:pStyle w:val="8"/>
        <w:ind w:left="1545" w:leftChars="450" w:hanging="600" w:hangingChars="250"/>
        <w:rPr>
          <w:rFonts w:hint="eastAsia"/>
          <w:color w:val="auto"/>
        </w:rPr>
      </w:pPr>
      <w:r>
        <w:rPr>
          <w:rFonts w:hint="eastAsia"/>
          <w:color w:val="auto"/>
        </w:rPr>
        <w:t>（2）当第18－19＋20－21－22</w:t>
      </w:r>
      <w:r>
        <w:rPr>
          <w:rFonts w:hint="eastAsia"/>
          <w:color w:val="auto"/>
          <w:lang w:eastAsia="zh-CN"/>
        </w:rPr>
        <w:t>行</w:t>
      </w:r>
      <w:r>
        <w:rPr>
          <w:rFonts w:hint="eastAsia"/>
          <w:color w:val="auto"/>
        </w:rPr>
        <w:t>＜0且表A108000第5列合计行≥0，表A108000第6列合计行＞0时，第23行＝表A108000第5列合计行与表A100000第18－19＋20－21－22行绝对值的孰小值；</w:t>
      </w:r>
    </w:p>
    <w:p w14:paraId="12CB98F3">
      <w:pPr>
        <w:pStyle w:val="8"/>
        <w:ind w:left="1545" w:leftChars="450" w:hanging="600" w:hangingChars="250"/>
        <w:rPr>
          <w:rFonts w:hint="eastAsia"/>
          <w:color w:val="auto"/>
        </w:rPr>
      </w:pPr>
      <w:r>
        <w:rPr>
          <w:rFonts w:hint="eastAsia"/>
          <w:color w:val="auto"/>
        </w:rPr>
        <w:t>（3）当第18－19＋20－21－22</w:t>
      </w:r>
      <w:r>
        <w:rPr>
          <w:rFonts w:hint="eastAsia"/>
          <w:color w:val="auto"/>
          <w:lang w:eastAsia="zh-CN"/>
        </w:rPr>
        <w:t>行</w:t>
      </w:r>
      <w:r>
        <w:rPr>
          <w:rFonts w:hint="eastAsia"/>
          <w:color w:val="auto"/>
        </w:rPr>
        <w:t>＜0且表A108000第5列合计行≥0，表A108000第6列合计行＝0时，第23行＝0。</w:t>
      </w:r>
    </w:p>
    <w:p w14:paraId="6ED3110F">
      <w:pPr>
        <w:pStyle w:val="8"/>
        <w:ind w:firstLine="480"/>
        <w:rPr>
          <w:rFonts w:hint="eastAsia"/>
          <w:color w:val="auto"/>
        </w:rPr>
      </w:pPr>
      <w:r>
        <w:rPr>
          <w:color w:val="auto"/>
        </w:rPr>
        <w:t>1</w:t>
      </w:r>
      <w:r>
        <w:rPr>
          <w:rFonts w:hint="eastAsia"/>
          <w:color w:val="auto"/>
        </w:rPr>
        <w:t>3</w:t>
      </w:r>
      <w:r>
        <w:rPr>
          <w:color w:val="auto"/>
        </w:rPr>
        <w:t>.</w:t>
      </w:r>
      <w:r>
        <w:rPr>
          <w:rFonts w:hint="eastAsia"/>
          <w:color w:val="auto"/>
        </w:rPr>
        <w:t>第25行：</w:t>
      </w:r>
    </w:p>
    <w:p w14:paraId="6CF48F9B">
      <w:pPr>
        <w:pStyle w:val="8"/>
        <w:ind w:left="315" w:leftChars="150" w:firstLine="480"/>
        <w:rPr>
          <w:rFonts w:hint="eastAsia"/>
          <w:color w:val="auto"/>
        </w:rPr>
      </w:pPr>
      <w:r>
        <w:rPr>
          <w:rFonts w:hint="eastAsia"/>
          <w:color w:val="auto"/>
        </w:rPr>
        <w:t>当第24行≤0时，第25行＝0；</w:t>
      </w:r>
    </w:p>
    <w:p w14:paraId="7D84CD82">
      <w:pPr>
        <w:pStyle w:val="8"/>
        <w:ind w:left="315" w:leftChars="150" w:firstLine="480"/>
        <w:rPr>
          <w:rFonts w:hint="eastAsia"/>
          <w:color w:val="auto"/>
        </w:rPr>
      </w:pPr>
      <w:r>
        <w:rPr>
          <w:rFonts w:hint="eastAsia"/>
          <w:color w:val="auto"/>
        </w:rPr>
        <w:t>当第24行＞0时，</w:t>
      </w:r>
    </w:p>
    <w:p w14:paraId="2502A9F3">
      <w:pPr>
        <w:pStyle w:val="8"/>
        <w:ind w:left="1545" w:leftChars="450" w:hanging="600" w:hangingChars="250"/>
        <w:rPr>
          <w:rFonts w:hint="eastAsia"/>
          <w:color w:val="auto"/>
        </w:rPr>
      </w:pPr>
      <w:r>
        <w:rPr>
          <w:rFonts w:hint="eastAsia"/>
          <w:color w:val="auto"/>
        </w:rPr>
        <w:t>（1）第24行≥表A107020</w:t>
      </w:r>
      <w:r>
        <w:rPr>
          <w:rFonts w:hint="eastAsia"/>
          <w:color w:val="auto"/>
          <w:lang w:eastAsia="zh-CN"/>
        </w:rPr>
        <w:t>第</w:t>
      </w:r>
      <w:r>
        <w:rPr>
          <w:rFonts w:hint="eastAsia"/>
          <w:color w:val="auto"/>
          <w:lang w:val="en-US" w:eastAsia="zh-CN"/>
        </w:rPr>
        <w:t>31行</w:t>
      </w:r>
      <w:r>
        <w:rPr>
          <w:rFonts w:hint="eastAsia"/>
          <w:color w:val="auto"/>
        </w:rPr>
        <w:t>合计行第</w:t>
      </w:r>
      <w:r>
        <w:rPr>
          <w:color w:val="auto"/>
        </w:rPr>
        <w:t>1</w:t>
      </w:r>
      <w:r>
        <w:rPr>
          <w:rFonts w:hint="eastAsia"/>
          <w:color w:val="auto"/>
          <w:lang w:val="en-US" w:eastAsia="zh-CN"/>
        </w:rPr>
        <w:t>1</w:t>
      </w:r>
      <w:r>
        <w:rPr>
          <w:rFonts w:hint="eastAsia"/>
          <w:color w:val="auto"/>
        </w:rPr>
        <w:t>列，第25行＝表A107020</w:t>
      </w:r>
      <w:r>
        <w:rPr>
          <w:rFonts w:hint="eastAsia"/>
          <w:color w:val="auto"/>
          <w:lang w:eastAsia="zh-CN"/>
        </w:rPr>
        <w:t>第</w:t>
      </w:r>
      <w:r>
        <w:rPr>
          <w:rFonts w:hint="eastAsia"/>
          <w:color w:val="auto"/>
          <w:lang w:val="en-US" w:eastAsia="zh-CN"/>
        </w:rPr>
        <w:t>31行</w:t>
      </w:r>
      <w:r>
        <w:rPr>
          <w:rFonts w:hint="eastAsia"/>
          <w:color w:val="auto"/>
        </w:rPr>
        <w:t>合计行第1</w:t>
      </w:r>
      <w:r>
        <w:rPr>
          <w:rFonts w:hint="eastAsia"/>
          <w:color w:val="auto"/>
          <w:lang w:val="en-US" w:eastAsia="zh-CN"/>
        </w:rPr>
        <w:t>1</w:t>
      </w:r>
      <w:r>
        <w:rPr>
          <w:rFonts w:hint="eastAsia"/>
          <w:color w:val="auto"/>
        </w:rPr>
        <w:t>列；</w:t>
      </w:r>
    </w:p>
    <w:p w14:paraId="0D5244C0">
      <w:pPr>
        <w:pStyle w:val="8"/>
        <w:ind w:left="1545" w:leftChars="450" w:hanging="600" w:hangingChars="250"/>
        <w:rPr>
          <w:rFonts w:hint="eastAsia"/>
          <w:color w:val="auto"/>
        </w:rPr>
      </w:pPr>
      <w:r>
        <w:rPr>
          <w:rFonts w:hint="eastAsia"/>
          <w:color w:val="auto"/>
        </w:rPr>
        <w:t>（2）第24行＜表A107020</w:t>
      </w:r>
      <w:r>
        <w:rPr>
          <w:rFonts w:hint="eastAsia"/>
          <w:color w:val="auto"/>
          <w:lang w:eastAsia="zh-CN"/>
        </w:rPr>
        <w:t>第</w:t>
      </w:r>
      <w:r>
        <w:rPr>
          <w:rFonts w:hint="eastAsia"/>
          <w:color w:val="auto"/>
          <w:lang w:val="en-US" w:eastAsia="zh-CN"/>
        </w:rPr>
        <w:t>31行</w:t>
      </w:r>
      <w:r>
        <w:rPr>
          <w:rFonts w:hint="eastAsia"/>
          <w:color w:val="auto"/>
        </w:rPr>
        <w:t>合计行第</w:t>
      </w:r>
      <w:r>
        <w:rPr>
          <w:color w:val="auto"/>
        </w:rPr>
        <w:t>1</w:t>
      </w:r>
      <w:r>
        <w:rPr>
          <w:rFonts w:hint="eastAsia"/>
          <w:color w:val="auto"/>
          <w:lang w:val="en-US" w:eastAsia="zh-CN"/>
        </w:rPr>
        <w:t>1</w:t>
      </w:r>
      <w:r>
        <w:rPr>
          <w:rFonts w:hint="eastAsia"/>
          <w:color w:val="auto"/>
        </w:rPr>
        <w:t>列，第25行＝第24行。</w:t>
      </w:r>
    </w:p>
    <w:p w14:paraId="5B577574">
      <w:pPr>
        <w:pStyle w:val="8"/>
        <w:ind w:firstLine="480"/>
        <w:rPr>
          <w:rFonts w:hint="eastAsia"/>
          <w:color w:val="auto"/>
        </w:rPr>
      </w:pPr>
      <w:r>
        <w:rPr>
          <w:color w:val="auto"/>
        </w:rPr>
        <w:t>1</w:t>
      </w:r>
      <w:r>
        <w:rPr>
          <w:rFonts w:hint="eastAsia"/>
          <w:color w:val="auto"/>
        </w:rPr>
        <w:t>4</w:t>
      </w:r>
      <w:r>
        <w:rPr>
          <w:color w:val="auto"/>
        </w:rPr>
        <w:t>.</w:t>
      </w:r>
      <w:r>
        <w:rPr>
          <w:rFonts w:hint="eastAsia"/>
          <w:color w:val="auto"/>
        </w:rPr>
        <w:t>第26行＝表A106000表11行第10列。</w:t>
      </w:r>
    </w:p>
    <w:p w14:paraId="029E8808">
      <w:pPr>
        <w:pStyle w:val="8"/>
        <w:ind w:firstLine="480"/>
        <w:rPr>
          <w:rFonts w:hint="eastAsia"/>
          <w:color w:val="auto"/>
        </w:rPr>
      </w:pPr>
      <w:r>
        <w:rPr>
          <w:color w:val="auto"/>
        </w:rPr>
        <w:t>1</w:t>
      </w:r>
      <w:r>
        <w:rPr>
          <w:rFonts w:hint="eastAsia"/>
          <w:color w:val="auto"/>
        </w:rPr>
        <w:t>5</w:t>
      </w:r>
      <w:r>
        <w:rPr>
          <w:color w:val="auto"/>
        </w:rPr>
        <w:t>.</w:t>
      </w:r>
      <w:r>
        <w:rPr>
          <w:rFonts w:hint="eastAsia"/>
          <w:color w:val="auto"/>
        </w:rPr>
        <w:t>第27行＝表A107030第15行第1列。</w:t>
      </w:r>
    </w:p>
    <w:p w14:paraId="21BD6EEB">
      <w:pPr>
        <w:pStyle w:val="8"/>
        <w:ind w:firstLine="480"/>
        <w:rPr>
          <w:rFonts w:hint="eastAsia"/>
          <w:color w:val="auto"/>
        </w:rPr>
      </w:pPr>
      <w:r>
        <w:rPr>
          <w:color w:val="auto"/>
        </w:rPr>
        <w:t>1</w:t>
      </w:r>
      <w:r>
        <w:rPr>
          <w:rFonts w:hint="eastAsia"/>
          <w:color w:val="auto"/>
        </w:rPr>
        <w:t>6</w:t>
      </w:r>
      <w:r>
        <w:rPr>
          <w:color w:val="auto"/>
        </w:rPr>
        <w:t>.</w:t>
      </w:r>
      <w:r>
        <w:rPr>
          <w:rFonts w:hint="eastAsia"/>
          <w:color w:val="auto"/>
        </w:rPr>
        <w:t>第32行＝表A107050第7行第6列。</w:t>
      </w:r>
    </w:p>
    <w:p w14:paraId="3180A50C">
      <w:pPr>
        <w:pStyle w:val="8"/>
        <w:ind w:firstLine="480"/>
        <w:rPr>
          <w:rFonts w:hint="eastAsia"/>
          <w:color w:val="auto"/>
        </w:rPr>
      </w:pPr>
      <w:r>
        <w:rPr>
          <w:color w:val="auto"/>
        </w:rPr>
        <w:t>1</w:t>
      </w:r>
      <w:r>
        <w:rPr>
          <w:rFonts w:hint="eastAsia"/>
          <w:color w:val="auto"/>
        </w:rPr>
        <w:t>7</w:t>
      </w:r>
      <w:r>
        <w:rPr>
          <w:color w:val="auto"/>
        </w:rPr>
        <w:t>.</w:t>
      </w:r>
      <w:r>
        <w:rPr>
          <w:rFonts w:hint="eastAsia"/>
          <w:color w:val="auto"/>
        </w:rPr>
        <w:t>第34行＝表A108000合计行第9列。</w:t>
      </w:r>
    </w:p>
    <w:p w14:paraId="70BC7BA4">
      <w:pPr>
        <w:pStyle w:val="8"/>
        <w:ind w:firstLine="480"/>
        <w:rPr>
          <w:rFonts w:hint="eastAsia"/>
          <w:color w:val="auto"/>
        </w:rPr>
      </w:pPr>
      <w:r>
        <w:rPr>
          <w:color w:val="auto"/>
        </w:rPr>
        <w:t>1</w:t>
      </w:r>
      <w:r>
        <w:rPr>
          <w:rFonts w:hint="eastAsia"/>
          <w:color w:val="auto"/>
        </w:rPr>
        <w:t>8</w:t>
      </w:r>
      <w:r>
        <w:rPr>
          <w:color w:val="auto"/>
        </w:rPr>
        <w:t>.</w:t>
      </w:r>
      <w:r>
        <w:rPr>
          <w:rFonts w:hint="eastAsia"/>
          <w:color w:val="auto"/>
        </w:rPr>
        <w:t>第35行＝表A108000合计行第19列。</w:t>
      </w:r>
    </w:p>
    <w:p w14:paraId="5231FB40">
      <w:pPr>
        <w:pStyle w:val="8"/>
        <w:ind w:firstLine="480"/>
        <w:rPr>
          <w:rFonts w:hint="eastAsia"/>
          <w:color w:val="auto"/>
        </w:rPr>
      </w:pPr>
      <w:r>
        <w:rPr>
          <w:rFonts w:hint="eastAsia"/>
          <w:color w:val="auto"/>
        </w:rPr>
        <w:t>19</w:t>
      </w:r>
      <w:r>
        <w:rPr>
          <w:color w:val="auto"/>
        </w:rPr>
        <w:t>.</w:t>
      </w:r>
      <w:r>
        <w:rPr>
          <w:rFonts w:hint="eastAsia"/>
          <w:color w:val="auto"/>
        </w:rPr>
        <w:t>第39行＝表A109000第17</w:t>
      </w:r>
      <w:r>
        <w:rPr>
          <w:rFonts w:hint="eastAsia"/>
          <w:color w:val="auto"/>
          <w:lang w:val="en-US" w:eastAsia="zh-CN"/>
        </w:rPr>
        <w:t>+21</w:t>
      </w:r>
      <w:r>
        <w:rPr>
          <w:rFonts w:hint="eastAsia"/>
          <w:color w:val="auto"/>
        </w:rPr>
        <w:t>行。</w:t>
      </w:r>
    </w:p>
    <w:p w14:paraId="7D6A43AA">
      <w:pPr>
        <w:pStyle w:val="8"/>
        <w:ind w:firstLine="480"/>
        <w:rPr>
          <w:rFonts w:hint="eastAsia"/>
          <w:color w:val="auto"/>
        </w:rPr>
      </w:pPr>
      <w:r>
        <w:rPr>
          <w:color w:val="auto"/>
        </w:rPr>
        <w:t>2</w:t>
      </w:r>
      <w:r>
        <w:rPr>
          <w:rFonts w:hint="eastAsia"/>
          <w:color w:val="auto"/>
        </w:rPr>
        <w:t>0</w:t>
      </w:r>
      <w:r>
        <w:rPr>
          <w:color w:val="auto"/>
        </w:rPr>
        <w:t>.</w:t>
      </w:r>
      <w:r>
        <w:rPr>
          <w:rFonts w:hint="eastAsia"/>
          <w:color w:val="auto"/>
        </w:rPr>
        <w:t>第40行＝表A109000第18行。</w:t>
      </w:r>
    </w:p>
    <w:p w14:paraId="58F3A85A">
      <w:pPr>
        <w:pStyle w:val="8"/>
        <w:ind w:firstLine="480"/>
        <w:rPr>
          <w:rFonts w:hint="eastAsia"/>
          <w:color w:val="auto"/>
        </w:rPr>
      </w:pPr>
      <w:r>
        <w:rPr>
          <w:color w:val="auto"/>
        </w:rPr>
        <w:t>2</w:t>
      </w:r>
      <w:r>
        <w:rPr>
          <w:rFonts w:hint="eastAsia"/>
          <w:color w:val="auto"/>
        </w:rPr>
        <w:t>1</w:t>
      </w:r>
      <w:r>
        <w:rPr>
          <w:color w:val="auto"/>
        </w:rPr>
        <w:t>.</w:t>
      </w:r>
      <w:r>
        <w:rPr>
          <w:rFonts w:hint="eastAsia"/>
          <w:color w:val="auto"/>
        </w:rPr>
        <w:t>第41行＝表A109000第20行。</w:t>
      </w:r>
    </w:p>
    <w:p w14:paraId="04411637">
      <w:pPr>
        <w:pStyle w:val="8"/>
        <w:ind w:firstLine="480"/>
        <w:rPr>
          <w:rFonts w:hint="eastAsia"/>
          <w:color w:val="auto"/>
          <w:lang w:eastAsia="zh-CN"/>
        </w:rPr>
      </w:pPr>
      <w:r>
        <w:rPr>
          <w:color w:val="auto"/>
        </w:rPr>
        <w:t>2</w:t>
      </w:r>
      <w:r>
        <w:rPr>
          <w:rFonts w:hint="eastAsia"/>
          <w:color w:val="auto"/>
        </w:rPr>
        <w:t>2</w:t>
      </w:r>
      <w:r>
        <w:rPr>
          <w:color w:val="auto"/>
        </w:rPr>
        <w:t>.</w:t>
      </w:r>
      <w:r>
        <w:rPr>
          <w:rFonts w:hint="eastAsia"/>
          <w:color w:val="auto"/>
        </w:rPr>
        <w:t>企业类型为“跨地区经营汇总纳税企业总机构”的，第42行＝表A109000第23行</w:t>
      </w:r>
      <w:r>
        <w:rPr>
          <w:rFonts w:hint="eastAsia"/>
          <w:color w:val="auto"/>
          <w:lang w:eastAsia="zh-CN"/>
        </w:rPr>
        <w:t>。</w:t>
      </w:r>
    </w:p>
    <w:p w14:paraId="0259F922">
      <w:pPr>
        <w:pStyle w:val="8"/>
        <w:ind w:firstLine="480"/>
        <w:rPr>
          <w:rFonts w:hint="eastAsia"/>
          <w:color w:val="auto"/>
        </w:rPr>
      </w:pPr>
      <w:r>
        <w:rPr>
          <w:rFonts w:hint="eastAsia"/>
          <w:color w:val="auto"/>
          <w:lang w:val="en-US" w:eastAsia="zh-CN"/>
        </w:rPr>
        <w:t>23.</w:t>
      </w:r>
      <w:r>
        <w:rPr>
          <w:rFonts w:hint="eastAsia"/>
          <w:color w:val="auto"/>
        </w:rPr>
        <w:t>企业类型为“跨地区经营汇总纳税企业总机构”的，第4</w:t>
      </w:r>
      <w:r>
        <w:rPr>
          <w:rFonts w:hint="eastAsia"/>
          <w:color w:val="auto"/>
          <w:lang w:val="en-US" w:eastAsia="zh-CN"/>
        </w:rPr>
        <w:t>5</w:t>
      </w:r>
      <w:r>
        <w:rPr>
          <w:rFonts w:hint="eastAsia"/>
          <w:color w:val="auto"/>
        </w:rPr>
        <w:t>行＝表A109000第26行。</w:t>
      </w:r>
    </w:p>
    <w:p w14:paraId="4B0E3B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F1B8C"/>
    <w:rsid w:val="4CFC467E"/>
    <w:rsid w:val="51BF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1"/>
    <w:basedOn w:val="8"/>
    <w:qFormat/>
    <w:uiPriority w:val="0"/>
    <w:pPr>
      <w:tabs>
        <w:tab w:val="center" w:pos="4678"/>
      </w:tabs>
      <w:ind w:firstLine="0" w:firstLineChars="0"/>
      <w:jc w:val="center"/>
      <w:outlineLvl w:val="0"/>
    </w:pPr>
    <w:rPr>
      <w:rFonts w:eastAsia="方正小标宋简体" w:cs="宋体"/>
      <w:bCs/>
      <w:kern w:val="0"/>
      <w:sz w:val="28"/>
      <w:szCs w:val="28"/>
    </w:rPr>
  </w:style>
  <w:style w:type="paragraph" w:customStyle="1" w:styleId="8">
    <w:name w:val="SBBZW"/>
    <w:basedOn w:val="1"/>
    <w:qFormat/>
    <w:uiPriority w:val="0"/>
    <w:pPr>
      <w:spacing w:line="360" w:lineRule="auto"/>
      <w:ind w:firstLine="200" w:firstLineChars="200"/>
    </w:pPr>
    <w:rPr>
      <w:rFonts w:ascii="宋体" w:hAnsi="宋体"/>
      <w:sz w:val="24"/>
    </w:rPr>
  </w:style>
  <w:style w:type="paragraph" w:customStyle="1" w:styleId="9">
    <w:name w:val="填报说明正文"/>
    <w:basedOn w:val="1"/>
    <w:qFormat/>
    <w:uiPriority w:val="0"/>
    <w:pPr>
      <w:spacing w:line="480" w:lineRule="exact"/>
      <w:ind w:firstLine="640" w:firstLineChars="200"/>
    </w:pPr>
    <w:rPr>
      <w:rFonts w:eastAsia="CESI宋体-GB2312"/>
      <w:sz w:val="24"/>
    </w:rPr>
  </w:style>
  <w:style w:type="paragraph" w:customStyle="1" w:styleId="10">
    <w:name w:val="SBBT2"/>
    <w:basedOn w:val="7"/>
    <w:qFormat/>
    <w:uiPriority w:val="0"/>
    <w:pPr>
      <w:tabs>
        <w:tab w:val="center" w:pos="6521"/>
      </w:tabs>
    </w:pPr>
  </w:style>
  <w:style w:type="paragraph" w:customStyle="1" w:styleId="11">
    <w:name w:val="SBBT3"/>
    <w:basedOn w:val="1"/>
    <w:next w:val="1"/>
    <w:qFormat/>
    <w:uiPriority w:val="0"/>
    <w:pPr>
      <w:spacing w:line="360" w:lineRule="auto"/>
      <w:ind w:firstLine="200" w:firstLineChars="200"/>
      <w:outlineLvl w:val="2"/>
    </w:pPr>
    <w:rPr>
      <w:rFonts w:ascii="黑体" w:hAnsi="黑体" w:eastAsia="楷体_GB2312"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2025-01-21T14:54:00Z</dcterms:created>
  <dc:creator>www.shuiwu114.com</dc:creator>
  <cp:lastModifiedBy>www.shuiwu114.com</cp:lastModifiedBy>
  <dcterms:modified xsi:type="dcterms:W3CDTF">2025-01-21T14:56:21Z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D9B2771E34AF4F2F87CFE30DC6421BF2_11</vt:lpwstr>
  </property>
  <property fmtid="{D5CDD505-2E9C-101B-9397-08002B2CF9AE}" pid="4" name="KSOTemplateDocerSaveRecord">
    <vt:lpwstr>eyJoZGlkIjoiMDY0MGNkMTU3OWQzNDA3NjVmODJmMjIxMTIxOTBhNjUiLCJ1c2VySWQiOiIxMDczMTkyOTA3In0=</vt:lpwstr>
  </property>
</Properties>
</file>