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D81B2">
      <w:pPr>
        <w:pStyle w:val="8"/>
      </w:pPr>
      <w:bookmarkStart w:id="0" w:name="_Toc499456559"/>
      <w:r>
        <w:rPr>
          <w:rFonts w:hint="eastAsia"/>
        </w:rPr>
        <w:t>A101020</w:t>
      </w:r>
      <w:r>
        <w:tab/>
      </w:r>
      <w:r>
        <w:rPr>
          <w:rFonts w:hint="eastAsia"/>
        </w:rPr>
        <w:t>金融企业收入明细表</w:t>
      </w:r>
      <w:bookmarkEnd w:id="0"/>
    </w:p>
    <w:tbl>
      <w:tblPr>
        <w:tblStyle w:val="5"/>
        <w:tblW w:w="92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0"/>
        <w:gridCol w:w="6280"/>
        <w:gridCol w:w="2320"/>
      </w:tblGrid>
      <w:tr w14:paraId="6B744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2CB3E826">
            <w:pPr>
              <w:widowControl/>
              <w:jc w:val="center"/>
              <w:rPr>
                <w:rFonts w:ascii="宋体" w:hAnsi="宋体" w:cs="宋体"/>
                <w:kern w:val="0"/>
                <w:sz w:val="20"/>
                <w:szCs w:val="20"/>
              </w:rPr>
            </w:pPr>
            <w:r>
              <w:rPr>
                <w:rFonts w:hint="eastAsia" w:ascii="宋体" w:hAnsi="宋体" w:cs="宋体"/>
                <w:kern w:val="0"/>
                <w:sz w:val="20"/>
                <w:szCs w:val="20"/>
              </w:rPr>
              <w:t>行次</w:t>
            </w:r>
          </w:p>
        </w:tc>
        <w:tc>
          <w:tcPr>
            <w:tcW w:w="6280" w:type="dxa"/>
            <w:shd w:val="clear" w:color="auto" w:fill="auto"/>
            <w:noWrap/>
            <w:vAlign w:val="center"/>
          </w:tcPr>
          <w:p w14:paraId="79A22DF8">
            <w:pPr>
              <w:widowControl/>
              <w:ind w:left="2520" w:leftChars="1200" w:right="2520" w:rightChars="1200"/>
              <w:jc w:val="distribute"/>
              <w:rPr>
                <w:rFonts w:ascii="宋体" w:hAnsi="宋体" w:cs="宋体"/>
                <w:kern w:val="0"/>
                <w:sz w:val="20"/>
                <w:szCs w:val="20"/>
              </w:rPr>
            </w:pPr>
            <w:r>
              <w:rPr>
                <w:rFonts w:hint="eastAsia" w:ascii="宋体" w:hAnsi="宋体" w:cs="宋体"/>
                <w:kern w:val="0"/>
                <w:sz w:val="20"/>
                <w:szCs w:val="20"/>
              </w:rPr>
              <w:t>项目</w:t>
            </w:r>
          </w:p>
        </w:tc>
        <w:tc>
          <w:tcPr>
            <w:tcW w:w="2320" w:type="dxa"/>
            <w:shd w:val="clear" w:color="auto" w:fill="auto"/>
            <w:noWrap/>
            <w:vAlign w:val="center"/>
          </w:tcPr>
          <w:p w14:paraId="2EF0D467">
            <w:pPr>
              <w:widowControl/>
              <w:jc w:val="center"/>
              <w:rPr>
                <w:rFonts w:ascii="宋体" w:hAnsi="宋体" w:cs="宋体"/>
                <w:kern w:val="0"/>
                <w:sz w:val="20"/>
                <w:szCs w:val="20"/>
              </w:rPr>
            </w:pPr>
            <w:r>
              <w:rPr>
                <w:rFonts w:hint="eastAsia" w:ascii="宋体" w:hAnsi="宋体" w:cs="宋体"/>
                <w:spacing w:val="300"/>
                <w:kern w:val="0"/>
                <w:sz w:val="20"/>
                <w:szCs w:val="20"/>
                <w:fitText w:val="1000" w:id="270285714"/>
              </w:rPr>
              <w:t>金</w:t>
            </w:r>
            <w:r>
              <w:rPr>
                <w:rFonts w:hint="eastAsia" w:ascii="宋体" w:hAnsi="宋体" w:cs="宋体"/>
                <w:spacing w:val="0"/>
                <w:kern w:val="0"/>
                <w:sz w:val="20"/>
                <w:szCs w:val="20"/>
                <w:fitText w:val="1000" w:id="270285714"/>
              </w:rPr>
              <w:t>额</w:t>
            </w:r>
          </w:p>
        </w:tc>
      </w:tr>
      <w:tr w14:paraId="0D891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37346812">
            <w:pPr>
              <w:widowControl/>
              <w:jc w:val="center"/>
              <w:rPr>
                <w:rFonts w:ascii="宋体" w:hAnsi="宋体" w:cs="宋体"/>
                <w:kern w:val="0"/>
                <w:sz w:val="20"/>
                <w:szCs w:val="20"/>
              </w:rPr>
            </w:pPr>
            <w:r>
              <w:rPr>
                <w:rFonts w:hint="eastAsia" w:ascii="宋体" w:hAnsi="宋体" w:cs="宋体"/>
                <w:kern w:val="0"/>
                <w:sz w:val="20"/>
                <w:szCs w:val="20"/>
              </w:rPr>
              <w:t>1</w:t>
            </w:r>
          </w:p>
        </w:tc>
        <w:tc>
          <w:tcPr>
            <w:tcW w:w="6280" w:type="dxa"/>
            <w:shd w:val="clear" w:color="auto" w:fill="auto"/>
            <w:noWrap/>
            <w:vAlign w:val="center"/>
          </w:tcPr>
          <w:p w14:paraId="58292064">
            <w:pPr>
              <w:widowControl/>
              <w:jc w:val="left"/>
              <w:rPr>
                <w:rFonts w:ascii="宋体" w:hAnsi="宋体" w:cs="宋体"/>
                <w:kern w:val="0"/>
                <w:sz w:val="20"/>
                <w:szCs w:val="20"/>
              </w:rPr>
            </w:pPr>
            <w:r>
              <w:rPr>
                <w:rFonts w:hint="eastAsia" w:ascii="宋体" w:hAnsi="宋体" w:cs="宋体"/>
                <w:kern w:val="0"/>
                <w:sz w:val="20"/>
                <w:szCs w:val="20"/>
              </w:rPr>
              <w:t>一、营业收入（2+18+27+32+33+34）</w:t>
            </w:r>
          </w:p>
        </w:tc>
        <w:tc>
          <w:tcPr>
            <w:tcW w:w="2320" w:type="dxa"/>
            <w:shd w:val="clear" w:color="auto" w:fill="auto"/>
            <w:noWrap/>
            <w:vAlign w:val="center"/>
          </w:tcPr>
          <w:p w14:paraId="370952E3">
            <w:pPr>
              <w:widowControl/>
              <w:jc w:val="right"/>
              <w:rPr>
                <w:rFonts w:ascii="宋体" w:hAnsi="宋体" w:cs="宋体"/>
                <w:kern w:val="0"/>
                <w:sz w:val="20"/>
                <w:szCs w:val="20"/>
              </w:rPr>
            </w:pPr>
            <w:r>
              <w:rPr>
                <w:rFonts w:hint="eastAsia" w:ascii="宋体" w:hAnsi="宋体" w:cs="宋体"/>
                <w:kern w:val="0"/>
                <w:sz w:val="20"/>
                <w:szCs w:val="20"/>
              </w:rPr>
              <w:t>　</w:t>
            </w:r>
          </w:p>
        </w:tc>
      </w:tr>
      <w:tr w14:paraId="438EA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2D4D84DC">
            <w:pPr>
              <w:widowControl/>
              <w:jc w:val="center"/>
              <w:rPr>
                <w:rFonts w:ascii="宋体" w:hAnsi="宋体" w:cs="宋体"/>
                <w:kern w:val="0"/>
                <w:sz w:val="20"/>
                <w:szCs w:val="20"/>
              </w:rPr>
            </w:pPr>
            <w:r>
              <w:rPr>
                <w:rFonts w:hint="eastAsia" w:ascii="宋体" w:hAnsi="宋体" w:cs="宋体"/>
                <w:kern w:val="0"/>
                <w:sz w:val="20"/>
                <w:szCs w:val="20"/>
              </w:rPr>
              <w:t>2</w:t>
            </w:r>
          </w:p>
        </w:tc>
        <w:tc>
          <w:tcPr>
            <w:tcW w:w="6280" w:type="dxa"/>
            <w:shd w:val="clear" w:color="auto" w:fill="auto"/>
            <w:noWrap/>
            <w:vAlign w:val="center"/>
          </w:tcPr>
          <w:p w14:paraId="4C173335">
            <w:pPr>
              <w:widowControl/>
              <w:ind w:left="420" w:leftChars="200"/>
              <w:jc w:val="left"/>
              <w:rPr>
                <w:rFonts w:ascii="宋体" w:hAnsi="宋体" w:cs="宋体"/>
                <w:kern w:val="0"/>
                <w:sz w:val="20"/>
                <w:szCs w:val="20"/>
              </w:rPr>
            </w:pPr>
            <w:r>
              <w:rPr>
                <w:rFonts w:hint="eastAsia" w:ascii="宋体" w:hAnsi="宋体" w:cs="宋体"/>
                <w:kern w:val="0"/>
                <w:sz w:val="20"/>
                <w:szCs w:val="20"/>
              </w:rPr>
              <w:t>（一）银行业务收入（3+10）</w:t>
            </w:r>
          </w:p>
        </w:tc>
        <w:tc>
          <w:tcPr>
            <w:tcW w:w="2320" w:type="dxa"/>
            <w:shd w:val="clear" w:color="auto" w:fill="auto"/>
            <w:noWrap/>
            <w:vAlign w:val="center"/>
          </w:tcPr>
          <w:p w14:paraId="44161C53">
            <w:pPr>
              <w:widowControl/>
              <w:jc w:val="right"/>
              <w:rPr>
                <w:rFonts w:ascii="宋体" w:hAnsi="宋体" w:cs="宋体"/>
                <w:kern w:val="0"/>
                <w:sz w:val="20"/>
                <w:szCs w:val="20"/>
              </w:rPr>
            </w:pPr>
            <w:r>
              <w:rPr>
                <w:rFonts w:hint="eastAsia" w:ascii="宋体" w:hAnsi="宋体" w:cs="宋体"/>
                <w:kern w:val="0"/>
                <w:sz w:val="20"/>
                <w:szCs w:val="20"/>
              </w:rPr>
              <w:t>　</w:t>
            </w:r>
          </w:p>
        </w:tc>
      </w:tr>
      <w:tr w14:paraId="3FE88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7D93448A">
            <w:pPr>
              <w:widowControl/>
              <w:jc w:val="center"/>
              <w:rPr>
                <w:rFonts w:ascii="宋体" w:hAnsi="宋体" w:cs="宋体"/>
                <w:kern w:val="0"/>
                <w:sz w:val="20"/>
                <w:szCs w:val="20"/>
              </w:rPr>
            </w:pPr>
            <w:r>
              <w:rPr>
                <w:rFonts w:hint="eastAsia" w:ascii="宋体" w:hAnsi="宋体" w:cs="宋体"/>
                <w:kern w:val="0"/>
                <w:sz w:val="20"/>
                <w:szCs w:val="20"/>
              </w:rPr>
              <w:t>3</w:t>
            </w:r>
          </w:p>
        </w:tc>
        <w:tc>
          <w:tcPr>
            <w:tcW w:w="6280" w:type="dxa"/>
            <w:shd w:val="clear" w:color="auto" w:fill="auto"/>
            <w:noWrap/>
            <w:vAlign w:val="center"/>
          </w:tcPr>
          <w:p w14:paraId="2BB99FE0">
            <w:pPr>
              <w:widowControl/>
              <w:ind w:left="840" w:leftChars="400"/>
              <w:jc w:val="left"/>
              <w:rPr>
                <w:rFonts w:ascii="宋体" w:hAnsi="宋体" w:cs="宋体"/>
                <w:kern w:val="0"/>
                <w:sz w:val="20"/>
                <w:szCs w:val="20"/>
              </w:rPr>
            </w:pPr>
            <w:r>
              <w:rPr>
                <w:rFonts w:hint="eastAsia" w:ascii="宋体" w:hAnsi="宋体" w:cs="宋体"/>
                <w:kern w:val="0"/>
                <w:sz w:val="20"/>
                <w:szCs w:val="20"/>
              </w:rPr>
              <w:t>1.利息收入（4+5+6+7+8+9）</w:t>
            </w:r>
          </w:p>
        </w:tc>
        <w:tc>
          <w:tcPr>
            <w:tcW w:w="2320" w:type="dxa"/>
            <w:shd w:val="clear" w:color="auto" w:fill="auto"/>
            <w:noWrap/>
            <w:vAlign w:val="center"/>
          </w:tcPr>
          <w:p w14:paraId="4614FB84">
            <w:pPr>
              <w:widowControl/>
              <w:jc w:val="right"/>
              <w:rPr>
                <w:rFonts w:ascii="宋体" w:hAnsi="宋体" w:cs="宋体"/>
                <w:kern w:val="0"/>
                <w:sz w:val="20"/>
                <w:szCs w:val="20"/>
              </w:rPr>
            </w:pPr>
            <w:r>
              <w:rPr>
                <w:rFonts w:hint="eastAsia" w:ascii="宋体" w:hAnsi="宋体" w:cs="宋体"/>
                <w:kern w:val="0"/>
                <w:sz w:val="20"/>
                <w:szCs w:val="20"/>
              </w:rPr>
              <w:t>　</w:t>
            </w:r>
          </w:p>
        </w:tc>
      </w:tr>
      <w:tr w14:paraId="42610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609A5779">
            <w:pPr>
              <w:widowControl/>
              <w:jc w:val="center"/>
              <w:rPr>
                <w:rFonts w:ascii="宋体" w:hAnsi="宋体" w:cs="宋体"/>
                <w:kern w:val="0"/>
                <w:sz w:val="20"/>
                <w:szCs w:val="20"/>
              </w:rPr>
            </w:pPr>
            <w:r>
              <w:rPr>
                <w:rFonts w:hint="eastAsia" w:ascii="宋体" w:hAnsi="宋体" w:cs="宋体"/>
                <w:kern w:val="0"/>
                <w:sz w:val="20"/>
                <w:szCs w:val="20"/>
              </w:rPr>
              <w:t>4</w:t>
            </w:r>
          </w:p>
        </w:tc>
        <w:tc>
          <w:tcPr>
            <w:tcW w:w="6280" w:type="dxa"/>
            <w:shd w:val="clear" w:color="auto" w:fill="auto"/>
            <w:noWrap/>
            <w:vAlign w:val="center"/>
          </w:tcPr>
          <w:p w14:paraId="7BEF7B8E">
            <w:pPr>
              <w:widowControl/>
              <w:ind w:left="939" w:leftChars="447"/>
              <w:jc w:val="left"/>
              <w:rPr>
                <w:rFonts w:ascii="宋体" w:hAnsi="宋体" w:cs="宋体"/>
                <w:kern w:val="0"/>
                <w:sz w:val="20"/>
                <w:szCs w:val="20"/>
              </w:rPr>
            </w:pPr>
            <w:r>
              <w:rPr>
                <w:rFonts w:hint="eastAsia" w:ascii="宋体" w:hAnsi="宋体" w:cs="宋体"/>
                <w:kern w:val="0"/>
                <w:sz w:val="20"/>
                <w:szCs w:val="20"/>
              </w:rPr>
              <w:t>（1）存放同业</w:t>
            </w:r>
          </w:p>
        </w:tc>
        <w:tc>
          <w:tcPr>
            <w:tcW w:w="2320" w:type="dxa"/>
            <w:shd w:val="clear" w:color="auto" w:fill="auto"/>
            <w:noWrap/>
            <w:vAlign w:val="center"/>
          </w:tcPr>
          <w:p w14:paraId="244B61DB">
            <w:pPr>
              <w:widowControl/>
              <w:jc w:val="right"/>
              <w:rPr>
                <w:rFonts w:ascii="宋体" w:hAnsi="宋体" w:cs="宋体"/>
                <w:kern w:val="0"/>
                <w:sz w:val="20"/>
                <w:szCs w:val="20"/>
              </w:rPr>
            </w:pPr>
            <w:r>
              <w:rPr>
                <w:rFonts w:hint="eastAsia" w:ascii="宋体" w:hAnsi="宋体" w:cs="宋体"/>
                <w:kern w:val="0"/>
                <w:sz w:val="20"/>
                <w:szCs w:val="20"/>
              </w:rPr>
              <w:t>　</w:t>
            </w:r>
          </w:p>
        </w:tc>
      </w:tr>
      <w:tr w14:paraId="0644F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4CFFDC0C">
            <w:pPr>
              <w:widowControl/>
              <w:jc w:val="center"/>
              <w:rPr>
                <w:rFonts w:ascii="宋体" w:hAnsi="宋体" w:cs="宋体"/>
                <w:kern w:val="0"/>
                <w:sz w:val="20"/>
                <w:szCs w:val="20"/>
              </w:rPr>
            </w:pPr>
            <w:r>
              <w:rPr>
                <w:rFonts w:hint="eastAsia" w:ascii="宋体" w:hAnsi="宋体" w:cs="宋体"/>
                <w:kern w:val="0"/>
                <w:sz w:val="20"/>
                <w:szCs w:val="20"/>
              </w:rPr>
              <w:t>5</w:t>
            </w:r>
          </w:p>
        </w:tc>
        <w:tc>
          <w:tcPr>
            <w:tcW w:w="6280" w:type="dxa"/>
            <w:shd w:val="clear" w:color="auto" w:fill="auto"/>
            <w:noWrap/>
            <w:vAlign w:val="center"/>
          </w:tcPr>
          <w:p w14:paraId="74C553ED">
            <w:pPr>
              <w:widowControl/>
              <w:ind w:left="939" w:leftChars="447"/>
              <w:jc w:val="left"/>
              <w:rPr>
                <w:rFonts w:ascii="宋体" w:hAnsi="宋体" w:cs="宋体"/>
                <w:kern w:val="0"/>
                <w:sz w:val="20"/>
                <w:szCs w:val="20"/>
              </w:rPr>
            </w:pPr>
            <w:r>
              <w:rPr>
                <w:rFonts w:hint="eastAsia" w:ascii="宋体" w:hAnsi="宋体" w:cs="宋体"/>
                <w:kern w:val="0"/>
                <w:sz w:val="20"/>
                <w:szCs w:val="20"/>
              </w:rPr>
              <w:t>（2）存放中央银行</w:t>
            </w:r>
          </w:p>
        </w:tc>
        <w:tc>
          <w:tcPr>
            <w:tcW w:w="2320" w:type="dxa"/>
            <w:shd w:val="clear" w:color="auto" w:fill="auto"/>
            <w:noWrap/>
            <w:vAlign w:val="center"/>
          </w:tcPr>
          <w:p w14:paraId="3684B490">
            <w:pPr>
              <w:widowControl/>
              <w:jc w:val="right"/>
              <w:rPr>
                <w:rFonts w:ascii="宋体" w:hAnsi="宋体" w:cs="宋体"/>
                <w:kern w:val="0"/>
                <w:sz w:val="20"/>
                <w:szCs w:val="20"/>
              </w:rPr>
            </w:pPr>
            <w:r>
              <w:rPr>
                <w:rFonts w:hint="eastAsia" w:ascii="宋体" w:hAnsi="宋体" w:cs="宋体"/>
                <w:kern w:val="0"/>
                <w:sz w:val="20"/>
                <w:szCs w:val="20"/>
              </w:rPr>
              <w:t>　</w:t>
            </w:r>
          </w:p>
        </w:tc>
      </w:tr>
      <w:tr w14:paraId="09298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3D841DA2">
            <w:pPr>
              <w:widowControl/>
              <w:jc w:val="center"/>
              <w:rPr>
                <w:rFonts w:ascii="宋体" w:hAnsi="宋体" w:cs="宋体"/>
                <w:kern w:val="0"/>
                <w:sz w:val="20"/>
                <w:szCs w:val="20"/>
              </w:rPr>
            </w:pPr>
            <w:r>
              <w:rPr>
                <w:rFonts w:hint="eastAsia" w:ascii="宋体" w:hAnsi="宋体" w:cs="宋体"/>
                <w:kern w:val="0"/>
                <w:sz w:val="20"/>
                <w:szCs w:val="20"/>
              </w:rPr>
              <w:t>6</w:t>
            </w:r>
          </w:p>
        </w:tc>
        <w:tc>
          <w:tcPr>
            <w:tcW w:w="6280" w:type="dxa"/>
            <w:shd w:val="clear" w:color="auto" w:fill="auto"/>
            <w:noWrap/>
            <w:vAlign w:val="center"/>
          </w:tcPr>
          <w:p w14:paraId="12CFA6E7">
            <w:pPr>
              <w:widowControl/>
              <w:ind w:left="939" w:leftChars="447"/>
              <w:jc w:val="left"/>
              <w:rPr>
                <w:rFonts w:ascii="宋体" w:hAnsi="宋体" w:cs="宋体"/>
                <w:kern w:val="0"/>
                <w:sz w:val="20"/>
                <w:szCs w:val="20"/>
              </w:rPr>
            </w:pPr>
            <w:r>
              <w:rPr>
                <w:rFonts w:hint="eastAsia" w:ascii="宋体" w:hAnsi="宋体" w:cs="宋体"/>
                <w:kern w:val="0"/>
                <w:sz w:val="20"/>
                <w:szCs w:val="20"/>
              </w:rPr>
              <w:t>（3）拆出资金</w:t>
            </w:r>
          </w:p>
        </w:tc>
        <w:tc>
          <w:tcPr>
            <w:tcW w:w="2320" w:type="dxa"/>
            <w:shd w:val="clear" w:color="auto" w:fill="auto"/>
            <w:noWrap/>
            <w:vAlign w:val="center"/>
          </w:tcPr>
          <w:p w14:paraId="6ED94654">
            <w:pPr>
              <w:widowControl/>
              <w:jc w:val="right"/>
              <w:rPr>
                <w:rFonts w:ascii="宋体" w:hAnsi="宋体" w:cs="宋体"/>
                <w:kern w:val="0"/>
                <w:sz w:val="20"/>
                <w:szCs w:val="20"/>
              </w:rPr>
            </w:pPr>
            <w:r>
              <w:rPr>
                <w:rFonts w:hint="eastAsia" w:ascii="宋体" w:hAnsi="宋体" w:cs="宋体"/>
                <w:kern w:val="0"/>
                <w:sz w:val="20"/>
                <w:szCs w:val="20"/>
              </w:rPr>
              <w:t>　</w:t>
            </w:r>
          </w:p>
        </w:tc>
      </w:tr>
      <w:tr w14:paraId="07733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6EA84379">
            <w:pPr>
              <w:widowControl/>
              <w:jc w:val="center"/>
              <w:rPr>
                <w:rFonts w:ascii="宋体" w:hAnsi="宋体" w:cs="宋体"/>
                <w:kern w:val="0"/>
                <w:sz w:val="20"/>
                <w:szCs w:val="20"/>
              </w:rPr>
            </w:pPr>
            <w:r>
              <w:rPr>
                <w:rFonts w:hint="eastAsia" w:ascii="宋体" w:hAnsi="宋体" w:cs="宋体"/>
                <w:kern w:val="0"/>
                <w:sz w:val="20"/>
                <w:szCs w:val="20"/>
              </w:rPr>
              <w:t>7</w:t>
            </w:r>
          </w:p>
        </w:tc>
        <w:tc>
          <w:tcPr>
            <w:tcW w:w="6280" w:type="dxa"/>
            <w:shd w:val="clear" w:color="auto" w:fill="auto"/>
            <w:noWrap/>
            <w:vAlign w:val="center"/>
          </w:tcPr>
          <w:p w14:paraId="592B4186">
            <w:pPr>
              <w:widowControl/>
              <w:ind w:left="939" w:leftChars="447"/>
              <w:jc w:val="left"/>
              <w:rPr>
                <w:rFonts w:ascii="宋体" w:hAnsi="宋体" w:cs="宋体"/>
                <w:kern w:val="0"/>
                <w:sz w:val="20"/>
                <w:szCs w:val="20"/>
              </w:rPr>
            </w:pPr>
            <w:r>
              <w:rPr>
                <w:rFonts w:hint="eastAsia" w:ascii="宋体" w:hAnsi="宋体" w:cs="宋体"/>
                <w:kern w:val="0"/>
                <w:sz w:val="20"/>
                <w:szCs w:val="20"/>
              </w:rPr>
              <w:t>（4）发放贷款及垫资</w:t>
            </w:r>
          </w:p>
        </w:tc>
        <w:tc>
          <w:tcPr>
            <w:tcW w:w="2320" w:type="dxa"/>
            <w:shd w:val="clear" w:color="auto" w:fill="auto"/>
            <w:noWrap/>
            <w:vAlign w:val="center"/>
          </w:tcPr>
          <w:p w14:paraId="32A1DFE3">
            <w:pPr>
              <w:widowControl/>
              <w:jc w:val="right"/>
              <w:rPr>
                <w:rFonts w:ascii="宋体" w:hAnsi="宋体" w:cs="宋体"/>
                <w:kern w:val="0"/>
                <w:sz w:val="20"/>
                <w:szCs w:val="20"/>
              </w:rPr>
            </w:pPr>
            <w:r>
              <w:rPr>
                <w:rFonts w:hint="eastAsia" w:ascii="宋体" w:hAnsi="宋体" w:cs="宋体"/>
                <w:kern w:val="0"/>
                <w:sz w:val="20"/>
                <w:szCs w:val="20"/>
              </w:rPr>
              <w:t>　</w:t>
            </w:r>
          </w:p>
        </w:tc>
      </w:tr>
      <w:tr w14:paraId="702A6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235478A6">
            <w:pPr>
              <w:widowControl/>
              <w:jc w:val="center"/>
              <w:rPr>
                <w:rFonts w:ascii="宋体" w:hAnsi="宋体" w:cs="宋体"/>
                <w:kern w:val="0"/>
                <w:sz w:val="20"/>
                <w:szCs w:val="20"/>
              </w:rPr>
            </w:pPr>
            <w:r>
              <w:rPr>
                <w:rFonts w:hint="eastAsia" w:ascii="宋体" w:hAnsi="宋体" w:cs="宋体"/>
                <w:kern w:val="0"/>
                <w:sz w:val="20"/>
                <w:szCs w:val="20"/>
              </w:rPr>
              <w:t>8</w:t>
            </w:r>
          </w:p>
        </w:tc>
        <w:tc>
          <w:tcPr>
            <w:tcW w:w="6280" w:type="dxa"/>
            <w:shd w:val="clear" w:color="auto" w:fill="auto"/>
            <w:noWrap/>
            <w:vAlign w:val="center"/>
          </w:tcPr>
          <w:p w14:paraId="0D5077A5">
            <w:pPr>
              <w:widowControl/>
              <w:ind w:left="939" w:leftChars="447"/>
              <w:jc w:val="left"/>
              <w:rPr>
                <w:rFonts w:ascii="宋体" w:hAnsi="宋体" w:cs="宋体"/>
                <w:kern w:val="0"/>
                <w:sz w:val="20"/>
                <w:szCs w:val="20"/>
              </w:rPr>
            </w:pPr>
            <w:r>
              <w:rPr>
                <w:rFonts w:hint="eastAsia" w:ascii="宋体" w:hAnsi="宋体" w:cs="宋体"/>
                <w:kern w:val="0"/>
                <w:sz w:val="20"/>
                <w:szCs w:val="20"/>
              </w:rPr>
              <w:t>（5）买入返售金融资产</w:t>
            </w:r>
          </w:p>
        </w:tc>
        <w:tc>
          <w:tcPr>
            <w:tcW w:w="2320" w:type="dxa"/>
            <w:shd w:val="clear" w:color="auto" w:fill="auto"/>
            <w:noWrap/>
            <w:vAlign w:val="center"/>
          </w:tcPr>
          <w:p w14:paraId="74264A22">
            <w:pPr>
              <w:widowControl/>
              <w:jc w:val="right"/>
              <w:rPr>
                <w:rFonts w:ascii="宋体" w:hAnsi="宋体" w:cs="宋体"/>
                <w:kern w:val="0"/>
                <w:sz w:val="20"/>
                <w:szCs w:val="20"/>
              </w:rPr>
            </w:pPr>
            <w:r>
              <w:rPr>
                <w:rFonts w:hint="eastAsia" w:ascii="宋体" w:hAnsi="宋体" w:cs="宋体"/>
                <w:kern w:val="0"/>
                <w:sz w:val="20"/>
                <w:szCs w:val="20"/>
              </w:rPr>
              <w:t>　</w:t>
            </w:r>
          </w:p>
        </w:tc>
      </w:tr>
      <w:tr w14:paraId="7226A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5367D329">
            <w:pPr>
              <w:widowControl/>
              <w:jc w:val="center"/>
              <w:rPr>
                <w:rFonts w:ascii="宋体" w:hAnsi="宋体" w:cs="宋体"/>
                <w:kern w:val="0"/>
                <w:sz w:val="20"/>
                <w:szCs w:val="20"/>
              </w:rPr>
            </w:pPr>
            <w:r>
              <w:rPr>
                <w:rFonts w:hint="eastAsia" w:ascii="宋体" w:hAnsi="宋体" w:cs="宋体"/>
                <w:kern w:val="0"/>
                <w:sz w:val="20"/>
                <w:szCs w:val="20"/>
              </w:rPr>
              <w:t>9</w:t>
            </w:r>
          </w:p>
        </w:tc>
        <w:tc>
          <w:tcPr>
            <w:tcW w:w="6280" w:type="dxa"/>
            <w:shd w:val="clear" w:color="auto" w:fill="auto"/>
            <w:noWrap/>
            <w:vAlign w:val="center"/>
          </w:tcPr>
          <w:p w14:paraId="49BDE942">
            <w:pPr>
              <w:widowControl/>
              <w:ind w:left="939" w:leftChars="447"/>
              <w:jc w:val="left"/>
              <w:rPr>
                <w:rFonts w:ascii="宋体" w:hAnsi="宋体" w:cs="宋体"/>
                <w:kern w:val="0"/>
                <w:sz w:val="20"/>
                <w:szCs w:val="20"/>
              </w:rPr>
            </w:pPr>
            <w:r>
              <w:rPr>
                <w:rFonts w:hint="eastAsia" w:ascii="宋体" w:hAnsi="宋体" w:cs="宋体"/>
                <w:kern w:val="0"/>
                <w:sz w:val="20"/>
                <w:szCs w:val="20"/>
              </w:rPr>
              <w:t>（6）其他</w:t>
            </w:r>
          </w:p>
        </w:tc>
        <w:tc>
          <w:tcPr>
            <w:tcW w:w="2320" w:type="dxa"/>
            <w:shd w:val="clear" w:color="auto" w:fill="auto"/>
            <w:noWrap/>
            <w:vAlign w:val="center"/>
          </w:tcPr>
          <w:p w14:paraId="6AC13EA7">
            <w:pPr>
              <w:widowControl/>
              <w:jc w:val="right"/>
              <w:rPr>
                <w:rFonts w:ascii="宋体" w:hAnsi="宋体" w:cs="宋体"/>
                <w:kern w:val="0"/>
                <w:sz w:val="20"/>
                <w:szCs w:val="20"/>
              </w:rPr>
            </w:pPr>
            <w:r>
              <w:rPr>
                <w:rFonts w:hint="eastAsia" w:ascii="宋体" w:hAnsi="宋体" w:cs="宋体"/>
                <w:kern w:val="0"/>
                <w:sz w:val="20"/>
                <w:szCs w:val="20"/>
              </w:rPr>
              <w:t>　</w:t>
            </w:r>
          </w:p>
        </w:tc>
      </w:tr>
      <w:tr w14:paraId="000A0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32C707BC">
            <w:pPr>
              <w:widowControl/>
              <w:jc w:val="center"/>
              <w:rPr>
                <w:rFonts w:ascii="宋体" w:hAnsi="宋体" w:cs="宋体"/>
                <w:kern w:val="0"/>
                <w:sz w:val="20"/>
                <w:szCs w:val="20"/>
              </w:rPr>
            </w:pPr>
            <w:r>
              <w:rPr>
                <w:rFonts w:hint="eastAsia" w:ascii="宋体" w:hAnsi="宋体" w:cs="宋体"/>
                <w:kern w:val="0"/>
                <w:sz w:val="20"/>
                <w:szCs w:val="20"/>
              </w:rPr>
              <w:t>10</w:t>
            </w:r>
          </w:p>
        </w:tc>
        <w:tc>
          <w:tcPr>
            <w:tcW w:w="6280" w:type="dxa"/>
            <w:shd w:val="clear" w:color="auto" w:fill="auto"/>
            <w:noWrap/>
            <w:vAlign w:val="center"/>
          </w:tcPr>
          <w:p w14:paraId="6F470647">
            <w:pPr>
              <w:widowControl/>
              <w:ind w:left="840" w:leftChars="400"/>
              <w:jc w:val="left"/>
              <w:rPr>
                <w:rFonts w:ascii="宋体" w:hAnsi="宋体" w:cs="宋体"/>
                <w:kern w:val="0"/>
                <w:sz w:val="20"/>
                <w:szCs w:val="20"/>
              </w:rPr>
            </w:pPr>
            <w:r>
              <w:rPr>
                <w:rFonts w:hint="eastAsia" w:ascii="宋体" w:hAnsi="宋体" w:cs="宋体"/>
                <w:kern w:val="0"/>
                <w:sz w:val="20"/>
                <w:szCs w:val="20"/>
              </w:rPr>
              <w:t>2.手续费及佣金收入（11+12+13+14+15+16+17）</w:t>
            </w:r>
          </w:p>
        </w:tc>
        <w:tc>
          <w:tcPr>
            <w:tcW w:w="2320" w:type="dxa"/>
            <w:shd w:val="clear" w:color="auto" w:fill="auto"/>
            <w:noWrap/>
            <w:vAlign w:val="center"/>
          </w:tcPr>
          <w:p w14:paraId="3837E1E3">
            <w:pPr>
              <w:widowControl/>
              <w:jc w:val="right"/>
              <w:rPr>
                <w:rFonts w:ascii="宋体" w:hAnsi="宋体" w:cs="宋体"/>
                <w:kern w:val="0"/>
                <w:sz w:val="20"/>
                <w:szCs w:val="20"/>
              </w:rPr>
            </w:pPr>
            <w:r>
              <w:rPr>
                <w:rFonts w:hint="eastAsia" w:ascii="宋体" w:hAnsi="宋体" w:cs="宋体"/>
                <w:kern w:val="0"/>
                <w:sz w:val="20"/>
                <w:szCs w:val="20"/>
              </w:rPr>
              <w:t>　</w:t>
            </w:r>
          </w:p>
        </w:tc>
      </w:tr>
      <w:tr w14:paraId="1F887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14E31D64">
            <w:pPr>
              <w:widowControl/>
              <w:jc w:val="center"/>
              <w:rPr>
                <w:rFonts w:ascii="宋体" w:hAnsi="宋体" w:cs="宋体"/>
                <w:kern w:val="0"/>
                <w:sz w:val="20"/>
                <w:szCs w:val="20"/>
              </w:rPr>
            </w:pPr>
            <w:r>
              <w:rPr>
                <w:rFonts w:hint="eastAsia" w:ascii="宋体" w:hAnsi="宋体" w:cs="宋体"/>
                <w:kern w:val="0"/>
                <w:sz w:val="20"/>
                <w:szCs w:val="20"/>
              </w:rPr>
              <w:t>11</w:t>
            </w:r>
          </w:p>
        </w:tc>
        <w:tc>
          <w:tcPr>
            <w:tcW w:w="6280" w:type="dxa"/>
            <w:shd w:val="clear" w:color="auto" w:fill="auto"/>
            <w:noWrap/>
            <w:vAlign w:val="center"/>
          </w:tcPr>
          <w:p w14:paraId="33F7CD45">
            <w:pPr>
              <w:widowControl/>
              <w:ind w:left="939" w:leftChars="447"/>
              <w:jc w:val="left"/>
              <w:rPr>
                <w:rFonts w:ascii="宋体" w:hAnsi="宋体" w:cs="宋体"/>
                <w:kern w:val="0"/>
                <w:sz w:val="20"/>
                <w:szCs w:val="20"/>
              </w:rPr>
            </w:pPr>
            <w:r>
              <w:rPr>
                <w:rFonts w:hint="eastAsia" w:ascii="宋体" w:hAnsi="宋体" w:cs="宋体"/>
                <w:kern w:val="0"/>
                <w:sz w:val="20"/>
                <w:szCs w:val="20"/>
              </w:rPr>
              <w:t>（1）结算与清算手续费</w:t>
            </w:r>
          </w:p>
        </w:tc>
        <w:tc>
          <w:tcPr>
            <w:tcW w:w="2320" w:type="dxa"/>
            <w:shd w:val="clear" w:color="auto" w:fill="auto"/>
            <w:noWrap/>
            <w:vAlign w:val="center"/>
          </w:tcPr>
          <w:p w14:paraId="6E3B1351">
            <w:pPr>
              <w:widowControl/>
              <w:jc w:val="right"/>
              <w:rPr>
                <w:rFonts w:ascii="宋体" w:hAnsi="宋体" w:cs="宋体"/>
                <w:kern w:val="0"/>
                <w:sz w:val="20"/>
                <w:szCs w:val="20"/>
              </w:rPr>
            </w:pPr>
            <w:r>
              <w:rPr>
                <w:rFonts w:hint="eastAsia" w:ascii="宋体" w:hAnsi="宋体" w:cs="宋体"/>
                <w:kern w:val="0"/>
                <w:sz w:val="20"/>
                <w:szCs w:val="20"/>
              </w:rPr>
              <w:t>　</w:t>
            </w:r>
          </w:p>
        </w:tc>
      </w:tr>
      <w:tr w14:paraId="3B239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0F7B48AB">
            <w:pPr>
              <w:widowControl/>
              <w:jc w:val="center"/>
              <w:rPr>
                <w:rFonts w:ascii="宋体" w:hAnsi="宋体" w:cs="宋体"/>
                <w:kern w:val="0"/>
                <w:sz w:val="20"/>
                <w:szCs w:val="20"/>
              </w:rPr>
            </w:pPr>
            <w:r>
              <w:rPr>
                <w:rFonts w:hint="eastAsia" w:ascii="宋体" w:hAnsi="宋体" w:cs="宋体"/>
                <w:kern w:val="0"/>
                <w:sz w:val="20"/>
                <w:szCs w:val="20"/>
              </w:rPr>
              <w:t>12</w:t>
            </w:r>
          </w:p>
        </w:tc>
        <w:tc>
          <w:tcPr>
            <w:tcW w:w="6280" w:type="dxa"/>
            <w:shd w:val="clear" w:color="auto" w:fill="auto"/>
            <w:noWrap/>
            <w:vAlign w:val="center"/>
          </w:tcPr>
          <w:p w14:paraId="562A809B">
            <w:pPr>
              <w:widowControl/>
              <w:ind w:left="939" w:leftChars="447"/>
              <w:jc w:val="left"/>
              <w:rPr>
                <w:rFonts w:ascii="宋体" w:hAnsi="宋体" w:cs="宋体"/>
                <w:kern w:val="0"/>
                <w:sz w:val="20"/>
                <w:szCs w:val="20"/>
              </w:rPr>
            </w:pPr>
            <w:r>
              <w:rPr>
                <w:rFonts w:hint="eastAsia" w:ascii="宋体" w:hAnsi="宋体" w:cs="宋体"/>
                <w:kern w:val="0"/>
                <w:sz w:val="20"/>
                <w:szCs w:val="20"/>
              </w:rPr>
              <w:t>（2）代理业务手续费</w:t>
            </w:r>
          </w:p>
        </w:tc>
        <w:tc>
          <w:tcPr>
            <w:tcW w:w="2320" w:type="dxa"/>
            <w:shd w:val="clear" w:color="auto" w:fill="auto"/>
            <w:noWrap/>
            <w:vAlign w:val="center"/>
          </w:tcPr>
          <w:p w14:paraId="4074F879">
            <w:pPr>
              <w:widowControl/>
              <w:jc w:val="right"/>
              <w:rPr>
                <w:rFonts w:ascii="宋体" w:hAnsi="宋体" w:cs="宋体"/>
                <w:kern w:val="0"/>
                <w:sz w:val="20"/>
                <w:szCs w:val="20"/>
              </w:rPr>
            </w:pPr>
            <w:r>
              <w:rPr>
                <w:rFonts w:hint="eastAsia" w:ascii="宋体" w:hAnsi="宋体" w:cs="宋体"/>
                <w:kern w:val="0"/>
                <w:sz w:val="20"/>
                <w:szCs w:val="20"/>
              </w:rPr>
              <w:t>　</w:t>
            </w:r>
          </w:p>
        </w:tc>
      </w:tr>
      <w:tr w14:paraId="0D099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52B7F09C">
            <w:pPr>
              <w:widowControl/>
              <w:jc w:val="center"/>
              <w:rPr>
                <w:rFonts w:ascii="宋体" w:hAnsi="宋体" w:cs="宋体"/>
                <w:kern w:val="0"/>
                <w:sz w:val="20"/>
                <w:szCs w:val="20"/>
              </w:rPr>
            </w:pPr>
            <w:r>
              <w:rPr>
                <w:rFonts w:hint="eastAsia" w:ascii="宋体" w:hAnsi="宋体" w:cs="宋体"/>
                <w:kern w:val="0"/>
                <w:sz w:val="20"/>
                <w:szCs w:val="20"/>
              </w:rPr>
              <w:t>13</w:t>
            </w:r>
          </w:p>
        </w:tc>
        <w:tc>
          <w:tcPr>
            <w:tcW w:w="6280" w:type="dxa"/>
            <w:shd w:val="clear" w:color="auto" w:fill="auto"/>
            <w:noWrap/>
            <w:vAlign w:val="center"/>
          </w:tcPr>
          <w:p w14:paraId="5A5C7CB7">
            <w:pPr>
              <w:widowControl/>
              <w:ind w:left="939" w:leftChars="447"/>
              <w:jc w:val="left"/>
              <w:rPr>
                <w:rFonts w:ascii="宋体" w:hAnsi="宋体" w:cs="宋体"/>
                <w:kern w:val="0"/>
                <w:sz w:val="20"/>
                <w:szCs w:val="20"/>
              </w:rPr>
            </w:pPr>
            <w:r>
              <w:rPr>
                <w:rFonts w:hint="eastAsia" w:ascii="宋体" w:hAnsi="宋体" w:cs="宋体"/>
                <w:kern w:val="0"/>
                <w:sz w:val="20"/>
                <w:szCs w:val="20"/>
              </w:rPr>
              <w:t>（3）信用承诺手续费及佣金</w:t>
            </w:r>
          </w:p>
        </w:tc>
        <w:tc>
          <w:tcPr>
            <w:tcW w:w="2320" w:type="dxa"/>
            <w:shd w:val="clear" w:color="auto" w:fill="auto"/>
            <w:noWrap/>
            <w:vAlign w:val="center"/>
          </w:tcPr>
          <w:p w14:paraId="186C227C">
            <w:pPr>
              <w:widowControl/>
              <w:jc w:val="right"/>
              <w:rPr>
                <w:rFonts w:ascii="宋体" w:hAnsi="宋体" w:cs="宋体"/>
                <w:kern w:val="0"/>
                <w:sz w:val="20"/>
                <w:szCs w:val="20"/>
              </w:rPr>
            </w:pPr>
            <w:r>
              <w:rPr>
                <w:rFonts w:hint="eastAsia" w:ascii="宋体" w:hAnsi="宋体" w:cs="宋体"/>
                <w:kern w:val="0"/>
                <w:sz w:val="20"/>
                <w:szCs w:val="20"/>
              </w:rPr>
              <w:t>　</w:t>
            </w:r>
          </w:p>
        </w:tc>
      </w:tr>
      <w:tr w14:paraId="66247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5E952CE0">
            <w:pPr>
              <w:widowControl/>
              <w:jc w:val="center"/>
              <w:rPr>
                <w:rFonts w:ascii="宋体" w:hAnsi="宋体" w:cs="宋体"/>
                <w:kern w:val="0"/>
                <w:sz w:val="20"/>
                <w:szCs w:val="20"/>
              </w:rPr>
            </w:pPr>
            <w:r>
              <w:rPr>
                <w:rFonts w:hint="eastAsia" w:ascii="宋体" w:hAnsi="宋体" w:cs="宋体"/>
                <w:kern w:val="0"/>
                <w:sz w:val="20"/>
                <w:szCs w:val="20"/>
              </w:rPr>
              <w:t>14</w:t>
            </w:r>
          </w:p>
        </w:tc>
        <w:tc>
          <w:tcPr>
            <w:tcW w:w="6280" w:type="dxa"/>
            <w:shd w:val="clear" w:color="auto" w:fill="auto"/>
            <w:noWrap/>
            <w:vAlign w:val="center"/>
          </w:tcPr>
          <w:p w14:paraId="33FC916A">
            <w:pPr>
              <w:widowControl/>
              <w:ind w:left="939" w:leftChars="447"/>
              <w:jc w:val="left"/>
              <w:rPr>
                <w:rFonts w:ascii="宋体" w:hAnsi="宋体" w:cs="宋体"/>
                <w:kern w:val="0"/>
                <w:sz w:val="20"/>
                <w:szCs w:val="20"/>
              </w:rPr>
            </w:pPr>
            <w:r>
              <w:rPr>
                <w:rFonts w:hint="eastAsia" w:ascii="宋体" w:hAnsi="宋体" w:cs="宋体"/>
                <w:kern w:val="0"/>
                <w:sz w:val="20"/>
                <w:szCs w:val="20"/>
              </w:rPr>
              <w:t>（4）银行卡手续费</w:t>
            </w:r>
          </w:p>
        </w:tc>
        <w:tc>
          <w:tcPr>
            <w:tcW w:w="2320" w:type="dxa"/>
            <w:shd w:val="clear" w:color="auto" w:fill="auto"/>
            <w:noWrap/>
            <w:vAlign w:val="center"/>
          </w:tcPr>
          <w:p w14:paraId="3FB21324">
            <w:pPr>
              <w:widowControl/>
              <w:jc w:val="right"/>
              <w:rPr>
                <w:rFonts w:ascii="宋体" w:hAnsi="宋体" w:cs="宋体"/>
                <w:kern w:val="0"/>
                <w:sz w:val="20"/>
                <w:szCs w:val="20"/>
              </w:rPr>
            </w:pPr>
            <w:r>
              <w:rPr>
                <w:rFonts w:hint="eastAsia" w:ascii="宋体" w:hAnsi="宋体" w:cs="宋体"/>
                <w:kern w:val="0"/>
                <w:sz w:val="20"/>
                <w:szCs w:val="20"/>
              </w:rPr>
              <w:t>　</w:t>
            </w:r>
          </w:p>
        </w:tc>
      </w:tr>
      <w:tr w14:paraId="4F416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3880C163">
            <w:pPr>
              <w:widowControl/>
              <w:jc w:val="center"/>
              <w:rPr>
                <w:rFonts w:ascii="宋体" w:hAnsi="宋体" w:cs="宋体"/>
                <w:kern w:val="0"/>
                <w:sz w:val="20"/>
                <w:szCs w:val="20"/>
              </w:rPr>
            </w:pPr>
            <w:r>
              <w:rPr>
                <w:rFonts w:hint="eastAsia" w:ascii="宋体" w:hAnsi="宋体" w:cs="宋体"/>
                <w:kern w:val="0"/>
                <w:sz w:val="20"/>
                <w:szCs w:val="20"/>
              </w:rPr>
              <w:t>15</w:t>
            </w:r>
          </w:p>
        </w:tc>
        <w:tc>
          <w:tcPr>
            <w:tcW w:w="6280" w:type="dxa"/>
            <w:shd w:val="clear" w:color="auto" w:fill="auto"/>
            <w:noWrap/>
            <w:vAlign w:val="center"/>
          </w:tcPr>
          <w:p w14:paraId="684B2356">
            <w:pPr>
              <w:widowControl/>
              <w:ind w:left="939" w:leftChars="447"/>
              <w:jc w:val="left"/>
              <w:rPr>
                <w:rFonts w:ascii="宋体" w:hAnsi="宋体" w:cs="宋体"/>
                <w:kern w:val="0"/>
                <w:sz w:val="20"/>
                <w:szCs w:val="20"/>
              </w:rPr>
            </w:pPr>
            <w:r>
              <w:rPr>
                <w:rFonts w:hint="eastAsia" w:ascii="宋体" w:hAnsi="宋体" w:cs="宋体"/>
                <w:kern w:val="0"/>
                <w:sz w:val="20"/>
                <w:szCs w:val="20"/>
              </w:rPr>
              <w:t>（5）顾问和咨询费</w:t>
            </w:r>
          </w:p>
        </w:tc>
        <w:tc>
          <w:tcPr>
            <w:tcW w:w="2320" w:type="dxa"/>
            <w:shd w:val="clear" w:color="auto" w:fill="auto"/>
            <w:noWrap/>
            <w:vAlign w:val="center"/>
          </w:tcPr>
          <w:p w14:paraId="72242828">
            <w:pPr>
              <w:widowControl/>
              <w:jc w:val="right"/>
              <w:rPr>
                <w:rFonts w:ascii="宋体" w:hAnsi="宋体" w:cs="宋体"/>
                <w:kern w:val="0"/>
                <w:sz w:val="20"/>
                <w:szCs w:val="20"/>
              </w:rPr>
            </w:pPr>
            <w:r>
              <w:rPr>
                <w:rFonts w:hint="eastAsia" w:ascii="宋体" w:hAnsi="宋体" w:cs="宋体"/>
                <w:kern w:val="0"/>
                <w:sz w:val="20"/>
                <w:szCs w:val="20"/>
              </w:rPr>
              <w:t>　</w:t>
            </w:r>
          </w:p>
        </w:tc>
      </w:tr>
      <w:tr w14:paraId="65375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750D8AE4">
            <w:pPr>
              <w:widowControl/>
              <w:jc w:val="center"/>
              <w:rPr>
                <w:rFonts w:ascii="宋体" w:hAnsi="宋体" w:cs="宋体"/>
                <w:kern w:val="0"/>
                <w:sz w:val="20"/>
                <w:szCs w:val="20"/>
              </w:rPr>
            </w:pPr>
            <w:r>
              <w:rPr>
                <w:rFonts w:hint="eastAsia" w:ascii="宋体" w:hAnsi="宋体" w:cs="宋体"/>
                <w:kern w:val="0"/>
                <w:sz w:val="20"/>
                <w:szCs w:val="20"/>
              </w:rPr>
              <w:t>16</w:t>
            </w:r>
          </w:p>
        </w:tc>
        <w:tc>
          <w:tcPr>
            <w:tcW w:w="6280" w:type="dxa"/>
            <w:shd w:val="clear" w:color="auto" w:fill="auto"/>
            <w:noWrap/>
            <w:vAlign w:val="center"/>
          </w:tcPr>
          <w:p w14:paraId="53ECC4A8">
            <w:pPr>
              <w:widowControl/>
              <w:ind w:left="939" w:leftChars="447"/>
              <w:jc w:val="left"/>
              <w:rPr>
                <w:rFonts w:ascii="宋体" w:hAnsi="宋体" w:cs="宋体"/>
                <w:kern w:val="0"/>
                <w:sz w:val="20"/>
                <w:szCs w:val="20"/>
              </w:rPr>
            </w:pPr>
            <w:r>
              <w:rPr>
                <w:rFonts w:hint="eastAsia" w:ascii="宋体" w:hAnsi="宋体" w:cs="宋体"/>
                <w:kern w:val="0"/>
                <w:sz w:val="20"/>
                <w:szCs w:val="20"/>
              </w:rPr>
              <w:t>（6）托管及其他受托业务佣金</w:t>
            </w:r>
          </w:p>
        </w:tc>
        <w:tc>
          <w:tcPr>
            <w:tcW w:w="2320" w:type="dxa"/>
            <w:shd w:val="clear" w:color="auto" w:fill="auto"/>
            <w:noWrap/>
            <w:vAlign w:val="center"/>
          </w:tcPr>
          <w:p w14:paraId="6978C390">
            <w:pPr>
              <w:widowControl/>
              <w:jc w:val="right"/>
              <w:rPr>
                <w:rFonts w:ascii="宋体" w:hAnsi="宋体" w:cs="宋体"/>
                <w:kern w:val="0"/>
                <w:sz w:val="20"/>
                <w:szCs w:val="20"/>
              </w:rPr>
            </w:pPr>
            <w:r>
              <w:rPr>
                <w:rFonts w:hint="eastAsia" w:ascii="宋体" w:hAnsi="宋体" w:cs="宋体"/>
                <w:kern w:val="0"/>
                <w:sz w:val="20"/>
                <w:szCs w:val="20"/>
              </w:rPr>
              <w:t>　</w:t>
            </w:r>
          </w:p>
        </w:tc>
      </w:tr>
      <w:tr w14:paraId="16DB9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7C06C9F9">
            <w:pPr>
              <w:widowControl/>
              <w:jc w:val="center"/>
              <w:rPr>
                <w:rFonts w:ascii="宋体" w:hAnsi="宋体" w:cs="宋体"/>
                <w:kern w:val="0"/>
                <w:sz w:val="20"/>
                <w:szCs w:val="20"/>
              </w:rPr>
            </w:pPr>
            <w:r>
              <w:rPr>
                <w:rFonts w:hint="eastAsia" w:ascii="宋体" w:hAnsi="宋体" w:cs="宋体"/>
                <w:kern w:val="0"/>
                <w:sz w:val="20"/>
                <w:szCs w:val="20"/>
              </w:rPr>
              <w:t>17</w:t>
            </w:r>
          </w:p>
        </w:tc>
        <w:tc>
          <w:tcPr>
            <w:tcW w:w="6280" w:type="dxa"/>
            <w:shd w:val="clear" w:color="auto" w:fill="auto"/>
            <w:noWrap/>
            <w:vAlign w:val="center"/>
          </w:tcPr>
          <w:p w14:paraId="7AA44240">
            <w:pPr>
              <w:widowControl/>
              <w:ind w:left="939" w:leftChars="447"/>
              <w:jc w:val="left"/>
              <w:rPr>
                <w:rFonts w:ascii="宋体" w:hAnsi="宋体" w:cs="宋体"/>
                <w:kern w:val="0"/>
                <w:sz w:val="20"/>
                <w:szCs w:val="20"/>
              </w:rPr>
            </w:pPr>
            <w:r>
              <w:rPr>
                <w:rFonts w:hint="eastAsia" w:ascii="宋体" w:hAnsi="宋体" w:cs="宋体"/>
                <w:kern w:val="0"/>
                <w:sz w:val="20"/>
                <w:szCs w:val="20"/>
              </w:rPr>
              <w:t>（7）其他</w:t>
            </w:r>
          </w:p>
        </w:tc>
        <w:tc>
          <w:tcPr>
            <w:tcW w:w="2320" w:type="dxa"/>
            <w:shd w:val="clear" w:color="auto" w:fill="auto"/>
            <w:noWrap/>
            <w:vAlign w:val="center"/>
          </w:tcPr>
          <w:p w14:paraId="10D391D6">
            <w:pPr>
              <w:widowControl/>
              <w:jc w:val="right"/>
              <w:rPr>
                <w:rFonts w:ascii="宋体" w:hAnsi="宋体" w:cs="宋体"/>
                <w:kern w:val="0"/>
                <w:sz w:val="20"/>
                <w:szCs w:val="20"/>
              </w:rPr>
            </w:pPr>
            <w:r>
              <w:rPr>
                <w:rFonts w:hint="eastAsia" w:ascii="宋体" w:hAnsi="宋体" w:cs="宋体"/>
                <w:kern w:val="0"/>
                <w:sz w:val="20"/>
                <w:szCs w:val="20"/>
              </w:rPr>
              <w:t>　</w:t>
            </w:r>
          </w:p>
        </w:tc>
      </w:tr>
      <w:tr w14:paraId="79DB4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19E70023">
            <w:pPr>
              <w:widowControl/>
              <w:jc w:val="center"/>
              <w:rPr>
                <w:rFonts w:ascii="宋体" w:hAnsi="宋体" w:cs="宋体"/>
                <w:kern w:val="0"/>
                <w:sz w:val="20"/>
                <w:szCs w:val="20"/>
              </w:rPr>
            </w:pPr>
            <w:r>
              <w:rPr>
                <w:rFonts w:hint="eastAsia" w:ascii="宋体" w:hAnsi="宋体" w:cs="宋体"/>
                <w:kern w:val="0"/>
                <w:sz w:val="20"/>
                <w:szCs w:val="20"/>
              </w:rPr>
              <w:t>18</w:t>
            </w:r>
          </w:p>
        </w:tc>
        <w:tc>
          <w:tcPr>
            <w:tcW w:w="6280" w:type="dxa"/>
            <w:shd w:val="clear" w:color="auto" w:fill="auto"/>
            <w:noWrap/>
            <w:vAlign w:val="center"/>
          </w:tcPr>
          <w:p w14:paraId="369F601E">
            <w:pPr>
              <w:widowControl/>
              <w:ind w:left="420" w:leftChars="200"/>
              <w:jc w:val="left"/>
              <w:rPr>
                <w:rFonts w:ascii="宋体" w:hAnsi="宋体" w:cs="宋体"/>
                <w:kern w:val="0"/>
                <w:sz w:val="20"/>
                <w:szCs w:val="20"/>
              </w:rPr>
            </w:pPr>
            <w:r>
              <w:rPr>
                <w:rFonts w:hint="eastAsia" w:ascii="宋体" w:hAnsi="宋体" w:cs="宋体"/>
                <w:kern w:val="0"/>
                <w:sz w:val="20"/>
                <w:szCs w:val="20"/>
              </w:rPr>
              <w:t>（二）证券业务收入（19+26）</w:t>
            </w:r>
          </w:p>
        </w:tc>
        <w:tc>
          <w:tcPr>
            <w:tcW w:w="2320" w:type="dxa"/>
            <w:shd w:val="clear" w:color="auto" w:fill="auto"/>
            <w:noWrap/>
            <w:vAlign w:val="center"/>
          </w:tcPr>
          <w:p w14:paraId="69D04F2B">
            <w:pPr>
              <w:widowControl/>
              <w:jc w:val="right"/>
              <w:rPr>
                <w:rFonts w:ascii="宋体" w:hAnsi="宋体" w:cs="宋体"/>
                <w:kern w:val="0"/>
                <w:sz w:val="20"/>
                <w:szCs w:val="20"/>
              </w:rPr>
            </w:pPr>
            <w:r>
              <w:rPr>
                <w:rFonts w:hint="eastAsia" w:ascii="宋体" w:hAnsi="宋体" w:cs="宋体"/>
                <w:kern w:val="0"/>
                <w:sz w:val="20"/>
                <w:szCs w:val="20"/>
              </w:rPr>
              <w:t>　</w:t>
            </w:r>
          </w:p>
        </w:tc>
      </w:tr>
      <w:tr w14:paraId="08C02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1E59831D">
            <w:pPr>
              <w:widowControl/>
              <w:jc w:val="center"/>
              <w:rPr>
                <w:rFonts w:ascii="宋体" w:hAnsi="宋体" w:cs="宋体"/>
                <w:kern w:val="0"/>
                <w:sz w:val="20"/>
                <w:szCs w:val="20"/>
              </w:rPr>
            </w:pPr>
            <w:r>
              <w:rPr>
                <w:rFonts w:hint="eastAsia" w:ascii="宋体" w:hAnsi="宋体" w:cs="宋体"/>
                <w:kern w:val="0"/>
                <w:sz w:val="20"/>
                <w:szCs w:val="20"/>
              </w:rPr>
              <w:t>19</w:t>
            </w:r>
          </w:p>
        </w:tc>
        <w:tc>
          <w:tcPr>
            <w:tcW w:w="6280" w:type="dxa"/>
            <w:shd w:val="clear" w:color="auto" w:fill="auto"/>
            <w:noWrap/>
            <w:vAlign w:val="center"/>
          </w:tcPr>
          <w:p w14:paraId="5E9A1176">
            <w:pPr>
              <w:widowControl/>
              <w:ind w:left="840" w:leftChars="400"/>
              <w:jc w:val="left"/>
              <w:rPr>
                <w:rFonts w:ascii="宋体" w:hAnsi="宋体" w:cs="宋体"/>
                <w:kern w:val="0"/>
                <w:sz w:val="20"/>
                <w:szCs w:val="20"/>
              </w:rPr>
            </w:pPr>
            <w:r>
              <w:rPr>
                <w:rFonts w:hint="eastAsia" w:ascii="宋体" w:hAnsi="宋体" w:cs="宋体"/>
                <w:kern w:val="0"/>
                <w:sz w:val="20"/>
                <w:szCs w:val="20"/>
              </w:rPr>
              <w:t>1.证券业务手续费及佣金收入（20+21+22+23+24+25）</w:t>
            </w:r>
          </w:p>
        </w:tc>
        <w:tc>
          <w:tcPr>
            <w:tcW w:w="2320" w:type="dxa"/>
            <w:shd w:val="clear" w:color="auto" w:fill="auto"/>
            <w:noWrap/>
            <w:vAlign w:val="center"/>
          </w:tcPr>
          <w:p w14:paraId="1B0D9D68">
            <w:pPr>
              <w:widowControl/>
              <w:jc w:val="right"/>
              <w:rPr>
                <w:rFonts w:ascii="宋体" w:hAnsi="宋体" w:cs="宋体"/>
                <w:kern w:val="0"/>
                <w:sz w:val="20"/>
                <w:szCs w:val="20"/>
              </w:rPr>
            </w:pPr>
            <w:r>
              <w:rPr>
                <w:rFonts w:hint="eastAsia" w:ascii="宋体" w:hAnsi="宋体" w:cs="宋体"/>
                <w:kern w:val="0"/>
                <w:sz w:val="20"/>
                <w:szCs w:val="20"/>
              </w:rPr>
              <w:t>　</w:t>
            </w:r>
          </w:p>
        </w:tc>
      </w:tr>
      <w:tr w14:paraId="4B7E5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56BD4A01">
            <w:pPr>
              <w:widowControl/>
              <w:jc w:val="center"/>
              <w:rPr>
                <w:rFonts w:ascii="宋体" w:hAnsi="宋体" w:cs="宋体"/>
                <w:kern w:val="0"/>
                <w:sz w:val="20"/>
                <w:szCs w:val="20"/>
              </w:rPr>
            </w:pPr>
            <w:r>
              <w:rPr>
                <w:rFonts w:hint="eastAsia" w:ascii="宋体" w:hAnsi="宋体" w:cs="宋体"/>
                <w:kern w:val="0"/>
                <w:sz w:val="20"/>
                <w:szCs w:val="20"/>
              </w:rPr>
              <w:t>20</w:t>
            </w:r>
          </w:p>
        </w:tc>
        <w:tc>
          <w:tcPr>
            <w:tcW w:w="6280" w:type="dxa"/>
            <w:shd w:val="clear" w:color="auto" w:fill="auto"/>
            <w:noWrap/>
            <w:vAlign w:val="center"/>
          </w:tcPr>
          <w:p w14:paraId="40E0BAAD">
            <w:pPr>
              <w:widowControl/>
              <w:ind w:left="939" w:leftChars="447"/>
              <w:jc w:val="left"/>
              <w:rPr>
                <w:rFonts w:ascii="宋体" w:hAnsi="宋体" w:cs="宋体"/>
                <w:kern w:val="0"/>
                <w:sz w:val="20"/>
                <w:szCs w:val="20"/>
              </w:rPr>
            </w:pPr>
            <w:r>
              <w:rPr>
                <w:rFonts w:hint="eastAsia" w:ascii="宋体" w:hAnsi="宋体" w:cs="宋体"/>
                <w:kern w:val="0"/>
                <w:sz w:val="20"/>
                <w:szCs w:val="20"/>
              </w:rPr>
              <w:t>（1）证券承销业务</w:t>
            </w:r>
          </w:p>
        </w:tc>
        <w:tc>
          <w:tcPr>
            <w:tcW w:w="2320" w:type="dxa"/>
            <w:shd w:val="clear" w:color="auto" w:fill="auto"/>
            <w:noWrap/>
            <w:vAlign w:val="center"/>
          </w:tcPr>
          <w:p w14:paraId="499B93A2">
            <w:pPr>
              <w:widowControl/>
              <w:jc w:val="right"/>
              <w:rPr>
                <w:rFonts w:ascii="宋体" w:hAnsi="宋体" w:cs="宋体"/>
                <w:kern w:val="0"/>
                <w:sz w:val="20"/>
                <w:szCs w:val="20"/>
              </w:rPr>
            </w:pPr>
            <w:r>
              <w:rPr>
                <w:rFonts w:hint="eastAsia" w:ascii="宋体" w:hAnsi="宋体" w:cs="宋体"/>
                <w:kern w:val="0"/>
                <w:sz w:val="20"/>
                <w:szCs w:val="20"/>
              </w:rPr>
              <w:t>　</w:t>
            </w:r>
          </w:p>
        </w:tc>
      </w:tr>
      <w:tr w14:paraId="427B9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60AA0B33">
            <w:pPr>
              <w:widowControl/>
              <w:jc w:val="center"/>
              <w:rPr>
                <w:rFonts w:ascii="宋体" w:hAnsi="宋体" w:cs="宋体"/>
                <w:kern w:val="0"/>
                <w:sz w:val="20"/>
                <w:szCs w:val="20"/>
              </w:rPr>
            </w:pPr>
            <w:r>
              <w:rPr>
                <w:rFonts w:hint="eastAsia" w:ascii="宋体" w:hAnsi="宋体" w:cs="宋体"/>
                <w:kern w:val="0"/>
                <w:sz w:val="20"/>
                <w:szCs w:val="20"/>
              </w:rPr>
              <w:t>21</w:t>
            </w:r>
          </w:p>
        </w:tc>
        <w:tc>
          <w:tcPr>
            <w:tcW w:w="6280" w:type="dxa"/>
            <w:shd w:val="clear" w:color="auto" w:fill="auto"/>
            <w:noWrap/>
            <w:vAlign w:val="center"/>
          </w:tcPr>
          <w:p w14:paraId="20AEEE41">
            <w:pPr>
              <w:widowControl/>
              <w:ind w:left="939" w:leftChars="447"/>
              <w:jc w:val="left"/>
              <w:rPr>
                <w:rFonts w:ascii="宋体" w:hAnsi="宋体" w:cs="宋体"/>
                <w:kern w:val="0"/>
                <w:sz w:val="20"/>
                <w:szCs w:val="20"/>
              </w:rPr>
            </w:pPr>
            <w:r>
              <w:rPr>
                <w:rFonts w:hint="eastAsia" w:ascii="宋体" w:hAnsi="宋体" w:cs="宋体"/>
                <w:kern w:val="0"/>
                <w:sz w:val="20"/>
                <w:szCs w:val="20"/>
              </w:rPr>
              <w:t>（2）证券经纪业务</w:t>
            </w:r>
          </w:p>
        </w:tc>
        <w:tc>
          <w:tcPr>
            <w:tcW w:w="2320" w:type="dxa"/>
            <w:shd w:val="clear" w:color="auto" w:fill="auto"/>
            <w:noWrap/>
            <w:vAlign w:val="center"/>
          </w:tcPr>
          <w:p w14:paraId="3A5F1BB9">
            <w:pPr>
              <w:widowControl/>
              <w:jc w:val="right"/>
              <w:rPr>
                <w:rFonts w:ascii="宋体" w:hAnsi="宋体" w:cs="宋体"/>
                <w:kern w:val="0"/>
                <w:sz w:val="20"/>
                <w:szCs w:val="20"/>
              </w:rPr>
            </w:pPr>
            <w:r>
              <w:rPr>
                <w:rFonts w:hint="eastAsia" w:ascii="宋体" w:hAnsi="宋体" w:cs="宋体"/>
                <w:kern w:val="0"/>
                <w:sz w:val="20"/>
                <w:szCs w:val="20"/>
              </w:rPr>
              <w:t>　</w:t>
            </w:r>
          </w:p>
        </w:tc>
      </w:tr>
      <w:tr w14:paraId="73B2D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14817F89">
            <w:pPr>
              <w:widowControl/>
              <w:jc w:val="center"/>
              <w:rPr>
                <w:rFonts w:ascii="宋体" w:hAnsi="宋体" w:cs="宋体"/>
                <w:kern w:val="0"/>
                <w:sz w:val="20"/>
                <w:szCs w:val="20"/>
              </w:rPr>
            </w:pPr>
            <w:r>
              <w:rPr>
                <w:rFonts w:hint="eastAsia" w:ascii="宋体" w:hAnsi="宋体" w:cs="宋体"/>
                <w:kern w:val="0"/>
                <w:sz w:val="20"/>
                <w:szCs w:val="20"/>
              </w:rPr>
              <w:t>22</w:t>
            </w:r>
          </w:p>
        </w:tc>
        <w:tc>
          <w:tcPr>
            <w:tcW w:w="6280" w:type="dxa"/>
            <w:shd w:val="clear" w:color="auto" w:fill="auto"/>
            <w:noWrap/>
            <w:vAlign w:val="center"/>
          </w:tcPr>
          <w:p w14:paraId="41FE21EA">
            <w:pPr>
              <w:widowControl/>
              <w:ind w:left="939" w:leftChars="447"/>
              <w:jc w:val="left"/>
              <w:rPr>
                <w:rFonts w:ascii="宋体" w:hAnsi="宋体" w:cs="宋体"/>
                <w:kern w:val="0"/>
                <w:sz w:val="20"/>
                <w:szCs w:val="20"/>
              </w:rPr>
            </w:pPr>
            <w:r>
              <w:rPr>
                <w:rFonts w:hint="eastAsia" w:ascii="宋体" w:hAnsi="宋体" w:cs="宋体"/>
                <w:kern w:val="0"/>
                <w:sz w:val="20"/>
                <w:szCs w:val="20"/>
              </w:rPr>
              <w:t>（3）受托客户资产管理业务</w:t>
            </w:r>
          </w:p>
        </w:tc>
        <w:tc>
          <w:tcPr>
            <w:tcW w:w="2320" w:type="dxa"/>
            <w:shd w:val="clear" w:color="auto" w:fill="auto"/>
            <w:noWrap/>
            <w:vAlign w:val="center"/>
          </w:tcPr>
          <w:p w14:paraId="079AE68B">
            <w:pPr>
              <w:widowControl/>
              <w:jc w:val="right"/>
              <w:rPr>
                <w:rFonts w:ascii="宋体" w:hAnsi="宋体" w:cs="宋体"/>
                <w:kern w:val="0"/>
                <w:sz w:val="20"/>
                <w:szCs w:val="20"/>
              </w:rPr>
            </w:pPr>
            <w:r>
              <w:rPr>
                <w:rFonts w:hint="eastAsia" w:ascii="宋体" w:hAnsi="宋体" w:cs="宋体"/>
                <w:kern w:val="0"/>
                <w:sz w:val="20"/>
                <w:szCs w:val="20"/>
              </w:rPr>
              <w:t>　</w:t>
            </w:r>
          </w:p>
        </w:tc>
      </w:tr>
      <w:tr w14:paraId="2CA1B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6A14C6D3">
            <w:pPr>
              <w:widowControl/>
              <w:jc w:val="center"/>
              <w:rPr>
                <w:rFonts w:ascii="宋体" w:hAnsi="宋体" w:cs="宋体"/>
                <w:kern w:val="0"/>
                <w:sz w:val="20"/>
                <w:szCs w:val="20"/>
              </w:rPr>
            </w:pPr>
            <w:r>
              <w:rPr>
                <w:rFonts w:hint="eastAsia" w:ascii="宋体" w:hAnsi="宋体" w:cs="宋体"/>
                <w:kern w:val="0"/>
                <w:sz w:val="20"/>
                <w:szCs w:val="20"/>
              </w:rPr>
              <w:t>23</w:t>
            </w:r>
          </w:p>
        </w:tc>
        <w:tc>
          <w:tcPr>
            <w:tcW w:w="6280" w:type="dxa"/>
            <w:shd w:val="clear" w:color="auto" w:fill="auto"/>
            <w:noWrap/>
            <w:vAlign w:val="center"/>
          </w:tcPr>
          <w:p w14:paraId="2F35064F">
            <w:pPr>
              <w:widowControl/>
              <w:ind w:left="939" w:leftChars="447"/>
              <w:jc w:val="left"/>
              <w:rPr>
                <w:rFonts w:ascii="宋体" w:hAnsi="宋体" w:cs="宋体"/>
                <w:kern w:val="0"/>
                <w:sz w:val="20"/>
                <w:szCs w:val="20"/>
              </w:rPr>
            </w:pPr>
            <w:r>
              <w:rPr>
                <w:rFonts w:hint="eastAsia" w:ascii="宋体" w:hAnsi="宋体" w:cs="宋体"/>
                <w:kern w:val="0"/>
                <w:sz w:val="20"/>
                <w:szCs w:val="20"/>
              </w:rPr>
              <w:t>（4）代理兑付证券</w:t>
            </w:r>
          </w:p>
        </w:tc>
        <w:tc>
          <w:tcPr>
            <w:tcW w:w="2320" w:type="dxa"/>
            <w:shd w:val="clear" w:color="auto" w:fill="auto"/>
            <w:noWrap/>
            <w:vAlign w:val="center"/>
          </w:tcPr>
          <w:p w14:paraId="50823269">
            <w:pPr>
              <w:widowControl/>
              <w:jc w:val="right"/>
              <w:rPr>
                <w:rFonts w:ascii="宋体" w:hAnsi="宋体" w:cs="宋体"/>
                <w:kern w:val="0"/>
                <w:sz w:val="20"/>
                <w:szCs w:val="20"/>
              </w:rPr>
            </w:pPr>
            <w:r>
              <w:rPr>
                <w:rFonts w:hint="eastAsia" w:ascii="宋体" w:hAnsi="宋体" w:cs="宋体"/>
                <w:kern w:val="0"/>
                <w:sz w:val="20"/>
                <w:szCs w:val="20"/>
              </w:rPr>
              <w:t>　</w:t>
            </w:r>
          </w:p>
        </w:tc>
      </w:tr>
      <w:tr w14:paraId="1CF3E6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5C384982">
            <w:pPr>
              <w:widowControl/>
              <w:jc w:val="center"/>
              <w:rPr>
                <w:rFonts w:ascii="宋体" w:hAnsi="宋体" w:cs="宋体"/>
                <w:kern w:val="0"/>
                <w:sz w:val="20"/>
                <w:szCs w:val="20"/>
              </w:rPr>
            </w:pPr>
            <w:r>
              <w:rPr>
                <w:rFonts w:hint="eastAsia" w:ascii="宋体" w:hAnsi="宋体" w:cs="宋体"/>
                <w:kern w:val="0"/>
                <w:sz w:val="20"/>
                <w:szCs w:val="20"/>
              </w:rPr>
              <w:t>24</w:t>
            </w:r>
          </w:p>
        </w:tc>
        <w:tc>
          <w:tcPr>
            <w:tcW w:w="6280" w:type="dxa"/>
            <w:shd w:val="clear" w:color="auto" w:fill="auto"/>
            <w:noWrap/>
            <w:vAlign w:val="center"/>
          </w:tcPr>
          <w:p w14:paraId="78CAC4DA">
            <w:pPr>
              <w:widowControl/>
              <w:ind w:left="939" w:leftChars="447"/>
              <w:jc w:val="left"/>
              <w:rPr>
                <w:rFonts w:ascii="宋体" w:hAnsi="宋体" w:cs="宋体"/>
                <w:kern w:val="0"/>
                <w:sz w:val="20"/>
                <w:szCs w:val="20"/>
              </w:rPr>
            </w:pPr>
            <w:r>
              <w:rPr>
                <w:rFonts w:hint="eastAsia" w:ascii="宋体" w:hAnsi="宋体" w:cs="宋体"/>
                <w:kern w:val="0"/>
                <w:sz w:val="20"/>
                <w:szCs w:val="20"/>
              </w:rPr>
              <w:t>（5）代理保管证券</w:t>
            </w:r>
          </w:p>
        </w:tc>
        <w:tc>
          <w:tcPr>
            <w:tcW w:w="2320" w:type="dxa"/>
            <w:shd w:val="clear" w:color="auto" w:fill="auto"/>
            <w:noWrap/>
            <w:vAlign w:val="center"/>
          </w:tcPr>
          <w:p w14:paraId="5FED6CC0">
            <w:pPr>
              <w:widowControl/>
              <w:jc w:val="right"/>
              <w:rPr>
                <w:rFonts w:ascii="宋体" w:hAnsi="宋体" w:cs="宋体"/>
                <w:kern w:val="0"/>
                <w:sz w:val="20"/>
                <w:szCs w:val="20"/>
              </w:rPr>
            </w:pPr>
            <w:r>
              <w:rPr>
                <w:rFonts w:hint="eastAsia" w:ascii="宋体" w:hAnsi="宋体" w:cs="宋体"/>
                <w:kern w:val="0"/>
                <w:sz w:val="20"/>
                <w:szCs w:val="20"/>
              </w:rPr>
              <w:t>　</w:t>
            </w:r>
          </w:p>
        </w:tc>
      </w:tr>
      <w:tr w14:paraId="43D91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796304AD">
            <w:pPr>
              <w:widowControl/>
              <w:jc w:val="center"/>
              <w:rPr>
                <w:rFonts w:ascii="宋体" w:hAnsi="宋体" w:cs="宋体"/>
                <w:kern w:val="0"/>
                <w:sz w:val="20"/>
                <w:szCs w:val="20"/>
              </w:rPr>
            </w:pPr>
            <w:r>
              <w:rPr>
                <w:rFonts w:hint="eastAsia" w:ascii="宋体" w:hAnsi="宋体" w:cs="宋体"/>
                <w:kern w:val="0"/>
                <w:sz w:val="20"/>
                <w:szCs w:val="20"/>
              </w:rPr>
              <w:t>25</w:t>
            </w:r>
          </w:p>
        </w:tc>
        <w:tc>
          <w:tcPr>
            <w:tcW w:w="6280" w:type="dxa"/>
            <w:shd w:val="clear" w:color="auto" w:fill="auto"/>
            <w:noWrap/>
            <w:vAlign w:val="center"/>
          </w:tcPr>
          <w:p w14:paraId="0DEDCD0B">
            <w:pPr>
              <w:widowControl/>
              <w:ind w:left="939" w:leftChars="447"/>
              <w:jc w:val="left"/>
              <w:rPr>
                <w:rFonts w:ascii="宋体" w:hAnsi="宋体" w:cs="宋体"/>
                <w:kern w:val="0"/>
                <w:sz w:val="20"/>
                <w:szCs w:val="20"/>
              </w:rPr>
            </w:pPr>
            <w:r>
              <w:rPr>
                <w:rFonts w:hint="eastAsia" w:ascii="宋体" w:hAnsi="宋体" w:cs="宋体"/>
                <w:kern w:val="0"/>
                <w:sz w:val="20"/>
                <w:szCs w:val="20"/>
              </w:rPr>
              <w:t>（6）其他</w:t>
            </w:r>
          </w:p>
        </w:tc>
        <w:tc>
          <w:tcPr>
            <w:tcW w:w="2320" w:type="dxa"/>
            <w:shd w:val="clear" w:color="auto" w:fill="auto"/>
            <w:noWrap/>
            <w:vAlign w:val="center"/>
          </w:tcPr>
          <w:p w14:paraId="17C9B8E0">
            <w:pPr>
              <w:widowControl/>
              <w:jc w:val="right"/>
              <w:rPr>
                <w:rFonts w:ascii="宋体" w:hAnsi="宋体" w:cs="宋体"/>
                <w:kern w:val="0"/>
                <w:sz w:val="20"/>
                <w:szCs w:val="20"/>
              </w:rPr>
            </w:pPr>
            <w:r>
              <w:rPr>
                <w:rFonts w:hint="eastAsia" w:ascii="宋体" w:hAnsi="宋体" w:cs="宋体"/>
                <w:kern w:val="0"/>
                <w:sz w:val="20"/>
                <w:szCs w:val="20"/>
              </w:rPr>
              <w:t>　</w:t>
            </w:r>
          </w:p>
        </w:tc>
      </w:tr>
      <w:tr w14:paraId="6A7F9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59F88C26">
            <w:pPr>
              <w:widowControl/>
              <w:jc w:val="center"/>
              <w:rPr>
                <w:rFonts w:ascii="宋体" w:hAnsi="宋体" w:cs="宋体"/>
                <w:kern w:val="0"/>
                <w:sz w:val="20"/>
                <w:szCs w:val="20"/>
              </w:rPr>
            </w:pPr>
            <w:r>
              <w:rPr>
                <w:rFonts w:hint="eastAsia" w:ascii="宋体" w:hAnsi="宋体" w:cs="宋体"/>
                <w:kern w:val="0"/>
                <w:sz w:val="20"/>
                <w:szCs w:val="20"/>
              </w:rPr>
              <w:t>26</w:t>
            </w:r>
          </w:p>
        </w:tc>
        <w:tc>
          <w:tcPr>
            <w:tcW w:w="6280" w:type="dxa"/>
            <w:shd w:val="clear" w:color="auto" w:fill="auto"/>
            <w:noWrap/>
            <w:vAlign w:val="center"/>
          </w:tcPr>
          <w:p w14:paraId="3DF69657">
            <w:pPr>
              <w:widowControl/>
              <w:ind w:left="840" w:leftChars="400"/>
              <w:jc w:val="left"/>
              <w:rPr>
                <w:rFonts w:ascii="宋体" w:hAnsi="宋体" w:cs="宋体"/>
                <w:kern w:val="0"/>
                <w:sz w:val="20"/>
                <w:szCs w:val="20"/>
              </w:rPr>
            </w:pPr>
            <w:r>
              <w:rPr>
                <w:rFonts w:hint="eastAsia" w:ascii="宋体" w:hAnsi="宋体" w:cs="宋体"/>
                <w:kern w:val="0"/>
                <w:sz w:val="20"/>
                <w:szCs w:val="20"/>
              </w:rPr>
              <w:t>2.其他证券业务收入</w:t>
            </w:r>
          </w:p>
        </w:tc>
        <w:tc>
          <w:tcPr>
            <w:tcW w:w="2320" w:type="dxa"/>
            <w:shd w:val="clear" w:color="auto" w:fill="auto"/>
            <w:noWrap/>
            <w:vAlign w:val="center"/>
          </w:tcPr>
          <w:p w14:paraId="47183279">
            <w:pPr>
              <w:widowControl/>
              <w:jc w:val="right"/>
              <w:rPr>
                <w:rFonts w:ascii="宋体" w:hAnsi="宋体" w:cs="宋体"/>
                <w:kern w:val="0"/>
                <w:sz w:val="20"/>
                <w:szCs w:val="20"/>
              </w:rPr>
            </w:pPr>
            <w:r>
              <w:rPr>
                <w:rFonts w:hint="eastAsia" w:ascii="宋体" w:hAnsi="宋体" w:cs="宋体"/>
                <w:kern w:val="0"/>
                <w:sz w:val="20"/>
                <w:szCs w:val="20"/>
              </w:rPr>
              <w:t>　</w:t>
            </w:r>
          </w:p>
        </w:tc>
      </w:tr>
      <w:tr w14:paraId="5155C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1A6B6A6F">
            <w:pPr>
              <w:widowControl/>
              <w:jc w:val="center"/>
              <w:rPr>
                <w:rFonts w:ascii="宋体" w:hAnsi="宋体" w:cs="宋体"/>
                <w:kern w:val="0"/>
                <w:sz w:val="20"/>
                <w:szCs w:val="20"/>
              </w:rPr>
            </w:pPr>
            <w:r>
              <w:rPr>
                <w:rFonts w:hint="eastAsia" w:ascii="宋体" w:hAnsi="宋体" w:cs="宋体"/>
                <w:kern w:val="0"/>
                <w:sz w:val="20"/>
                <w:szCs w:val="20"/>
              </w:rPr>
              <w:t>27</w:t>
            </w:r>
          </w:p>
        </w:tc>
        <w:tc>
          <w:tcPr>
            <w:tcW w:w="6280" w:type="dxa"/>
            <w:shd w:val="clear" w:color="auto" w:fill="auto"/>
            <w:noWrap/>
            <w:vAlign w:val="center"/>
          </w:tcPr>
          <w:p w14:paraId="6B7797AD">
            <w:pPr>
              <w:widowControl/>
              <w:ind w:left="420" w:leftChars="200"/>
              <w:jc w:val="left"/>
              <w:rPr>
                <w:rFonts w:ascii="宋体" w:hAnsi="宋体" w:cs="宋体"/>
                <w:kern w:val="0"/>
                <w:sz w:val="20"/>
                <w:szCs w:val="20"/>
              </w:rPr>
            </w:pPr>
            <w:r>
              <w:rPr>
                <w:rFonts w:hint="eastAsia" w:ascii="宋体" w:hAnsi="宋体" w:cs="宋体"/>
                <w:kern w:val="0"/>
                <w:sz w:val="20"/>
                <w:szCs w:val="20"/>
              </w:rPr>
              <w:t>（三）已赚保费（28-30-31）</w:t>
            </w:r>
          </w:p>
        </w:tc>
        <w:tc>
          <w:tcPr>
            <w:tcW w:w="2320" w:type="dxa"/>
            <w:shd w:val="clear" w:color="auto" w:fill="auto"/>
            <w:noWrap/>
            <w:vAlign w:val="center"/>
          </w:tcPr>
          <w:p w14:paraId="3D59661C">
            <w:pPr>
              <w:widowControl/>
              <w:jc w:val="right"/>
              <w:rPr>
                <w:rFonts w:ascii="宋体" w:hAnsi="宋体" w:cs="宋体"/>
                <w:kern w:val="0"/>
                <w:sz w:val="20"/>
                <w:szCs w:val="20"/>
              </w:rPr>
            </w:pPr>
            <w:r>
              <w:rPr>
                <w:rFonts w:hint="eastAsia" w:ascii="宋体" w:hAnsi="宋体" w:cs="宋体"/>
                <w:kern w:val="0"/>
                <w:sz w:val="20"/>
                <w:szCs w:val="20"/>
              </w:rPr>
              <w:t>　</w:t>
            </w:r>
          </w:p>
        </w:tc>
      </w:tr>
      <w:tr w14:paraId="52496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258E48FE">
            <w:pPr>
              <w:widowControl/>
              <w:jc w:val="center"/>
              <w:rPr>
                <w:rFonts w:ascii="宋体" w:hAnsi="宋体" w:cs="宋体"/>
                <w:kern w:val="0"/>
                <w:sz w:val="20"/>
                <w:szCs w:val="20"/>
              </w:rPr>
            </w:pPr>
            <w:r>
              <w:rPr>
                <w:rFonts w:hint="eastAsia" w:ascii="宋体" w:hAnsi="宋体" w:cs="宋体"/>
                <w:kern w:val="0"/>
                <w:sz w:val="20"/>
                <w:szCs w:val="20"/>
              </w:rPr>
              <w:t>28</w:t>
            </w:r>
          </w:p>
        </w:tc>
        <w:tc>
          <w:tcPr>
            <w:tcW w:w="6280" w:type="dxa"/>
            <w:shd w:val="clear" w:color="auto" w:fill="auto"/>
            <w:noWrap/>
            <w:vAlign w:val="center"/>
          </w:tcPr>
          <w:p w14:paraId="2A1B711E">
            <w:pPr>
              <w:widowControl/>
              <w:ind w:left="840" w:leftChars="400"/>
              <w:jc w:val="left"/>
              <w:rPr>
                <w:rFonts w:ascii="宋体" w:hAnsi="宋体" w:cs="宋体"/>
                <w:kern w:val="0"/>
                <w:sz w:val="20"/>
                <w:szCs w:val="20"/>
              </w:rPr>
            </w:pPr>
            <w:r>
              <w:rPr>
                <w:rFonts w:hint="eastAsia" w:ascii="宋体" w:hAnsi="宋体" w:cs="宋体"/>
                <w:kern w:val="0"/>
                <w:sz w:val="20"/>
                <w:szCs w:val="20"/>
              </w:rPr>
              <w:t>1.保险业务收入</w:t>
            </w:r>
          </w:p>
        </w:tc>
        <w:tc>
          <w:tcPr>
            <w:tcW w:w="2320" w:type="dxa"/>
            <w:shd w:val="clear" w:color="auto" w:fill="auto"/>
            <w:noWrap/>
            <w:vAlign w:val="center"/>
          </w:tcPr>
          <w:p w14:paraId="001C99FD">
            <w:pPr>
              <w:widowControl/>
              <w:jc w:val="right"/>
              <w:rPr>
                <w:rFonts w:ascii="宋体" w:hAnsi="宋体" w:cs="宋体"/>
                <w:kern w:val="0"/>
                <w:sz w:val="20"/>
                <w:szCs w:val="20"/>
              </w:rPr>
            </w:pPr>
            <w:r>
              <w:rPr>
                <w:rFonts w:hint="eastAsia" w:ascii="宋体" w:hAnsi="宋体" w:cs="宋体"/>
                <w:kern w:val="0"/>
                <w:sz w:val="20"/>
                <w:szCs w:val="20"/>
              </w:rPr>
              <w:t>　</w:t>
            </w:r>
          </w:p>
        </w:tc>
      </w:tr>
      <w:tr w14:paraId="56E9B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738BF46E">
            <w:pPr>
              <w:widowControl/>
              <w:jc w:val="center"/>
              <w:rPr>
                <w:rFonts w:ascii="宋体" w:hAnsi="宋体" w:cs="宋体"/>
                <w:kern w:val="0"/>
                <w:sz w:val="20"/>
                <w:szCs w:val="20"/>
              </w:rPr>
            </w:pPr>
            <w:r>
              <w:rPr>
                <w:rFonts w:hint="eastAsia" w:ascii="宋体" w:hAnsi="宋体" w:cs="宋体"/>
                <w:kern w:val="0"/>
                <w:sz w:val="20"/>
                <w:szCs w:val="20"/>
              </w:rPr>
              <w:t>29</w:t>
            </w:r>
          </w:p>
        </w:tc>
        <w:tc>
          <w:tcPr>
            <w:tcW w:w="6280" w:type="dxa"/>
            <w:shd w:val="clear" w:color="auto" w:fill="auto"/>
            <w:noWrap/>
            <w:vAlign w:val="center"/>
          </w:tcPr>
          <w:p w14:paraId="2B62D137">
            <w:pPr>
              <w:widowControl/>
              <w:ind w:firstLine="1060" w:firstLineChars="530"/>
              <w:jc w:val="left"/>
              <w:rPr>
                <w:rFonts w:ascii="宋体" w:hAnsi="宋体" w:cs="宋体"/>
                <w:kern w:val="0"/>
                <w:sz w:val="20"/>
                <w:szCs w:val="20"/>
              </w:rPr>
            </w:pPr>
            <w:r>
              <w:rPr>
                <w:rFonts w:hint="eastAsia" w:ascii="宋体" w:hAnsi="宋体" w:cs="宋体"/>
                <w:kern w:val="0"/>
                <w:sz w:val="20"/>
                <w:szCs w:val="20"/>
              </w:rPr>
              <w:t>其中：分保费收入</w:t>
            </w:r>
          </w:p>
        </w:tc>
        <w:tc>
          <w:tcPr>
            <w:tcW w:w="2320" w:type="dxa"/>
            <w:shd w:val="clear" w:color="auto" w:fill="auto"/>
            <w:noWrap/>
            <w:vAlign w:val="center"/>
          </w:tcPr>
          <w:p w14:paraId="3EFA345B">
            <w:pPr>
              <w:widowControl/>
              <w:jc w:val="right"/>
              <w:rPr>
                <w:rFonts w:ascii="宋体" w:hAnsi="宋体" w:cs="宋体"/>
                <w:kern w:val="0"/>
                <w:sz w:val="20"/>
                <w:szCs w:val="20"/>
              </w:rPr>
            </w:pPr>
            <w:r>
              <w:rPr>
                <w:rFonts w:hint="eastAsia" w:ascii="宋体" w:hAnsi="宋体" w:cs="宋体"/>
                <w:kern w:val="0"/>
                <w:sz w:val="20"/>
                <w:szCs w:val="20"/>
              </w:rPr>
              <w:t>　</w:t>
            </w:r>
          </w:p>
        </w:tc>
      </w:tr>
      <w:tr w14:paraId="7941B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469FC8AA">
            <w:pPr>
              <w:widowControl/>
              <w:jc w:val="center"/>
              <w:rPr>
                <w:rFonts w:ascii="宋体" w:hAnsi="宋体" w:cs="宋体"/>
                <w:kern w:val="0"/>
                <w:sz w:val="20"/>
                <w:szCs w:val="20"/>
              </w:rPr>
            </w:pPr>
            <w:r>
              <w:rPr>
                <w:rFonts w:hint="eastAsia" w:ascii="宋体" w:hAnsi="宋体" w:cs="宋体"/>
                <w:kern w:val="0"/>
                <w:sz w:val="20"/>
                <w:szCs w:val="20"/>
              </w:rPr>
              <w:t>30</w:t>
            </w:r>
          </w:p>
        </w:tc>
        <w:tc>
          <w:tcPr>
            <w:tcW w:w="6280" w:type="dxa"/>
            <w:shd w:val="clear" w:color="auto" w:fill="auto"/>
            <w:noWrap/>
            <w:vAlign w:val="center"/>
          </w:tcPr>
          <w:p w14:paraId="3F6610AA">
            <w:pPr>
              <w:widowControl/>
              <w:ind w:left="840" w:leftChars="400"/>
              <w:jc w:val="left"/>
              <w:rPr>
                <w:rFonts w:ascii="宋体" w:hAnsi="宋体" w:cs="宋体"/>
                <w:kern w:val="0"/>
                <w:sz w:val="20"/>
                <w:szCs w:val="20"/>
              </w:rPr>
            </w:pPr>
            <w:r>
              <w:rPr>
                <w:rFonts w:hint="eastAsia" w:ascii="宋体" w:hAnsi="宋体" w:cs="宋体"/>
                <w:kern w:val="0"/>
                <w:sz w:val="20"/>
                <w:szCs w:val="20"/>
              </w:rPr>
              <w:t>2.分出保费</w:t>
            </w:r>
          </w:p>
        </w:tc>
        <w:tc>
          <w:tcPr>
            <w:tcW w:w="2320" w:type="dxa"/>
            <w:shd w:val="clear" w:color="auto" w:fill="auto"/>
            <w:noWrap/>
            <w:vAlign w:val="center"/>
          </w:tcPr>
          <w:p w14:paraId="7D70E120">
            <w:pPr>
              <w:widowControl/>
              <w:jc w:val="right"/>
              <w:rPr>
                <w:rFonts w:ascii="宋体" w:hAnsi="宋体" w:cs="宋体"/>
                <w:kern w:val="0"/>
                <w:sz w:val="20"/>
                <w:szCs w:val="20"/>
              </w:rPr>
            </w:pPr>
            <w:r>
              <w:rPr>
                <w:rFonts w:hint="eastAsia" w:ascii="宋体" w:hAnsi="宋体" w:cs="宋体"/>
                <w:kern w:val="0"/>
                <w:sz w:val="20"/>
                <w:szCs w:val="20"/>
              </w:rPr>
              <w:t>　</w:t>
            </w:r>
          </w:p>
        </w:tc>
      </w:tr>
      <w:tr w14:paraId="0B158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6DCE88D8">
            <w:pPr>
              <w:widowControl/>
              <w:jc w:val="center"/>
              <w:rPr>
                <w:rFonts w:ascii="宋体" w:hAnsi="宋体" w:cs="宋体"/>
                <w:kern w:val="0"/>
                <w:sz w:val="20"/>
                <w:szCs w:val="20"/>
              </w:rPr>
            </w:pPr>
            <w:r>
              <w:rPr>
                <w:rFonts w:hint="eastAsia" w:ascii="宋体" w:hAnsi="宋体" w:cs="宋体"/>
                <w:kern w:val="0"/>
                <w:sz w:val="20"/>
                <w:szCs w:val="20"/>
              </w:rPr>
              <w:t>31</w:t>
            </w:r>
          </w:p>
        </w:tc>
        <w:tc>
          <w:tcPr>
            <w:tcW w:w="6280" w:type="dxa"/>
            <w:shd w:val="clear" w:color="auto" w:fill="auto"/>
            <w:noWrap/>
            <w:vAlign w:val="center"/>
          </w:tcPr>
          <w:p w14:paraId="1CB833BB">
            <w:pPr>
              <w:widowControl/>
              <w:ind w:left="840" w:leftChars="400"/>
              <w:jc w:val="left"/>
              <w:rPr>
                <w:rFonts w:ascii="宋体" w:hAnsi="宋体" w:cs="宋体"/>
                <w:kern w:val="0"/>
                <w:sz w:val="20"/>
                <w:szCs w:val="20"/>
              </w:rPr>
            </w:pPr>
            <w:r>
              <w:rPr>
                <w:rFonts w:hint="eastAsia" w:ascii="宋体" w:hAnsi="宋体" w:cs="宋体"/>
                <w:kern w:val="0"/>
                <w:sz w:val="20"/>
                <w:szCs w:val="20"/>
              </w:rPr>
              <w:t>3.提取未到期责任准备金</w:t>
            </w:r>
          </w:p>
        </w:tc>
        <w:tc>
          <w:tcPr>
            <w:tcW w:w="2320" w:type="dxa"/>
            <w:shd w:val="clear" w:color="auto" w:fill="auto"/>
            <w:noWrap/>
            <w:vAlign w:val="center"/>
          </w:tcPr>
          <w:p w14:paraId="727EB0C7">
            <w:pPr>
              <w:widowControl/>
              <w:jc w:val="right"/>
              <w:rPr>
                <w:rFonts w:ascii="宋体" w:hAnsi="宋体" w:cs="宋体"/>
                <w:kern w:val="0"/>
                <w:sz w:val="20"/>
                <w:szCs w:val="20"/>
              </w:rPr>
            </w:pPr>
            <w:r>
              <w:rPr>
                <w:rFonts w:hint="eastAsia" w:ascii="宋体" w:hAnsi="宋体" w:cs="宋体"/>
                <w:kern w:val="0"/>
                <w:sz w:val="20"/>
                <w:szCs w:val="20"/>
              </w:rPr>
              <w:t>　</w:t>
            </w:r>
          </w:p>
        </w:tc>
      </w:tr>
      <w:tr w14:paraId="0E908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5E6A9A45">
            <w:pPr>
              <w:widowControl/>
              <w:jc w:val="center"/>
              <w:rPr>
                <w:rFonts w:ascii="宋体" w:hAnsi="宋体" w:cs="宋体"/>
                <w:kern w:val="0"/>
                <w:sz w:val="20"/>
                <w:szCs w:val="20"/>
              </w:rPr>
            </w:pPr>
            <w:r>
              <w:rPr>
                <w:rFonts w:hint="eastAsia" w:ascii="宋体" w:hAnsi="宋体" w:cs="宋体"/>
                <w:kern w:val="0"/>
                <w:sz w:val="20"/>
                <w:szCs w:val="20"/>
              </w:rPr>
              <w:t>32</w:t>
            </w:r>
          </w:p>
        </w:tc>
        <w:tc>
          <w:tcPr>
            <w:tcW w:w="6280" w:type="dxa"/>
            <w:shd w:val="clear" w:color="auto" w:fill="auto"/>
            <w:noWrap/>
            <w:vAlign w:val="center"/>
          </w:tcPr>
          <w:p w14:paraId="7CBF2FE5">
            <w:pPr>
              <w:widowControl/>
              <w:ind w:left="420" w:leftChars="200"/>
              <w:jc w:val="left"/>
              <w:rPr>
                <w:rFonts w:ascii="宋体" w:hAnsi="宋体" w:cs="宋体"/>
                <w:kern w:val="0"/>
                <w:sz w:val="20"/>
                <w:szCs w:val="20"/>
              </w:rPr>
            </w:pPr>
            <w:r>
              <w:rPr>
                <w:rFonts w:hint="eastAsia" w:ascii="宋体" w:hAnsi="宋体" w:cs="宋体"/>
                <w:kern w:val="0"/>
                <w:sz w:val="20"/>
                <w:szCs w:val="20"/>
              </w:rPr>
              <w:t>（四）其他金融业务收入</w:t>
            </w:r>
          </w:p>
        </w:tc>
        <w:tc>
          <w:tcPr>
            <w:tcW w:w="2320" w:type="dxa"/>
            <w:shd w:val="clear" w:color="auto" w:fill="auto"/>
            <w:noWrap/>
            <w:vAlign w:val="center"/>
          </w:tcPr>
          <w:p w14:paraId="512EE703">
            <w:pPr>
              <w:widowControl/>
              <w:jc w:val="right"/>
              <w:rPr>
                <w:rFonts w:ascii="宋体" w:hAnsi="宋体" w:cs="宋体"/>
                <w:kern w:val="0"/>
                <w:sz w:val="20"/>
                <w:szCs w:val="20"/>
              </w:rPr>
            </w:pPr>
            <w:r>
              <w:rPr>
                <w:rFonts w:hint="eastAsia" w:ascii="宋体" w:hAnsi="宋体" w:cs="宋体"/>
                <w:kern w:val="0"/>
                <w:sz w:val="20"/>
                <w:szCs w:val="20"/>
              </w:rPr>
              <w:t>　</w:t>
            </w:r>
          </w:p>
        </w:tc>
      </w:tr>
      <w:tr w14:paraId="1D5B6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075B18B9">
            <w:pPr>
              <w:widowControl/>
              <w:jc w:val="center"/>
              <w:rPr>
                <w:rFonts w:ascii="宋体" w:hAnsi="宋体" w:cs="宋体"/>
                <w:kern w:val="0"/>
                <w:sz w:val="20"/>
                <w:szCs w:val="20"/>
              </w:rPr>
            </w:pPr>
            <w:r>
              <w:rPr>
                <w:rFonts w:hint="eastAsia" w:ascii="宋体" w:hAnsi="宋体" w:cs="宋体"/>
                <w:kern w:val="0"/>
                <w:sz w:val="20"/>
                <w:szCs w:val="20"/>
              </w:rPr>
              <w:t>33</w:t>
            </w:r>
          </w:p>
        </w:tc>
        <w:tc>
          <w:tcPr>
            <w:tcW w:w="6280" w:type="dxa"/>
            <w:shd w:val="clear" w:color="auto" w:fill="auto"/>
            <w:noWrap/>
            <w:vAlign w:val="center"/>
          </w:tcPr>
          <w:p w14:paraId="2DFD94F4">
            <w:pPr>
              <w:widowControl/>
              <w:ind w:left="420" w:leftChars="200"/>
              <w:jc w:val="left"/>
              <w:rPr>
                <w:rFonts w:ascii="宋体" w:hAnsi="宋体" w:cs="宋体"/>
                <w:kern w:val="0"/>
                <w:sz w:val="20"/>
                <w:szCs w:val="20"/>
              </w:rPr>
            </w:pPr>
            <w:r>
              <w:rPr>
                <w:rFonts w:hint="eastAsia" w:ascii="宋体" w:hAnsi="宋体" w:cs="宋体"/>
                <w:kern w:val="0"/>
                <w:sz w:val="20"/>
                <w:szCs w:val="20"/>
              </w:rPr>
              <w:t>（五）汇兑收益（损失以“-”号填列）</w:t>
            </w:r>
          </w:p>
        </w:tc>
        <w:tc>
          <w:tcPr>
            <w:tcW w:w="2320" w:type="dxa"/>
            <w:shd w:val="clear" w:color="auto" w:fill="auto"/>
            <w:noWrap/>
            <w:vAlign w:val="center"/>
          </w:tcPr>
          <w:p w14:paraId="2F5CA557">
            <w:pPr>
              <w:widowControl/>
              <w:jc w:val="right"/>
              <w:rPr>
                <w:rFonts w:ascii="宋体" w:hAnsi="宋体" w:cs="宋体"/>
                <w:kern w:val="0"/>
                <w:sz w:val="20"/>
                <w:szCs w:val="20"/>
              </w:rPr>
            </w:pPr>
            <w:r>
              <w:rPr>
                <w:rFonts w:hint="eastAsia" w:ascii="宋体" w:hAnsi="宋体" w:cs="宋体"/>
                <w:kern w:val="0"/>
                <w:sz w:val="20"/>
                <w:szCs w:val="20"/>
              </w:rPr>
              <w:t>　</w:t>
            </w:r>
          </w:p>
        </w:tc>
      </w:tr>
      <w:tr w14:paraId="3EEA7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275DA542">
            <w:pPr>
              <w:widowControl/>
              <w:jc w:val="center"/>
              <w:rPr>
                <w:rFonts w:ascii="宋体" w:hAnsi="宋体" w:cs="宋体"/>
                <w:kern w:val="0"/>
                <w:sz w:val="20"/>
                <w:szCs w:val="20"/>
              </w:rPr>
            </w:pPr>
            <w:r>
              <w:rPr>
                <w:rFonts w:hint="eastAsia" w:ascii="宋体" w:hAnsi="宋体" w:cs="宋体"/>
                <w:kern w:val="0"/>
                <w:sz w:val="20"/>
                <w:szCs w:val="20"/>
              </w:rPr>
              <w:t>34</w:t>
            </w:r>
          </w:p>
        </w:tc>
        <w:tc>
          <w:tcPr>
            <w:tcW w:w="6280" w:type="dxa"/>
            <w:shd w:val="clear" w:color="auto" w:fill="auto"/>
            <w:noWrap/>
            <w:vAlign w:val="center"/>
          </w:tcPr>
          <w:p w14:paraId="616241FC">
            <w:pPr>
              <w:widowControl/>
              <w:ind w:left="420" w:leftChars="200"/>
              <w:jc w:val="left"/>
              <w:rPr>
                <w:rFonts w:ascii="宋体" w:hAnsi="宋体" w:cs="宋体"/>
                <w:kern w:val="0"/>
                <w:sz w:val="20"/>
                <w:szCs w:val="20"/>
              </w:rPr>
            </w:pPr>
            <w:r>
              <w:rPr>
                <w:rFonts w:hint="eastAsia" w:ascii="宋体" w:hAnsi="宋体" w:cs="宋体"/>
                <w:kern w:val="0"/>
                <w:sz w:val="20"/>
                <w:szCs w:val="20"/>
              </w:rPr>
              <w:t>（六）其他业务收入</w:t>
            </w:r>
          </w:p>
        </w:tc>
        <w:tc>
          <w:tcPr>
            <w:tcW w:w="2320" w:type="dxa"/>
            <w:shd w:val="clear" w:color="auto" w:fill="auto"/>
            <w:noWrap/>
            <w:vAlign w:val="center"/>
          </w:tcPr>
          <w:p w14:paraId="520BE946">
            <w:pPr>
              <w:widowControl/>
              <w:jc w:val="right"/>
              <w:rPr>
                <w:rFonts w:ascii="宋体" w:hAnsi="宋体" w:cs="宋体"/>
                <w:kern w:val="0"/>
                <w:sz w:val="20"/>
                <w:szCs w:val="20"/>
              </w:rPr>
            </w:pPr>
            <w:r>
              <w:rPr>
                <w:rFonts w:hint="eastAsia" w:ascii="宋体" w:hAnsi="宋体" w:cs="宋体"/>
                <w:kern w:val="0"/>
                <w:sz w:val="20"/>
                <w:szCs w:val="20"/>
              </w:rPr>
              <w:t>　</w:t>
            </w:r>
          </w:p>
        </w:tc>
      </w:tr>
      <w:tr w14:paraId="3DDED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7CFD94DD">
            <w:pPr>
              <w:widowControl/>
              <w:jc w:val="center"/>
              <w:rPr>
                <w:rFonts w:ascii="宋体" w:hAnsi="宋体" w:cs="宋体"/>
                <w:kern w:val="0"/>
                <w:sz w:val="20"/>
                <w:szCs w:val="20"/>
              </w:rPr>
            </w:pPr>
            <w:r>
              <w:rPr>
                <w:rFonts w:hint="eastAsia" w:ascii="宋体" w:hAnsi="宋体" w:cs="宋体"/>
                <w:kern w:val="0"/>
                <w:sz w:val="20"/>
                <w:szCs w:val="20"/>
              </w:rPr>
              <w:t>35</w:t>
            </w:r>
          </w:p>
        </w:tc>
        <w:tc>
          <w:tcPr>
            <w:tcW w:w="6280" w:type="dxa"/>
            <w:shd w:val="clear" w:color="auto" w:fill="auto"/>
            <w:noWrap/>
            <w:vAlign w:val="center"/>
          </w:tcPr>
          <w:p w14:paraId="56E48F8F">
            <w:pPr>
              <w:widowControl/>
              <w:jc w:val="left"/>
              <w:rPr>
                <w:rFonts w:ascii="宋体" w:hAnsi="宋体" w:cs="宋体"/>
                <w:kern w:val="0"/>
                <w:sz w:val="20"/>
                <w:szCs w:val="20"/>
              </w:rPr>
            </w:pPr>
            <w:r>
              <w:rPr>
                <w:rFonts w:hint="eastAsia" w:ascii="宋体" w:hAnsi="宋体" w:cs="宋体"/>
                <w:kern w:val="0"/>
                <w:sz w:val="20"/>
                <w:szCs w:val="20"/>
              </w:rPr>
              <w:t>二、营业外收入（36+37+38+39+40+41+42）</w:t>
            </w:r>
          </w:p>
        </w:tc>
        <w:tc>
          <w:tcPr>
            <w:tcW w:w="2320" w:type="dxa"/>
            <w:shd w:val="clear" w:color="auto" w:fill="auto"/>
            <w:noWrap/>
            <w:vAlign w:val="center"/>
          </w:tcPr>
          <w:p w14:paraId="734FAF65">
            <w:pPr>
              <w:widowControl/>
              <w:jc w:val="right"/>
              <w:rPr>
                <w:rFonts w:ascii="宋体" w:hAnsi="宋体" w:cs="宋体"/>
                <w:kern w:val="0"/>
                <w:sz w:val="20"/>
                <w:szCs w:val="20"/>
              </w:rPr>
            </w:pPr>
            <w:r>
              <w:rPr>
                <w:rFonts w:hint="eastAsia" w:ascii="宋体" w:hAnsi="宋体" w:cs="宋体"/>
                <w:kern w:val="0"/>
                <w:sz w:val="20"/>
                <w:szCs w:val="20"/>
              </w:rPr>
              <w:t>　</w:t>
            </w:r>
          </w:p>
        </w:tc>
      </w:tr>
      <w:tr w14:paraId="5B17F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6FCCA143">
            <w:pPr>
              <w:widowControl/>
              <w:jc w:val="center"/>
              <w:rPr>
                <w:rFonts w:ascii="宋体" w:hAnsi="宋体" w:cs="宋体"/>
                <w:kern w:val="0"/>
                <w:sz w:val="20"/>
                <w:szCs w:val="20"/>
              </w:rPr>
            </w:pPr>
            <w:r>
              <w:rPr>
                <w:rFonts w:hint="eastAsia" w:ascii="宋体" w:hAnsi="宋体" w:cs="宋体"/>
                <w:kern w:val="0"/>
                <w:sz w:val="20"/>
                <w:szCs w:val="20"/>
              </w:rPr>
              <w:t>36</w:t>
            </w:r>
          </w:p>
        </w:tc>
        <w:tc>
          <w:tcPr>
            <w:tcW w:w="6280" w:type="dxa"/>
            <w:shd w:val="clear" w:color="auto" w:fill="auto"/>
            <w:noWrap/>
            <w:vAlign w:val="center"/>
          </w:tcPr>
          <w:p w14:paraId="1C06A3E9">
            <w:pPr>
              <w:widowControl/>
              <w:ind w:left="420" w:leftChars="200"/>
              <w:jc w:val="left"/>
              <w:rPr>
                <w:rFonts w:ascii="宋体" w:hAnsi="宋体" w:cs="宋体"/>
                <w:kern w:val="0"/>
                <w:sz w:val="20"/>
                <w:szCs w:val="20"/>
              </w:rPr>
            </w:pPr>
            <w:r>
              <w:rPr>
                <w:rFonts w:hint="eastAsia" w:ascii="宋体" w:hAnsi="宋体" w:cs="宋体"/>
                <w:kern w:val="0"/>
                <w:sz w:val="20"/>
                <w:szCs w:val="20"/>
              </w:rPr>
              <w:t>（一）非流动资产处置利得</w:t>
            </w:r>
          </w:p>
        </w:tc>
        <w:tc>
          <w:tcPr>
            <w:tcW w:w="2320" w:type="dxa"/>
            <w:shd w:val="clear" w:color="auto" w:fill="auto"/>
            <w:noWrap/>
            <w:vAlign w:val="center"/>
          </w:tcPr>
          <w:p w14:paraId="296B068F">
            <w:pPr>
              <w:widowControl/>
              <w:jc w:val="right"/>
              <w:rPr>
                <w:rFonts w:ascii="宋体" w:hAnsi="宋体" w:cs="宋体"/>
                <w:kern w:val="0"/>
                <w:sz w:val="20"/>
                <w:szCs w:val="20"/>
              </w:rPr>
            </w:pPr>
            <w:r>
              <w:rPr>
                <w:rFonts w:hint="eastAsia" w:ascii="宋体" w:hAnsi="宋体" w:cs="宋体"/>
                <w:kern w:val="0"/>
                <w:sz w:val="20"/>
                <w:szCs w:val="20"/>
              </w:rPr>
              <w:t>　</w:t>
            </w:r>
          </w:p>
        </w:tc>
      </w:tr>
      <w:tr w14:paraId="247F9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0ABC46FE">
            <w:pPr>
              <w:widowControl/>
              <w:jc w:val="center"/>
              <w:rPr>
                <w:rFonts w:ascii="宋体" w:hAnsi="宋体" w:cs="宋体"/>
                <w:kern w:val="0"/>
                <w:sz w:val="20"/>
                <w:szCs w:val="20"/>
              </w:rPr>
            </w:pPr>
            <w:r>
              <w:rPr>
                <w:rFonts w:hint="eastAsia" w:ascii="宋体" w:hAnsi="宋体" w:cs="宋体"/>
                <w:kern w:val="0"/>
                <w:sz w:val="20"/>
                <w:szCs w:val="20"/>
              </w:rPr>
              <w:t>37</w:t>
            </w:r>
          </w:p>
        </w:tc>
        <w:tc>
          <w:tcPr>
            <w:tcW w:w="6280" w:type="dxa"/>
            <w:shd w:val="clear" w:color="auto" w:fill="auto"/>
            <w:noWrap/>
            <w:vAlign w:val="center"/>
          </w:tcPr>
          <w:p w14:paraId="60465A61">
            <w:pPr>
              <w:widowControl/>
              <w:ind w:left="420" w:leftChars="200"/>
              <w:jc w:val="left"/>
              <w:rPr>
                <w:rFonts w:ascii="宋体" w:hAnsi="宋体" w:cs="宋体"/>
                <w:kern w:val="0"/>
                <w:sz w:val="20"/>
                <w:szCs w:val="20"/>
              </w:rPr>
            </w:pPr>
            <w:r>
              <w:rPr>
                <w:rFonts w:hint="eastAsia" w:ascii="宋体" w:hAnsi="宋体" w:cs="宋体"/>
                <w:kern w:val="0"/>
                <w:sz w:val="20"/>
                <w:szCs w:val="20"/>
              </w:rPr>
              <w:t>（二）非货币性资产交换利得</w:t>
            </w:r>
          </w:p>
        </w:tc>
        <w:tc>
          <w:tcPr>
            <w:tcW w:w="2320" w:type="dxa"/>
            <w:shd w:val="clear" w:color="auto" w:fill="auto"/>
            <w:noWrap/>
            <w:vAlign w:val="center"/>
          </w:tcPr>
          <w:p w14:paraId="5CCBA4CD">
            <w:pPr>
              <w:widowControl/>
              <w:jc w:val="right"/>
              <w:rPr>
                <w:rFonts w:ascii="宋体" w:hAnsi="宋体" w:cs="宋体"/>
                <w:kern w:val="0"/>
                <w:sz w:val="20"/>
                <w:szCs w:val="20"/>
              </w:rPr>
            </w:pPr>
            <w:r>
              <w:rPr>
                <w:rFonts w:hint="eastAsia" w:ascii="宋体" w:hAnsi="宋体" w:cs="宋体"/>
                <w:kern w:val="0"/>
                <w:sz w:val="20"/>
                <w:szCs w:val="20"/>
              </w:rPr>
              <w:t>　</w:t>
            </w:r>
          </w:p>
        </w:tc>
      </w:tr>
      <w:tr w14:paraId="205E3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7074B493">
            <w:pPr>
              <w:widowControl/>
              <w:jc w:val="center"/>
              <w:rPr>
                <w:rFonts w:ascii="宋体" w:hAnsi="宋体" w:cs="宋体"/>
                <w:kern w:val="0"/>
                <w:sz w:val="20"/>
                <w:szCs w:val="20"/>
              </w:rPr>
            </w:pPr>
            <w:r>
              <w:rPr>
                <w:rFonts w:hint="eastAsia" w:ascii="宋体" w:hAnsi="宋体" w:cs="宋体"/>
                <w:kern w:val="0"/>
                <w:sz w:val="20"/>
                <w:szCs w:val="20"/>
              </w:rPr>
              <w:t>38</w:t>
            </w:r>
          </w:p>
        </w:tc>
        <w:tc>
          <w:tcPr>
            <w:tcW w:w="6280" w:type="dxa"/>
            <w:shd w:val="clear" w:color="auto" w:fill="auto"/>
            <w:noWrap/>
            <w:vAlign w:val="center"/>
          </w:tcPr>
          <w:p w14:paraId="5A721018">
            <w:pPr>
              <w:widowControl/>
              <w:ind w:left="420" w:leftChars="200"/>
              <w:jc w:val="left"/>
              <w:rPr>
                <w:rFonts w:ascii="宋体" w:hAnsi="宋体" w:cs="宋体"/>
                <w:kern w:val="0"/>
                <w:sz w:val="20"/>
                <w:szCs w:val="20"/>
              </w:rPr>
            </w:pPr>
            <w:r>
              <w:rPr>
                <w:rFonts w:hint="eastAsia" w:ascii="宋体" w:hAnsi="宋体" w:cs="宋体"/>
                <w:kern w:val="0"/>
                <w:sz w:val="20"/>
                <w:szCs w:val="20"/>
              </w:rPr>
              <w:t>（三）债务重组利得</w:t>
            </w:r>
          </w:p>
        </w:tc>
        <w:tc>
          <w:tcPr>
            <w:tcW w:w="2320" w:type="dxa"/>
            <w:shd w:val="clear" w:color="auto" w:fill="auto"/>
            <w:noWrap/>
            <w:vAlign w:val="center"/>
          </w:tcPr>
          <w:p w14:paraId="51FBE673">
            <w:pPr>
              <w:widowControl/>
              <w:jc w:val="right"/>
              <w:rPr>
                <w:rFonts w:ascii="宋体" w:hAnsi="宋体" w:cs="宋体"/>
                <w:kern w:val="0"/>
                <w:sz w:val="20"/>
                <w:szCs w:val="20"/>
              </w:rPr>
            </w:pPr>
            <w:r>
              <w:rPr>
                <w:rFonts w:hint="eastAsia" w:ascii="宋体" w:hAnsi="宋体" w:cs="宋体"/>
                <w:kern w:val="0"/>
                <w:sz w:val="20"/>
                <w:szCs w:val="20"/>
              </w:rPr>
              <w:t>　</w:t>
            </w:r>
          </w:p>
        </w:tc>
      </w:tr>
      <w:tr w14:paraId="58D24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26FE2AD5">
            <w:pPr>
              <w:widowControl/>
              <w:jc w:val="center"/>
              <w:rPr>
                <w:rFonts w:ascii="宋体" w:hAnsi="宋体" w:cs="宋体"/>
                <w:kern w:val="0"/>
                <w:sz w:val="20"/>
                <w:szCs w:val="20"/>
              </w:rPr>
            </w:pPr>
            <w:r>
              <w:rPr>
                <w:rFonts w:hint="eastAsia" w:ascii="宋体" w:hAnsi="宋体" w:cs="宋体"/>
                <w:kern w:val="0"/>
                <w:sz w:val="20"/>
                <w:szCs w:val="20"/>
              </w:rPr>
              <w:t>39</w:t>
            </w:r>
          </w:p>
        </w:tc>
        <w:tc>
          <w:tcPr>
            <w:tcW w:w="6280" w:type="dxa"/>
            <w:shd w:val="clear" w:color="auto" w:fill="auto"/>
            <w:noWrap/>
            <w:vAlign w:val="center"/>
          </w:tcPr>
          <w:p w14:paraId="5F9CA034">
            <w:pPr>
              <w:widowControl/>
              <w:ind w:left="420" w:leftChars="200"/>
              <w:jc w:val="left"/>
              <w:rPr>
                <w:rFonts w:ascii="宋体" w:hAnsi="宋体" w:cs="宋体"/>
                <w:kern w:val="0"/>
                <w:sz w:val="20"/>
                <w:szCs w:val="20"/>
              </w:rPr>
            </w:pPr>
            <w:r>
              <w:rPr>
                <w:rFonts w:hint="eastAsia" w:ascii="宋体" w:hAnsi="宋体" w:cs="宋体"/>
                <w:kern w:val="0"/>
                <w:sz w:val="20"/>
                <w:szCs w:val="20"/>
              </w:rPr>
              <w:t>（四）政府补助利得</w:t>
            </w:r>
          </w:p>
        </w:tc>
        <w:tc>
          <w:tcPr>
            <w:tcW w:w="2320" w:type="dxa"/>
            <w:shd w:val="clear" w:color="auto" w:fill="auto"/>
            <w:noWrap/>
            <w:vAlign w:val="center"/>
          </w:tcPr>
          <w:p w14:paraId="23547096">
            <w:pPr>
              <w:widowControl/>
              <w:jc w:val="right"/>
              <w:rPr>
                <w:rFonts w:ascii="宋体" w:hAnsi="宋体" w:cs="宋体"/>
                <w:kern w:val="0"/>
                <w:sz w:val="20"/>
                <w:szCs w:val="20"/>
              </w:rPr>
            </w:pPr>
            <w:r>
              <w:rPr>
                <w:rFonts w:hint="eastAsia" w:ascii="宋体" w:hAnsi="宋体" w:cs="宋体"/>
                <w:kern w:val="0"/>
                <w:sz w:val="20"/>
                <w:szCs w:val="20"/>
              </w:rPr>
              <w:t>　</w:t>
            </w:r>
          </w:p>
        </w:tc>
      </w:tr>
      <w:tr w14:paraId="68EC0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70C82532">
            <w:pPr>
              <w:widowControl/>
              <w:jc w:val="center"/>
              <w:rPr>
                <w:rFonts w:ascii="宋体" w:hAnsi="宋体" w:cs="宋体"/>
                <w:kern w:val="0"/>
                <w:sz w:val="20"/>
                <w:szCs w:val="20"/>
              </w:rPr>
            </w:pPr>
            <w:r>
              <w:rPr>
                <w:rFonts w:hint="eastAsia" w:ascii="宋体" w:hAnsi="宋体" w:cs="宋体"/>
                <w:kern w:val="0"/>
                <w:sz w:val="20"/>
                <w:szCs w:val="20"/>
              </w:rPr>
              <w:t>40</w:t>
            </w:r>
          </w:p>
        </w:tc>
        <w:tc>
          <w:tcPr>
            <w:tcW w:w="6280" w:type="dxa"/>
            <w:shd w:val="clear" w:color="auto" w:fill="auto"/>
            <w:noWrap/>
            <w:vAlign w:val="center"/>
          </w:tcPr>
          <w:p w14:paraId="5986A76F">
            <w:pPr>
              <w:widowControl/>
              <w:ind w:left="420" w:leftChars="200"/>
              <w:jc w:val="left"/>
              <w:rPr>
                <w:rFonts w:ascii="宋体" w:hAnsi="宋体" w:cs="宋体"/>
                <w:kern w:val="0"/>
                <w:sz w:val="20"/>
                <w:szCs w:val="20"/>
              </w:rPr>
            </w:pPr>
            <w:r>
              <w:rPr>
                <w:rFonts w:hint="eastAsia" w:ascii="宋体" w:hAnsi="宋体" w:cs="宋体"/>
                <w:kern w:val="0"/>
                <w:sz w:val="20"/>
                <w:szCs w:val="20"/>
              </w:rPr>
              <w:t>（五）盘盈利得</w:t>
            </w:r>
          </w:p>
        </w:tc>
        <w:tc>
          <w:tcPr>
            <w:tcW w:w="2320" w:type="dxa"/>
            <w:shd w:val="clear" w:color="auto" w:fill="auto"/>
            <w:noWrap/>
            <w:vAlign w:val="center"/>
          </w:tcPr>
          <w:p w14:paraId="6DF768F1">
            <w:pPr>
              <w:widowControl/>
              <w:jc w:val="right"/>
              <w:rPr>
                <w:rFonts w:ascii="宋体" w:hAnsi="宋体" w:cs="宋体"/>
                <w:kern w:val="0"/>
                <w:sz w:val="20"/>
                <w:szCs w:val="20"/>
              </w:rPr>
            </w:pPr>
            <w:r>
              <w:rPr>
                <w:rFonts w:hint="eastAsia" w:ascii="宋体" w:hAnsi="宋体" w:cs="宋体"/>
                <w:kern w:val="0"/>
                <w:sz w:val="20"/>
                <w:szCs w:val="20"/>
              </w:rPr>
              <w:t>　</w:t>
            </w:r>
          </w:p>
        </w:tc>
      </w:tr>
      <w:tr w14:paraId="39845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1A40AD2C">
            <w:pPr>
              <w:widowControl/>
              <w:jc w:val="center"/>
              <w:rPr>
                <w:rFonts w:ascii="宋体" w:hAnsi="宋体" w:cs="宋体"/>
                <w:kern w:val="0"/>
                <w:sz w:val="20"/>
                <w:szCs w:val="20"/>
              </w:rPr>
            </w:pPr>
            <w:r>
              <w:rPr>
                <w:rFonts w:hint="eastAsia" w:ascii="宋体" w:hAnsi="宋体" w:cs="宋体"/>
                <w:kern w:val="0"/>
                <w:sz w:val="20"/>
                <w:szCs w:val="20"/>
              </w:rPr>
              <w:t>41</w:t>
            </w:r>
          </w:p>
        </w:tc>
        <w:tc>
          <w:tcPr>
            <w:tcW w:w="6280" w:type="dxa"/>
            <w:shd w:val="clear" w:color="auto" w:fill="auto"/>
            <w:noWrap/>
            <w:vAlign w:val="center"/>
          </w:tcPr>
          <w:p w14:paraId="0884FEA8">
            <w:pPr>
              <w:widowControl/>
              <w:ind w:left="420" w:leftChars="200"/>
              <w:jc w:val="left"/>
              <w:rPr>
                <w:rFonts w:ascii="宋体" w:hAnsi="宋体" w:cs="宋体"/>
                <w:kern w:val="0"/>
                <w:sz w:val="20"/>
                <w:szCs w:val="20"/>
              </w:rPr>
            </w:pPr>
            <w:r>
              <w:rPr>
                <w:rFonts w:hint="eastAsia" w:ascii="宋体" w:hAnsi="宋体" w:cs="宋体"/>
                <w:kern w:val="0"/>
                <w:sz w:val="20"/>
                <w:szCs w:val="20"/>
              </w:rPr>
              <w:t>（六）捐赠利得</w:t>
            </w:r>
          </w:p>
        </w:tc>
        <w:tc>
          <w:tcPr>
            <w:tcW w:w="2320" w:type="dxa"/>
            <w:shd w:val="clear" w:color="auto" w:fill="auto"/>
            <w:noWrap/>
            <w:vAlign w:val="center"/>
          </w:tcPr>
          <w:p w14:paraId="432311B1">
            <w:pPr>
              <w:widowControl/>
              <w:jc w:val="right"/>
              <w:rPr>
                <w:rFonts w:ascii="宋体" w:hAnsi="宋体" w:cs="宋体"/>
                <w:kern w:val="0"/>
                <w:sz w:val="20"/>
                <w:szCs w:val="20"/>
              </w:rPr>
            </w:pPr>
            <w:r>
              <w:rPr>
                <w:rFonts w:hint="eastAsia" w:ascii="宋体" w:hAnsi="宋体" w:cs="宋体"/>
                <w:kern w:val="0"/>
                <w:sz w:val="20"/>
                <w:szCs w:val="20"/>
              </w:rPr>
              <w:t>　</w:t>
            </w:r>
          </w:p>
        </w:tc>
      </w:tr>
      <w:tr w14:paraId="23B45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shd w:val="clear" w:color="auto" w:fill="auto"/>
            <w:noWrap/>
            <w:vAlign w:val="center"/>
          </w:tcPr>
          <w:p w14:paraId="1456B492">
            <w:pPr>
              <w:widowControl/>
              <w:jc w:val="center"/>
              <w:rPr>
                <w:rFonts w:ascii="宋体" w:hAnsi="宋体" w:cs="宋体"/>
                <w:kern w:val="0"/>
                <w:sz w:val="20"/>
                <w:szCs w:val="20"/>
              </w:rPr>
            </w:pPr>
            <w:r>
              <w:rPr>
                <w:rFonts w:hint="eastAsia" w:ascii="宋体" w:hAnsi="宋体" w:cs="宋体"/>
                <w:kern w:val="0"/>
                <w:sz w:val="20"/>
                <w:szCs w:val="20"/>
              </w:rPr>
              <w:t>42</w:t>
            </w:r>
          </w:p>
        </w:tc>
        <w:tc>
          <w:tcPr>
            <w:tcW w:w="6280" w:type="dxa"/>
            <w:shd w:val="clear" w:color="auto" w:fill="auto"/>
            <w:noWrap/>
            <w:vAlign w:val="center"/>
          </w:tcPr>
          <w:p w14:paraId="45DAB8BC">
            <w:pPr>
              <w:widowControl/>
              <w:ind w:left="420" w:leftChars="200"/>
              <w:jc w:val="left"/>
              <w:rPr>
                <w:rFonts w:ascii="宋体" w:hAnsi="宋体" w:cs="宋体"/>
                <w:kern w:val="0"/>
                <w:sz w:val="20"/>
                <w:szCs w:val="20"/>
              </w:rPr>
            </w:pPr>
            <w:r>
              <w:rPr>
                <w:rFonts w:hint="eastAsia" w:ascii="宋体" w:hAnsi="宋体" w:cs="宋体"/>
                <w:kern w:val="0"/>
                <w:sz w:val="20"/>
                <w:szCs w:val="20"/>
              </w:rPr>
              <w:t>（七）其他</w:t>
            </w:r>
          </w:p>
        </w:tc>
        <w:tc>
          <w:tcPr>
            <w:tcW w:w="2320" w:type="dxa"/>
            <w:shd w:val="clear" w:color="auto" w:fill="auto"/>
            <w:noWrap/>
            <w:vAlign w:val="center"/>
          </w:tcPr>
          <w:p w14:paraId="34771D22">
            <w:pPr>
              <w:widowControl/>
              <w:jc w:val="right"/>
              <w:rPr>
                <w:rFonts w:ascii="宋体" w:hAnsi="宋体" w:cs="宋体"/>
                <w:kern w:val="0"/>
                <w:sz w:val="20"/>
                <w:szCs w:val="20"/>
              </w:rPr>
            </w:pPr>
            <w:r>
              <w:rPr>
                <w:rFonts w:hint="eastAsia" w:ascii="宋体" w:hAnsi="宋体" w:cs="宋体"/>
                <w:kern w:val="0"/>
                <w:sz w:val="20"/>
                <w:szCs w:val="20"/>
              </w:rPr>
              <w:t>　</w:t>
            </w:r>
          </w:p>
        </w:tc>
      </w:tr>
    </w:tbl>
    <w:p w14:paraId="5D7BB3CE">
      <w:pPr>
        <w:tabs>
          <w:tab w:val="left" w:pos="1755"/>
        </w:tabs>
        <w:sectPr>
          <w:footerReference r:id="rId3" w:type="first"/>
          <w:pgSz w:w="11906" w:h="16838"/>
          <w:pgMar w:top="1758" w:right="1418" w:bottom="1588" w:left="1418" w:header="851" w:footer="992" w:gutter="113"/>
          <w:cols w:space="425" w:num="1"/>
          <w:titlePg/>
          <w:docGrid w:linePitch="312" w:charSpace="0"/>
        </w:sectPr>
      </w:pPr>
    </w:p>
    <w:p w14:paraId="772A41E7">
      <w:pPr>
        <w:pStyle w:val="10"/>
        <w:spacing w:before="240" w:after="360"/>
        <w:rPr>
          <w:rFonts w:hint="eastAsia" w:asciiTheme="majorEastAsia" w:hAnsiTheme="majorEastAsia" w:eastAsiaTheme="majorEastAsia" w:cstheme="majorEastAsia"/>
          <w:b/>
          <w:bCs/>
          <w:color w:val="000000"/>
          <w:lang w:eastAsia="zh-CN"/>
        </w:rPr>
      </w:pPr>
      <w:bookmarkStart w:id="1" w:name="_Toc499456560"/>
      <w:r>
        <w:rPr>
          <w:rFonts w:hint="eastAsia" w:asciiTheme="majorEastAsia" w:hAnsiTheme="majorEastAsia" w:eastAsiaTheme="majorEastAsia" w:cstheme="majorEastAsia"/>
          <w:b/>
          <w:bCs/>
          <w:color w:val="000000"/>
        </w:rPr>
        <w:t>A101020</w:t>
      </w:r>
      <w:r>
        <w:rPr>
          <w:rFonts w:hint="eastAsia" w:asciiTheme="majorEastAsia" w:hAnsiTheme="majorEastAsia" w:eastAsiaTheme="majorEastAsia" w:cstheme="majorEastAsia"/>
          <w:b/>
          <w:bCs/>
          <w:color w:val="000000"/>
        </w:rPr>
        <w:tab/>
      </w:r>
      <w:r>
        <w:rPr>
          <w:rFonts w:hint="eastAsia" w:asciiTheme="majorEastAsia" w:hAnsiTheme="majorEastAsia" w:eastAsiaTheme="majorEastAsia" w:cstheme="majorEastAsia"/>
          <w:b/>
          <w:bCs/>
          <w:color w:val="000000"/>
        </w:rPr>
        <w:t>《金融企业收入明细表》填报说明</w:t>
      </w:r>
      <w:bookmarkEnd w:id="1"/>
      <w:r>
        <w:rPr>
          <w:rFonts w:hint="eastAsia" w:asciiTheme="majorEastAsia" w:hAnsiTheme="majorEastAsia" w:eastAsiaTheme="majorEastAsia" w:cstheme="majorEastAsia"/>
          <w:b/>
          <w:bCs/>
          <w:color w:val="000000"/>
          <w:lang w:eastAsia="zh-CN"/>
        </w:rPr>
        <w:t>（</w:t>
      </w:r>
      <w:r>
        <w:rPr>
          <w:rFonts w:hint="eastAsia" w:asciiTheme="majorEastAsia" w:hAnsiTheme="majorEastAsia" w:eastAsiaTheme="majorEastAsia" w:cstheme="majorEastAsia"/>
          <w:b/>
          <w:bCs/>
          <w:color w:val="000000"/>
          <w:lang w:val="en-US" w:eastAsia="zh-CN"/>
        </w:rPr>
        <w:t>旧</w:t>
      </w:r>
      <w:r>
        <w:rPr>
          <w:rFonts w:hint="eastAsia" w:asciiTheme="majorEastAsia" w:hAnsiTheme="majorEastAsia" w:eastAsiaTheme="majorEastAsia" w:cstheme="majorEastAsia"/>
          <w:b/>
          <w:bCs/>
          <w:color w:val="000000"/>
          <w:lang w:eastAsia="zh-CN"/>
        </w:rPr>
        <w:t>）</w:t>
      </w:r>
    </w:p>
    <w:p w14:paraId="48C291BD">
      <w:pPr>
        <w:pStyle w:val="9"/>
        <w:rPr>
          <w:color w:val="000000"/>
        </w:rPr>
      </w:pPr>
      <w:r>
        <w:rPr>
          <w:rFonts w:hint="eastAsia"/>
          <w:color w:val="000000"/>
        </w:rPr>
        <w:t>本表适用于执行企业会计准则的金融企业纳税人填报，包括银行（</w:t>
      </w:r>
      <w:r>
        <w:rPr>
          <w:rFonts w:hint="eastAsia"/>
        </w:rPr>
        <w:t>信用社</w:t>
      </w:r>
      <w:r>
        <w:rPr>
          <w:rFonts w:hint="eastAsia"/>
          <w:color w:val="000000"/>
        </w:rPr>
        <w:t>）</w:t>
      </w:r>
      <w:r>
        <w:rPr>
          <w:rFonts w:hint="eastAsia"/>
        </w:rPr>
        <w:t>、</w:t>
      </w:r>
      <w:r>
        <w:rPr>
          <w:rFonts w:hint="eastAsia"/>
          <w:color w:val="000000"/>
        </w:rPr>
        <w:t>保险公司、证券公司等金融企业。金融企业应根据企业会计准则的规定填报“营业收入”“营业外收入”。</w:t>
      </w:r>
    </w:p>
    <w:p w14:paraId="45569704">
      <w:pPr>
        <w:pStyle w:val="11"/>
        <w:ind w:firstLine="482"/>
      </w:pPr>
      <w:r>
        <w:rPr>
          <w:rFonts w:hint="eastAsia"/>
        </w:rPr>
        <w:t>一、有关项目填报说明</w:t>
      </w:r>
    </w:p>
    <w:p w14:paraId="3C322702">
      <w:pPr>
        <w:pStyle w:val="9"/>
        <w:rPr>
          <w:color w:val="000000"/>
        </w:rPr>
      </w:pPr>
      <w:r>
        <w:rPr>
          <w:rFonts w:hint="eastAsia"/>
          <w:color w:val="000000"/>
        </w:rPr>
        <w:t>1.第1行“营业收入”：填报纳税人提供金融商品服务取得的收入。</w:t>
      </w:r>
    </w:p>
    <w:p w14:paraId="6092CD3C">
      <w:pPr>
        <w:pStyle w:val="9"/>
        <w:rPr>
          <w:color w:val="000000"/>
        </w:rPr>
      </w:pPr>
      <w:r>
        <w:rPr>
          <w:rFonts w:hint="eastAsia"/>
          <w:color w:val="000000"/>
        </w:rPr>
        <w:t>2.第2行“银行业务收入”：填报纳税人从事银行业务取得的收入。</w:t>
      </w:r>
    </w:p>
    <w:p w14:paraId="5B4415AD">
      <w:pPr>
        <w:pStyle w:val="9"/>
        <w:rPr>
          <w:color w:val="000000"/>
        </w:rPr>
      </w:pPr>
      <w:r>
        <w:rPr>
          <w:rFonts w:hint="eastAsia"/>
          <w:color w:val="000000"/>
        </w:rPr>
        <w:t>3.第3行“利息收入”：填报银行存贷款业务等取得的各项利息收入，包括发放的各类贷款（银团贷款、贸易融资、贴现和转贴现融出资金、协议透支、信用卡透支、转贷款、垫款等）、与其他金融机构（中央银行、同业等）之间发生资金往来业务、买入返售金融资产等实现的利息收入等。</w:t>
      </w:r>
    </w:p>
    <w:p w14:paraId="618C6696">
      <w:pPr>
        <w:pStyle w:val="9"/>
        <w:rPr>
          <w:color w:val="000000"/>
        </w:rPr>
      </w:pPr>
      <w:r>
        <w:rPr>
          <w:rFonts w:hint="eastAsia"/>
          <w:color w:val="000000"/>
        </w:rPr>
        <w:t>4.第4行“存放同业”：填报纳税人存放于境内、境外银行和非银行金融机构款项取得的利息收入。</w:t>
      </w:r>
    </w:p>
    <w:p w14:paraId="039A9B38">
      <w:pPr>
        <w:pStyle w:val="9"/>
        <w:rPr>
          <w:color w:val="000000"/>
        </w:rPr>
      </w:pPr>
      <w:r>
        <w:rPr>
          <w:rFonts w:hint="eastAsia"/>
          <w:color w:val="000000"/>
        </w:rPr>
        <w:t>5.第5行“存放中央银行”：填报纳税人存放于中国人民银行的各种款项利息收入。</w:t>
      </w:r>
    </w:p>
    <w:p w14:paraId="5079BA9D">
      <w:pPr>
        <w:pStyle w:val="9"/>
        <w:rPr>
          <w:color w:val="000000"/>
        </w:rPr>
      </w:pPr>
      <w:r>
        <w:rPr>
          <w:rFonts w:hint="eastAsia"/>
          <w:color w:val="000000"/>
        </w:rPr>
        <w:t>6.第6行“拆出资金”：填报纳税人拆借给境内、境外其他金融机构款项的利息收入。</w:t>
      </w:r>
    </w:p>
    <w:p w14:paraId="37A0C19B">
      <w:pPr>
        <w:pStyle w:val="9"/>
        <w:rPr>
          <w:color w:val="000000"/>
        </w:rPr>
      </w:pPr>
      <w:r>
        <w:rPr>
          <w:rFonts w:hint="eastAsia"/>
          <w:color w:val="000000"/>
        </w:rPr>
        <w:t>7.第7行“发放贷款及垫资”：填报纳税人发放贷款及垫资的利息收入。</w:t>
      </w:r>
    </w:p>
    <w:p w14:paraId="517AA699">
      <w:pPr>
        <w:pStyle w:val="9"/>
        <w:rPr>
          <w:color w:val="000000"/>
        </w:rPr>
      </w:pPr>
      <w:r>
        <w:rPr>
          <w:rFonts w:hint="eastAsia"/>
          <w:color w:val="000000"/>
        </w:rPr>
        <w:t>8.第8行“买入返售金融资产”：填报纳税人按照返售协议约定先买入再按固定价格返售的票据、证券、贷款等金融资产所融出资金的利息收入。</w:t>
      </w:r>
    </w:p>
    <w:p w14:paraId="26F77DD7">
      <w:pPr>
        <w:pStyle w:val="9"/>
        <w:rPr>
          <w:color w:val="000000"/>
        </w:rPr>
      </w:pPr>
      <w:r>
        <w:rPr>
          <w:rFonts w:hint="eastAsia"/>
          <w:color w:val="000000"/>
        </w:rPr>
        <w:t>9.第9行“其他”：填报纳税人除本表第4行至第8行以外的其他利息收入，包括债券投资利息等收入。</w:t>
      </w:r>
    </w:p>
    <w:p w14:paraId="31916847">
      <w:pPr>
        <w:pStyle w:val="9"/>
        <w:rPr>
          <w:color w:val="000000"/>
        </w:rPr>
      </w:pPr>
      <w:r>
        <w:rPr>
          <w:rFonts w:hint="eastAsia"/>
          <w:color w:val="000000"/>
        </w:rPr>
        <w:t>10.第10行“手续费及佣金收入”：填报银行在提供相关金融业务服务时向客户收取的收入，包括结算与清算手续费、代理业务手续费、信用承诺手续费及佣金、银行卡手续费、顾问和咨询费、托管及其他受托业务佣金等。</w:t>
      </w:r>
    </w:p>
    <w:p w14:paraId="38ADFCEB">
      <w:pPr>
        <w:pStyle w:val="9"/>
        <w:rPr>
          <w:color w:val="000000"/>
        </w:rPr>
      </w:pPr>
      <w:r>
        <w:rPr>
          <w:rFonts w:hint="eastAsia"/>
          <w:color w:val="000000"/>
        </w:rPr>
        <w:t>11.第18行“证券业务收入”：填报纳税人从事证券业务取得的收入。</w:t>
      </w:r>
    </w:p>
    <w:p w14:paraId="0B1C6373">
      <w:pPr>
        <w:pStyle w:val="9"/>
        <w:rPr>
          <w:color w:val="000000"/>
        </w:rPr>
      </w:pPr>
      <w:r>
        <w:rPr>
          <w:rFonts w:hint="eastAsia"/>
          <w:color w:val="000000"/>
        </w:rPr>
        <w:t>12.第19行“证券业务手续费及佣金收入”：填报纳税人承销、代理兑付等业务取得的各项手续费、佣金等收入。</w:t>
      </w:r>
    </w:p>
    <w:p w14:paraId="647BB768">
      <w:pPr>
        <w:pStyle w:val="9"/>
        <w:rPr>
          <w:color w:val="000000"/>
        </w:rPr>
      </w:pPr>
      <w:r>
        <w:rPr>
          <w:rFonts w:hint="eastAsia"/>
          <w:color w:val="000000"/>
        </w:rPr>
        <w:t>13.第26行“其他证券业务收入”：填报纳税人在国家许可的范围内从事的除经纪、自营和承销业务以外的与证券有关的业务收入。</w:t>
      </w:r>
    </w:p>
    <w:p w14:paraId="65D38388">
      <w:pPr>
        <w:pStyle w:val="9"/>
        <w:rPr>
          <w:color w:val="000000"/>
        </w:rPr>
      </w:pPr>
      <w:r>
        <w:rPr>
          <w:rFonts w:hint="eastAsia"/>
          <w:color w:val="000000"/>
        </w:rPr>
        <w:t>14.第27行“已赚保费”：填报纳税人从事保险业务确认的本年实际保费收入。</w:t>
      </w:r>
    </w:p>
    <w:p w14:paraId="2CE9D075">
      <w:pPr>
        <w:pStyle w:val="9"/>
        <w:rPr>
          <w:color w:val="000000"/>
        </w:rPr>
      </w:pPr>
      <w:r>
        <w:rPr>
          <w:rFonts w:hint="eastAsia"/>
          <w:color w:val="000000"/>
        </w:rPr>
        <w:t>15.第28行“保险业务收入”：填报纳税人从事保险业务确认的保费收入。</w:t>
      </w:r>
    </w:p>
    <w:p w14:paraId="2530F61E">
      <w:pPr>
        <w:pStyle w:val="9"/>
        <w:rPr>
          <w:color w:val="000000"/>
        </w:rPr>
      </w:pPr>
      <w:r>
        <w:rPr>
          <w:rFonts w:hint="eastAsia"/>
          <w:color w:val="000000"/>
        </w:rPr>
        <w:t>16.第29行“分保费收入”：填报纳税人（再保险公司或分入公司）从原保险公司或分出公司分入的保费收入。</w:t>
      </w:r>
    </w:p>
    <w:p w14:paraId="7291C76E">
      <w:pPr>
        <w:pStyle w:val="9"/>
        <w:rPr>
          <w:color w:val="000000"/>
        </w:rPr>
      </w:pPr>
      <w:r>
        <w:rPr>
          <w:rFonts w:hint="eastAsia"/>
          <w:color w:val="000000"/>
        </w:rPr>
        <w:t>17.第30行“分出保费”：填报纳税人（再保险分出人）向再保险接受人分出的保费。</w:t>
      </w:r>
    </w:p>
    <w:p w14:paraId="4E53FC94">
      <w:pPr>
        <w:pStyle w:val="9"/>
        <w:rPr>
          <w:color w:val="000000"/>
        </w:rPr>
      </w:pPr>
      <w:r>
        <w:rPr>
          <w:rFonts w:hint="eastAsia"/>
          <w:color w:val="000000"/>
        </w:rPr>
        <w:t>18.第31行“提取未到期责任准备金”：填报纳税人（保险企业）提取的非寿险原保险合同未到期责任准备金和再保险合同分保未到期责任准备金。</w:t>
      </w:r>
    </w:p>
    <w:p w14:paraId="3A1382CD">
      <w:pPr>
        <w:pStyle w:val="9"/>
        <w:rPr>
          <w:color w:val="000000"/>
        </w:rPr>
      </w:pPr>
      <w:r>
        <w:rPr>
          <w:rFonts w:hint="eastAsia"/>
          <w:color w:val="000000"/>
        </w:rPr>
        <w:t>19.第32行“其他金融业务收入”：填报纳税人提供除银行业、保险业、证券业以外的金融商品服务取得的收入。</w:t>
      </w:r>
    </w:p>
    <w:p w14:paraId="1A73F3A7">
      <w:pPr>
        <w:pStyle w:val="9"/>
        <w:rPr>
          <w:color w:val="000000"/>
        </w:rPr>
      </w:pPr>
      <w:r>
        <w:rPr>
          <w:rFonts w:hint="eastAsia"/>
          <w:color w:val="000000"/>
        </w:rPr>
        <w:t>20.第33行“汇兑收益”：填报纳税人发生的外币交易因汇率变动而产生的汇兑损益，</w:t>
      </w:r>
      <w:r>
        <w:rPr>
          <w:rFonts w:hint="eastAsia" w:cs="Arial"/>
        </w:rPr>
        <w:t>损失以“-”号填列</w:t>
      </w:r>
      <w:r>
        <w:rPr>
          <w:rFonts w:hint="eastAsia"/>
          <w:color w:val="000000"/>
        </w:rPr>
        <w:t>。</w:t>
      </w:r>
    </w:p>
    <w:p w14:paraId="10DF7167">
      <w:pPr>
        <w:pStyle w:val="9"/>
        <w:rPr>
          <w:color w:val="000000"/>
        </w:rPr>
      </w:pPr>
      <w:r>
        <w:rPr>
          <w:rFonts w:hint="eastAsia"/>
          <w:color w:val="000000"/>
        </w:rPr>
        <w:t>21.第34行“其他业务收入”：填报纳税人发生的除主营业务活动以外的其他经营活动实现的收入。</w:t>
      </w:r>
    </w:p>
    <w:p w14:paraId="06EE2038">
      <w:pPr>
        <w:pStyle w:val="9"/>
        <w:rPr>
          <w:color w:val="000000"/>
        </w:rPr>
      </w:pPr>
      <w:r>
        <w:rPr>
          <w:rFonts w:hint="eastAsia"/>
          <w:color w:val="000000"/>
        </w:rPr>
        <w:t>22.第35行“营业外收入”：填报纳税人发生的各项营业外收入，主要包括非流动资产处置利得、非货币性资产交换利得、债务重组利得、政府补助利得、盘盈利得、捐赠利得等。</w:t>
      </w:r>
    </w:p>
    <w:p w14:paraId="37A547FB">
      <w:pPr>
        <w:pStyle w:val="9"/>
        <w:rPr>
          <w:color w:val="000000"/>
        </w:rPr>
      </w:pPr>
      <w:r>
        <w:rPr>
          <w:rFonts w:hint="eastAsia"/>
          <w:color w:val="000000"/>
        </w:rPr>
        <w:t>23.第36行“非流动资产处置利得”：填报纳税人处置固定资产、无形资产等取得的净收益。</w:t>
      </w:r>
    </w:p>
    <w:p w14:paraId="0DCAD855">
      <w:pPr>
        <w:pStyle w:val="9"/>
        <w:rPr>
          <w:color w:val="000000"/>
        </w:rPr>
      </w:pPr>
      <w:r>
        <w:rPr>
          <w:rFonts w:hint="eastAsia"/>
          <w:color w:val="000000"/>
        </w:rPr>
        <w:t>24.第37行“非货币资产交换利得”：填报纳税人发生非货币性资产交换应确认的净收益。</w:t>
      </w:r>
    </w:p>
    <w:p w14:paraId="0AE54387">
      <w:pPr>
        <w:pStyle w:val="9"/>
        <w:rPr>
          <w:color w:val="000000"/>
        </w:rPr>
      </w:pPr>
      <w:r>
        <w:rPr>
          <w:rFonts w:hint="eastAsia"/>
          <w:color w:val="000000"/>
        </w:rPr>
        <w:t>25.第38行“债务重组利得”：填报纳税人发生的债务重组业务确认的净收益。</w:t>
      </w:r>
    </w:p>
    <w:p w14:paraId="617B5998">
      <w:pPr>
        <w:pStyle w:val="9"/>
        <w:rPr>
          <w:color w:val="000000"/>
        </w:rPr>
      </w:pPr>
      <w:r>
        <w:rPr>
          <w:rFonts w:hint="eastAsia"/>
          <w:color w:val="000000"/>
        </w:rPr>
        <w:t>26.第39行“政府补助利得”：填报纳税人从政府无偿取得货币性资产或非货币性资产应确认的净收益。</w:t>
      </w:r>
    </w:p>
    <w:p w14:paraId="6A5A2D9B">
      <w:pPr>
        <w:pStyle w:val="9"/>
        <w:rPr>
          <w:color w:val="000000"/>
        </w:rPr>
      </w:pPr>
      <w:r>
        <w:rPr>
          <w:rFonts w:hint="eastAsia"/>
          <w:color w:val="000000"/>
        </w:rPr>
        <w:t>27.第40行“盘盈利得”：填报纳税人在清查财产过程中查明的各种财产盘盈应确认的净收益。</w:t>
      </w:r>
    </w:p>
    <w:p w14:paraId="09E17204">
      <w:pPr>
        <w:pStyle w:val="9"/>
        <w:rPr>
          <w:color w:val="000000"/>
        </w:rPr>
      </w:pPr>
      <w:r>
        <w:rPr>
          <w:rFonts w:hint="eastAsia"/>
          <w:color w:val="000000"/>
        </w:rPr>
        <w:t>28.第41行“捐赠利得”：填报纳税人接受的来自企业、组织或个人无偿给予的货币性资产、非货币性资产捐赠应确认的净收益。</w:t>
      </w:r>
    </w:p>
    <w:p w14:paraId="79773827">
      <w:pPr>
        <w:pStyle w:val="9"/>
        <w:rPr>
          <w:color w:val="000000"/>
        </w:rPr>
      </w:pPr>
      <w:r>
        <w:rPr>
          <w:rFonts w:hint="eastAsia"/>
          <w:color w:val="000000"/>
        </w:rPr>
        <w:t>29.第42行“其他”：填报纳税人取得的上述项目未列举的其他营业外收入，包括执行《企业会计准则》纳税人对按权益法核算的长期股权投资初始投资成本调整确认的收益。</w:t>
      </w:r>
    </w:p>
    <w:p w14:paraId="6E71E089">
      <w:pPr>
        <w:pStyle w:val="11"/>
        <w:ind w:firstLine="482"/>
      </w:pPr>
      <w:r>
        <w:rPr>
          <w:rFonts w:hint="eastAsia"/>
        </w:rPr>
        <w:t>二、表内、表间关系</w:t>
      </w:r>
    </w:p>
    <w:p w14:paraId="02D6F904">
      <w:pPr>
        <w:pStyle w:val="12"/>
      </w:pPr>
      <w:r>
        <w:rPr>
          <w:rFonts w:hint="eastAsia"/>
        </w:rPr>
        <w:t>（一）表内关系</w:t>
      </w:r>
    </w:p>
    <w:p w14:paraId="595318DE">
      <w:pPr>
        <w:pStyle w:val="9"/>
        <w:rPr>
          <w:color w:val="000000"/>
        </w:rPr>
      </w:pPr>
      <w:r>
        <w:rPr>
          <w:rFonts w:hint="eastAsia"/>
          <w:color w:val="000000"/>
        </w:rPr>
        <w:t>1.第1行＝第2+18+27+32+33+34行。</w:t>
      </w:r>
    </w:p>
    <w:p w14:paraId="76C5C971">
      <w:pPr>
        <w:pStyle w:val="9"/>
        <w:rPr>
          <w:color w:val="000000"/>
        </w:rPr>
      </w:pPr>
      <w:r>
        <w:rPr>
          <w:rFonts w:hint="eastAsia"/>
          <w:color w:val="000000"/>
        </w:rPr>
        <w:t>2.第2行＝第3+10行。</w:t>
      </w:r>
    </w:p>
    <w:p w14:paraId="35E3431E">
      <w:pPr>
        <w:pStyle w:val="9"/>
        <w:rPr>
          <w:color w:val="000000"/>
        </w:rPr>
      </w:pPr>
      <w:r>
        <w:rPr>
          <w:rFonts w:hint="eastAsia"/>
          <w:color w:val="000000"/>
        </w:rPr>
        <w:t>3.第3行＝第4+5+</w:t>
      </w:r>
      <w:r>
        <w:rPr>
          <w:color w:val="000000"/>
        </w:rPr>
        <w:t>…</w:t>
      </w:r>
      <w:r>
        <w:rPr>
          <w:rFonts w:hint="eastAsia"/>
          <w:color w:val="000000"/>
        </w:rPr>
        <w:t>+9行。</w:t>
      </w:r>
    </w:p>
    <w:p w14:paraId="12EEDBEC">
      <w:pPr>
        <w:pStyle w:val="9"/>
        <w:rPr>
          <w:color w:val="000000"/>
        </w:rPr>
      </w:pPr>
      <w:r>
        <w:rPr>
          <w:rFonts w:hint="eastAsia"/>
          <w:color w:val="000000"/>
        </w:rPr>
        <w:t>4.第10行＝第11+12+</w:t>
      </w:r>
      <w:r>
        <w:rPr>
          <w:color w:val="000000"/>
        </w:rPr>
        <w:t>…</w:t>
      </w:r>
      <w:r>
        <w:rPr>
          <w:rFonts w:hint="eastAsia"/>
          <w:color w:val="000000"/>
        </w:rPr>
        <w:t>+17行。</w:t>
      </w:r>
    </w:p>
    <w:p w14:paraId="4C0D856F">
      <w:pPr>
        <w:pStyle w:val="9"/>
        <w:rPr>
          <w:color w:val="000000"/>
        </w:rPr>
      </w:pPr>
      <w:r>
        <w:rPr>
          <w:rFonts w:hint="eastAsia"/>
          <w:color w:val="000000"/>
        </w:rPr>
        <w:t>5.第18行＝第19+26行。</w:t>
      </w:r>
    </w:p>
    <w:p w14:paraId="4DFA1BD3">
      <w:pPr>
        <w:pStyle w:val="9"/>
        <w:rPr>
          <w:color w:val="000000"/>
        </w:rPr>
      </w:pPr>
      <w:r>
        <w:rPr>
          <w:rFonts w:hint="eastAsia"/>
          <w:color w:val="000000"/>
        </w:rPr>
        <w:t>6.第19行＝第20+21+</w:t>
      </w:r>
      <w:r>
        <w:rPr>
          <w:color w:val="000000"/>
        </w:rPr>
        <w:t>…</w:t>
      </w:r>
      <w:r>
        <w:rPr>
          <w:rFonts w:hint="eastAsia"/>
          <w:color w:val="000000"/>
        </w:rPr>
        <w:t>+25行。</w:t>
      </w:r>
    </w:p>
    <w:p w14:paraId="426E89FB">
      <w:pPr>
        <w:pStyle w:val="9"/>
        <w:rPr>
          <w:color w:val="000000"/>
        </w:rPr>
      </w:pPr>
      <w:r>
        <w:rPr>
          <w:rFonts w:hint="eastAsia"/>
          <w:color w:val="000000"/>
        </w:rPr>
        <w:t>7.第27行＝第28-30-31行。</w:t>
      </w:r>
    </w:p>
    <w:p w14:paraId="331A1E80">
      <w:pPr>
        <w:pStyle w:val="9"/>
        <w:rPr>
          <w:color w:val="000000"/>
        </w:rPr>
      </w:pPr>
      <w:r>
        <w:rPr>
          <w:rFonts w:hint="eastAsia"/>
          <w:color w:val="000000"/>
        </w:rPr>
        <w:t>8.第35行＝第36+37+</w:t>
      </w:r>
      <w:r>
        <w:rPr>
          <w:color w:val="000000"/>
        </w:rPr>
        <w:t>…</w:t>
      </w:r>
      <w:r>
        <w:rPr>
          <w:rFonts w:hint="eastAsia"/>
          <w:color w:val="000000"/>
        </w:rPr>
        <w:t>+42行。</w:t>
      </w:r>
    </w:p>
    <w:p w14:paraId="60BDA020">
      <w:pPr>
        <w:pStyle w:val="12"/>
      </w:pPr>
      <w:r>
        <w:rPr>
          <w:rFonts w:hint="eastAsia"/>
        </w:rPr>
        <w:t>（二）表间关系</w:t>
      </w:r>
    </w:p>
    <w:p w14:paraId="694EC58A">
      <w:pPr>
        <w:pStyle w:val="9"/>
        <w:rPr>
          <w:color w:val="000000"/>
        </w:rPr>
      </w:pPr>
      <w:r>
        <w:rPr>
          <w:rFonts w:hint="eastAsia"/>
          <w:color w:val="000000"/>
        </w:rPr>
        <w:t>1.第1行＝表A100000第1行。</w:t>
      </w:r>
    </w:p>
    <w:p w14:paraId="28E04855">
      <w:pPr>
        <w:pStyle w:val="9"/>
        <w:rPr>
          <w:rFonts w:hint="eastAsia"/>
          <w:color w:val="000000"/>
          <w:lang w:eastAsia="zh-CN"/>
        </w:rPr>
      </w:pPr>
      <w:r>
        <w:rPr>
          <w:rFonts w:hint="eastAsia"/>
          <w:color w:val="000000"/>
        </w:rPr>
        <w:t>2.第35行＝表A100000第11行</w:t>
      </w:r>
      <w:r>
        <w:rPr>
          <w:rFonts w:hint="eastAsia"/>
          <w:color w:val="000000"/>
          <w:lang w:eastAsia="zh-CN"/>
        </w:rPr>
        <w:t>。</w:t>
      </w:r>
    </w:p>
    <w:p w14:paraId="6B437F25">
      <w:pPr>
        <w:pStyle w:val="9"/>
        <w:rPr>
          <w:rFonts w:hint="eastAsia"/>
          <w:color w:val="000000"/>
          <w:lang w:eastAsia="zh-CN"/>
        </w:rPr>
      </w:pPr>
    </w:p>
    <w:p w14:paraId="0E42823C">
      <w:pPr>
        <w:pStyle w:val="9"/>
        <w:rPr>
          <w:rFonts w:hint="eastAsia"/>
          <w:color w:val="000000"/>
          <w:lang w:eastAsia="zh-CN"/>
        </w:rPr>
      </w:pPr>
    </w:p>
    <w:p w14:paraId="5BC51780">
      <w:pPr>
        <w:pStyle w:val="9"/>
        <w:rPr>
          <w:rFonts w:hint="eastAsia"/>
          <w:color w:val="000000"/>
          <w:lang w:eastAsia="zh-CN"/>
        </w:rPr>
      </w:pPr>
    </w:p>
    <w:p w14:paraId="785A02B5">
      <w:pPr>
        <w:pStyle w:val="13"/>
        <w:tabs>
          <w:tab w:val="clear" w:pos="4200"/>
        </w:tabs>
        <w:spacing w:before="120" w:after="120"/>
        <w:rPr>
          <w:rFonts w:hint="eastAsia" w:ascii="宋体" w:hAnsi="宋体" w:eastAsia="宋体" w:cs="宋体"/>
          <w:color w:val="auto"/>
          <w:lang w:eastAsia="zh-CN"/>
        </w:rPr>
      </w:pPr>
      <w:r>
        <w:rPr>
          <w:color w:val="auto"/>
        </w:rPr>
        <w:tab/>
      </w:r>
      <w:bookmarkStart w:id="2" w:name="_Toc392340134"/>
      <w:bookmarkStart w:id="3" w:name="_Toc176972047"/>
      <w:bookmarkStart w:id="4" w:name="_Toc1064974216"/>
      <w:r>
        <w:rPr>
          <w:rFonts w:hint="eastAsia" w:ascii="宋体" w:hAnsi="宋体" w:eastAsia="宋体" w:cs="宋体"/>
          <w:color w:val="auto"/>
        </w:rPr>
        <w:t>A101020</w:t>
      </w:r>
      <w:r>
        <w:rPr>
          <w:rFonts w:hint="eastAsia" w:ascii="宋体" w:hAnsi="宋体" w:eastAsia="宋体" w:cs="宋体"/>
          <w:color w:val="auto"/>
        </w:rPr>
        <w:tab/>
      </w:r>
      <w:r>
        <w:rPr>
          <w:rFonts w:hint="eastAsia" w:ascii="宋体" w:hAnsi="宋体" w:eastAsia="宋体" w:cs="宋体"/>
          <w:color w:val="auto"/>
        </w:rPr>
        <w:t>《金融企业收入明细表》填报说明</w:t>
      </w:r>
      <w:bookmarkEnd w:id="2"/>
      <w:bookmarkEnd w:id="3"/>
      <w:bookmarkEnd w:id="4"/>
      <w:r>
        <w:rPr>
          <w:rFonts w:hint="eastAsia" w:ascii="宋体" w:hAnsi="宋体" w:eastAsia="宋体" w:cs="宋体"/>
          <w:color w:val="auto"/>
          <w:lang w:eastAsia="zh-CN"/>
        </w:rPr>
        <w:t>（</w:t>
      </w:r>
      <w:r>
        <w:rPr>
          <w:rFonts w:hint="eastAsia" w:ascii="宋体" w:hAnsi="宋体" w:eastAsia="宋体" w:cs="宋体"/>
          <w:color w:val="auto"/>
          <w:lang w:val="en-US" w:eastAsia="zh-CN"/>
        </w:rPr>
        <w:t>2024新</w:t>
      </w:r>
      <w:bookmarkStart w:id="5" w:name="_GoBack"/>
      <w:bookmarkEnd w:id="5"/>
      <w:r>
        <w:rPr>
          <w:rFonts w:hint="eastAsia" w:ascii="宋体" w:hAnsi="宋体" w:eastAsia="宋体" w:cs="宋体"/>
          <w:color w:val="auto"/>
          <w:lang w:eastAsia="zh-CN"/>
        </w:rPr>
        <w:t>）</w:t>
      </w:r>
    </w:p>
    <w:p w14:paraId="3AF48A12">
      <w:pPr>
        <w:pStyle w:val="9"/>
        <w:ind w:firstLine="480"/>
        <w:rPr>
          <w:rFonts w:hint="eastAsia"/>
          <w:color w:val="auto"/>
        </w:rPr>
      </w:pPr>
      <w:r>
        <w:rPr>
          <w:rFonts w:hint="eastAsia"/>
          <w:color w:val="auto"/>
        </w:rPr>
        <w:t>本表适用于执行企业会计准则的金融企业纳税人填报，包括银行（信用社）、保险公司、证券公司等金融企业。金融企业应根据企业会计准则的规定填报“营业收入”“营业外收入”。</w:t>
      </w:r>
    </w:p>
    <w:p w14:paraId="38810EAC">
      <w:pPr>
        <w:pStyle w:val="11"/>
        <w:ind w:firstLine="482"/>
        <w:rPr>
          <w:rFonts w:hint="eastAsia"/>
          <w:color w:val="auto"/>
        </w:rPr>
      </w:pPr>
      <w:r>
        <w:rPr>
          <w:rFonts w:hint="eastAsia"/>
          <w:color w:val="auto"/>
        </w:rPr>
        <w:t>一、有关项目填报说明</w:t>
      </w:r>
    </w:p>
    <w:p w14:paraId="6108909E">
      <w:pPr>
        <w:pStyle w:val="9"/>
        <w:ind w:firstLine="480"/>
        <w:rPr>
          <w:rFonts w:hint="eastAsia"/>
          <w:color w:val="auto"/>
        </w:rPr>
      </w:pPr>
      <w:r>
        <w:rPr>
          <w:rFonts w:hint="eastAsia"/>
          <w:color w:val="auto"/>
        </w:rPr>
        <w:t>1.第1行“营业收入”：填报纳税人提供金融商品服务取得的收入。</w:t>
      </w:r>
    </w:p>
    <w:p w14:paraId="51722F94">
      <w:pPr>
        <w:pStyle w:val="9"/>
        <w:ind w:firstLine="480"/>
        <w:rPr>
          <w:rFonts w:hint="eastAsia"/>
          <w:color w:val="auto"/>
        </w:rPr>
      </w:pPr>
      <w:r>
        <w:rPr>
          <w:rFonts w:hint="eastAsia"/>
          <w:color w:val="auto"/>
        </w:rPr>
        <w:t>2.第2行“银行业务收入”：填报纳税人从事银行业务取得的收入。</w:t>
      </w:r>
    </w:p>
    <w:p w14:paraId="23A0EE70">
      <w:pPr>
        <w:pStyle w:val="9"/>
        <w:ind w:firstLine="480"/>
        <w:rPr>
          <w:rFonts w:hint="eastAsia"/>
          <w:color w:val="auto"/>
        </w:rPr>
      </w:pPr>
      <w:r>
        <w:rPr>
          <w:rFonts w:hint="eastAsia"/>
          <w:color w:val="auto"/>
        </w:rPr>
        <w:t>3.第3行“利息收入”：填报银行存贷款业务等取得的各项利息收入，包括发放的各类贷款（银团贷款、贸易融资、贴现和转贴现融出资金、协议透支、信用卡透支、转贷款、垫款等）、与其他金融机构（中央银行、同业等）之间发生资金往来业务、买入返售金融资产等实现的利息收入等。</w:t>
      </w:r>
    </w:p>
    <w:p w14:paraId="6E299FC5">
      <w:pPr>
        <w:pStyle w:val="9"/>
        <w:ind w:firstLine="480"/>
        <w:rPr>
          <w:rFonts w:hint="eastAsia"/>
          <w:color w:val="auto"/>
        </w:rPr>
      </w:pPr>
      <w:r>
        <w:rPr>
          <w:rFonts w:hint="eastAsia"/>
          <w:color w:val="auto"/>
        </w:rPr>
        <w:t>4.第4行“存放同业”：填报纳税人存放于境内、境外银行和非银行金融机构款项取得的利息收入。</w:t>
      </w:r>
    </w:p>
    <w:p w14:paraId="46DE303D">
      <w:pPr>
        <w:pStyle w:val="9"/>
        <w:ind w:firstLine="480"/>
        <w:rPr>
          <w:rFonts w:hint="eastAsia"/>
          <w:color w:val="auto"/>
        </w:rPr>
      </w:pPr>
      <w:r>
        <w:rPr>
          <w:rFonts w:hint="eastAsia"/>
          <w:color w:val="auto"/>
        </w:rPr>
        <w:t>5.第5行“存放中央银行”：填报纳税人存放于中国人民银行的各种款项利息收入。</w:t>
      </w:r>
    </w:p>
    <w:p w14:paraId="363761B4">
      <w:pPr>
        <w:pStyle w:val="9"/>
        <w:ind w:firstLine="480"/>
        <w:rPr>
          <w:rFonts w:hint="eastAsia"/>
          <w:color w:val="auto"/>
        </w:rPr>
      </w:pPr>
      <w:r>
        <w:rPr>
          <w:rFonts w:hint="eastAsia"/>
          <w:color w:val="auto"/>
        </w:rPr>
        <w:t>6.第6行“拆出资金”：填报纳税人拆借给境内、境外其他金融机构款项的利息收入。</w:t>
      </w:r>
    </w:p>
    <w:p w14:paraId="79EF90A6">
      <w:pPr>
        <w:pStyle w:val="9"/>
        <w:ind w:firstLine="480"/>
        <w:rPr>
          <w:rFonts w:hint="eastAsia"/>
          <w:color w:val="auto"/>
        </w:rPr>
      </w:pPr>
      <w:r>
        <w:rPr>
          <w:rFonts w:hint="eastAsia"/>
          <w:color w:val="auto"/>
        </w:rPr>
        <w:t>7.第7行“发放贷款及垫资”：填报纳税人发放贷款及垫资的利息收入。</w:t>
      </w:r>
    </w:p>
    <w:p w14:paraId="79DF3DAF">
      <w:pPr>
        <w:pStyle w:val="9"/>
        <w:ind w:firstLine="480"/>
        <w:rPr>
          <w:rFonts w:hint="eastAsia"/>
          <w:color w:val="auto"/>
        </w:rPr>
      </w:pPr>
      <w:r>
        <w:rPr>
          <w:rFonts w:hint="eastAsia"/>
          <w:color w:val="auto"/>
        </w:rPr>
        <w:t>8.第8行“买入返售金融资产”：填报纳税人按照返售协议约定先买入再按固定价格返售的票据、证券、贷款等金融资产所融出资金的利息收入。</w:t>
      </w:r>
    </w:p>
    <w:p w14:paraId="42A398F6">
      <w:pPr>
        <w:pStyle w:val="9"/>
        <w:ind w:firstLine="480"/>
        <w:rPr>
          <w:rFonts w:hint="eastAsia"/>
          <w:color w:val="auto"/>
        </w:rPr>
      </w:pPr>
      <w:r>
        <w:rPr>
          <w:rFonts w:hint="eastAsia"/>
          <w:color w:val="auto"/>
        </w:rPr>
        <w:t>9.第9行“其他”：填报纳税人除本表第4行至第8行以外的其他利息收入，包括债券投资利息等收入。</w:t>
      </w:r>
    </w:p>
    <w:p w14:paraId="44E74973">
      <w:pPr>
        <w:pStyle w:val="9"/>
        <w:ind w:firstLine="480"/>
        <w:rPr>
          <w:rFonts w:hint="eastAsia"/>
          <w:color w:val="auto"/>
        </w:rPr>
      </w:pPr>
      <w:r>
        <w:rPr>
          <w:rFonts w:hint="eastAsia"/>
          <w:color w:val="auto"/>
        </w:rPr>
        <w:t>10.第10行“手续费及佣金收入”：填报银行在提供相关金融业务服务时向客户收取的收入，包括结算与清算手续费、代理业务手续费、信用承诺手续费及佣金、银行卡手续费、顾问和咨询费、托管及其他受托业务佣金等。</w:t>
      </w:r>
    </w:p>
    <w:p w14:paraId="09CB2906">
      <w:pPr>
        <w:pStyle w:val="9"/>
        <w:ind w:firstLine="480"/>
        <w:rPr>
          <w:rFonts w:hint="eastAsia"/>
          <w:color w:val="auto"/>
        </w:rPr>
      </w:pPr>
      <w:r>
        <w:rPr>
          <w:rFonts w:hint="eastAsia"/>
          <w:color w:val="auto"/>
        </w:rPr>
        <w:t>11.第18行“证券业务收入”：填报纳税人从事证券业务取得的收入。</w:t>
      </w:r>
    </w:p>
    <w:p w14:paraId="29F247A4">
      <w:pPr>
        <w:pStyle w:val="9"/>
        <w:ind w:firstLine="480"/>
        <w:rPr>
          <w:rFonts w:hint="eastAsia"/>
          <w:color w:val="auto"/>
        </w:rPr>
      </w:pPr>
      <w:r>
        <w:rPr>
          <w:rFonts w:hint="eastAsia"/>
          <w:color w:val="auto"/>
        </w:rPr>
        <w:t>12.第19行“证券业务手续费及佣金收入”：填报纳税人承销、代理兑付等业务取得的各项手续费、佣金等收入。</w:t>
      </w:r>
    </w:p>
    <w:p w14:paraId="258F6912">
      <w:pPr>
        <w:pStyle w:val="9"/>
        <w:ind w:firstLine="480"/>
        <w:rPr>
          <w:rFonts w:hint="eastAsia"/>
          <w:color w:val="auto"/>
        </w:rPr>
      </w:pPr>
      <w:r>
        <w:rPr>
          <w:rFonts w:hint="eastAsia"/>
          <w:color w:val="auto"/>
        </w:rPr>
        <w:t>13.第26行“其他证券业务收入”：填报纳税人在国家许可的范围内从事的除经纪、自营和承销业务以外的与证券有关的业务收入。</w:t>
      </w:r>
    </w:p>
    <w:p w14:paraId="549E8FA8">
      <w:pPr>
        <w:pStyle w:val="9"/>
        <w:ind w:firstLine="480"/>
        <w:rPr>
          <w:rFonts w:hint="eastAsia"/>
          <w:color w:val="auto"/>
        </w:rPr>
      </w:pPr>
      <w:r>
        <w:rPr>
          <w:rFonts w:hint="eastAsia"/>
          <w:color w:val="auto"/>
        </w:rPr>
        <w:t>14.第27行“已赚保费”：填报纳税人从事保险业务确认的本年实际保费收入。</w:t>
      </w:r>
    </w:p>
    <w:p w14:paraId="59430F49">
      <w:pPr>
        <w:pStyle w:val="9"/>
        <w:ind w:firstLine="480"/>
        <w:rPr>
          <w:rFonts w:hint="eastAsia"/>
          <w:color w:val="auto"/>
        </w:rPr>
      </w:pPr>
      <w:r>
        <w:rPr>
          <w:rFonts w:hint="eastAsia"/>
          <w:color w:val="auto"/>
        </w:rPr>
        <w:t>15.第28行“保险业务收入”：填报纳税人从事保险业务确认的保费收入。</w:t>
      </w:r>
    </w:p>
    <w:p w14:paraId="5CBADC2A">
      <w:pPr>
        <w:pStyle w:val="9"/>
        <w:ind w:firstLine="480"/>
        <w:rPr>
          <w:rFonts w:hint="eastAsia"/>
          <w:color w:val="auto"/>
        </w:rPr>
      </w:pPr>
      <w:r>
        <w:rPr>
          <w:rFonts w:hint="eastAsia"/>
          <w:color w:val="auto"/>
        </w:rPr>
        <w:t>16.第29行“分保费收入”：填报纳税人（再保险公司或分入公司）从原保险公司或分出公司分入的保费收入。</w:t>
      </w:r>
    </w:p>
    <w:p w14:paraId="74401FAE">
      <w:pPr>
        <w:pStyle w:val="9"/>
        <w:ind w:firstLine="480"/>
        <w:rPr>
          <w:rFonts w:hint="eastAsia"/>
          <w:color w:val="auto"/>
        </w:rPr>
      </w:pPr>
      <w:r>
        <w:rPr>
          <w:rFonts w:hint="eastAsia"/>
          <w:color w:val="auto"/>
        </w:rPr>
        <w:t>17.第30行“分出保费”：填报纳税人（再保险分出人）向再保险接受人分出的保费。</w:t>
      </w:r>
    </w:p>
    <w:p w14:paraId="2B97F2B7">
      <w:pPr>
        <w:pStyle w:val="9"/>
        <w:ind w:firstLine="480"/>
        <w:rPr>
          <w:rFonts w:hint="eastAsia"/>
          <w:color w:val="auto"/>
        </w:rPr>
      </w:pPr>
      <w:r>
        <w:rPr>
          <w:rFonts w:hint="eastAsia"/>
          <w:color w:val="auto"/>
        </w:rPr>
        <w:t>18.第31行“提取未到期责任准备金”：填报纳税人（保险企业）提取的非寿险原保险合同未到期责任准备金和再保险合同分保未到期责任准备金。</w:t>
      </w:r>
    </w:p>
    <w:p w14:paraId="3D53A852">
      <w:pPr>
        <w:pStyle w:val="9"/>
        <w:ind w:firstLine="480"/>
        <w:rPr>
          <w:rFonts w:hint="eastAsia"/>
          <w:color w:val="auto"/>
        </w:rPr>
      </w:pPr>
      <w:r>
        <w:rPr>
          <w:rFonts w:hint="eastAsia"/>
          <w:color w:val="auto"/>
        </w:rPr>
        <w:t>19.第32行“其他金融业务收入”：填报纳税人提供除银行业、保险业、证券业以外的金融商品服务取得的收入。</w:t>
      </w:r>
    </w:p>
    <w:p w14:paraId="5E8B0C93">
      <w:pPr>
        <w:pStyle w:val="9"/>
        <w:ind w:firstLine="480"/>
        <w:rPr>
          <w:rFonts w:hint="eastAsia"/>
          <w:color w:val="auto"/>
        </w:rPr>
      </w:pPr>
      <w:r>
        <w:rPr>
          <w:rFonts w:hint="eastAsia"/>
          <w:color w:val="auto"/>
        </w:rPr>
        <w:t>20.第33行“汇兑收益”：填报纳税人发生的外币交易因汇率变动而产生的汇兑损益，</w:t>
      </w:r>
      <w:r>
        <w:rPr>
          <w:rFonts w:hint="eastAsia" w:cs="Arial"/>
          <w:color w:val="auto"/>
        </w:rPr>
        <w:t>损失以</w:t>
      </w:r>
      <w:r>
        <w:rPr>
          <w:rFonts w:hint="eastAsia" w:cs="Arial"/>
          <w:color w:val="auto"/>
          <w:lang w:eastAsia="zh-CN"/>
        </w:rPr>
        <w:t>“－”</w:t>
      </w:r>
      <w:r>
        <w:rPr>
          <w:rFonts w:hint="eastAsia" w:cs="Arial"/>
          <w:color w:val="auto"/>
        </w:rPr>
        <w:t>号填列</w:t>
      </w:r>
      <w:r>
        <w:rPr>
          <w:rFonts w:hint="eastAsia"/>
          <w:color w:val="auto"/>
        </w:rPr>
        <w:t>。</w:t>
      </w:r>
    </w:p>
    <w:p w14:paraId="4C7B342F">
      <w:pPr>
        <w:pStyle w:val="9"/>
        <w:ind w:firstLine="480"/>
        <w:rPr>
          <w:rFonts w:hint="eastAsia"/>
          <w:color w:val="auto"/>
        </w:rPr>
      </w:pPr>
      <w:r>
        <w:rPr>
          <w:rFonts w:hint="eastAsia"/>
          <w:color w:val="auto"/>
        </w:rPr>
        <w:t>21.第34行“其他业务收入”：填报纳税人发生的除主营业务活动以外的其他经营活动实现的收入。</w:t>
      </w:r>
    </w:p>
    <w:p w14:paraId="2AF7EC21">
      <w:pPr>
        <w:pStyle w:val="9"/>
        <w:ind w:firstLine="480"/>
        <w:rPr>
          <w:rFonts w:hint="eastAsia"/>
          <w:color w:val="auto"/>
          <w:highlight w:val="none"/>
        </w:rPr>
      </w:pPr>
      <w:r>
        <w:rPr>
          <w:rFonts w:hint="eastAsia"/>
          <w:color w:val="auto"/>
        </w:rPr>
        <w:t>22.第35行“营业外收入”：</w:t>
      </w:r>
      <w:r>
        <w:rPr>
          <w:rFonts w:hint="eastAsia"/>
          <w:color w:val="auto"/>
          <w:highlight w:val="none"/>
        </w:rPr>
        <w:t>填报纳税人发生的除营业利润以外的</w:t>
      </w:r>
      <w:r>
        <w:rPr>
          <w:rFonts w:hint="eastAsia"/>
          <w:color w:val="auto"/>
          <w:highlight w:val="none"/>
          <w:lang w:eastAsia="zh-CN"/>
        </w:rPr>
        <w:t>收益，</w:t>
      </w:r>
      <w:r>
        <w:rPr>
          <w:rFonts w:hint="eastAsia"/>
          <w:color w:val="auto"/>
          <w:highlight w:val="none"/>
        </w:rPr>
        <w:t>主要包括非流动资产处置利得、非货币性资产交换利得、债务重组利得、政府补助利得、盘盈利得、捐赠利得等。</w:t>
      </w:r>
    </w:p>
    <w:p w14:paraId="014162AA">
      <w:pPr>
        <w:pStyle w:val="9"/>
        <w:ind w:firstLine="480"/>
        <w:rPr>
          <w:rFonts w:hint="eastAsia"/>
          <w:color w:val="auto"/>
        </w:rPr>
      </w:pPr>
      <w:r>
        <w:rPr>
          <w:rFonts w:hint="eastAsia"/>
          <w:color w:val="auto"/>
        </w:rPr>
        <w:t>23.第36行“非流动资产处置利得”：填报纳税人处置固定资产、无形资产等取得的净收益。</w:t>
      </w:r>
    </w:p>
    <w:p w14:paraId="5FD2A6C3">
      <w:pPr>
        <w:pStyle w:val="9"/>
        <w:ind w:firstLine="480"/>
        <w:rPr>
          <w:rFonts w:hint="eastAsia"/>
          <w:color w:val="auto"/>
        </w:rPr>
      </w:pPr>
      <w:r>
        <w:rPr>
          <w:rFonts w:hint="eastAsia"/>
          <w:color w:val="auto"/>
        </w:rPr>
        <w:t>24.第37行“非货币资产交换利得”：填报纳税人发生非货币性资产交换应确认的净收益。</w:t>
      </w:r>
    </w:p>
    <w:p w14:paraId="1F5C64A8">
      <w:pPr>
        <w:pStyle w:val="9"/>
        <w:ind w:firstLine="480"/>
        <w:rPr>
          <w:rFonts w:hint="eastAsia"/>
          <w:color w:val="auto"/>
        </w:rPr>
      </w:pPr>
      <w:r>
        <w:rPr>
          <w:rFonts w:hint="eastAsia"/>
          <w:color w:val="auto"/>
        </w:rPr>
        <w:t>25.第38行“债务重组利得”：填报纳税人发生的债务重组业务确认的净收益。</w:t>
      </w:r>
    </w:p>
    <w:p w14:paraId="68B0EA8E">
      <w:pPr>
        <w:pStyle w:val="9"/>
        <w:ind w:firstLine="480"/>
        <w:rPr>
          <w:rFonts w:hint="eastAsia"/>
          <w:color w:val="auto"/>
        </w:rPr>
      </w:pPr>
      <w:r>
        <w:rPr>
          <w:rFonts w:hint="eastAsia"/>
          <w:color w:val="auto"/>
        </w:rPr>
        <w:t>26.第39行“政府补助利得”：填报纳税人从政府无偿取得货币性资产或非货币性资产应确认的净收益。</w:t>
      </w:r>
    </w:p>
    <w:p w14:paraId="1D46B080">
      <w:pPr>
        <w:pStyle w:val="9"/>
        <w:ind w:firstLine="480"/>
        <w:rPr>
          <w:rFonts w:hint="eastAsia"/>
          <w:color w:val="auto"/>
        </w:rPr>
      </w:pPr>
      <w:r>
        <w:rPr>
          <w:rFonts w:hint="eastAsia"/>
          <w:color w:val="auto"/>
        </w:rPr>
        <w:t>27.第40行“盘盈利得”：填报纳税人在清查财产过程中查明的各种财产盘盈应确认的净收益。</w:t>
      </w:r>
    </w:p>
    <w:p w14:paraId="2C808AD7">
      <w:pPr>
        <w:pStyle w:val="9"/>
        <w:ind w:firstLine="480"/>
        <w:rPr>
          <w:rFonts w:hint="eastAsia"/>
          <w:color w:val="auto"/>
        </w:rPr>
      </w:pPr>
      <w:r>
        <w:rPr>
          <w:rFonts w:hint="eastAsia"/>
          <w:color w:val="auto"/>
        </w:rPr>
        <w:t>28.第41行“捐赠利得”：填报纳税人接受的来自企业、组织或个人无偿给予的货币性资产、非货币性资产捐赠应确认的净收益。</w:t>
      </w:r>
    </w:p>
    <w:p w14:paraId="30511EE1">
      <w:pPr>
        <w:pStyle w:val="9"/>
        <w:ind w:firstLine="480"/>
        <w:rPr>
          <w:rFonts w:hint="eastAsia"/>
          <w:color w:val="auto"/>
        </w:rPr>
      </w:pPr>
      <w:r>
        <w:rPr>
          <w:rFonts w:hint="eastAsia"/>
          <w:color w:val="auto"/>
        </w:rPr>
        <w:t>29.第42行“其他”：填报纳税人取得的上述项目未列举的其他营业外收入，包括执行《企业会计准则》纳税人对按权益法核算的长期股权投资初始投资成本调整确认的收益。</w:t>
      </w:r>
    </w:p>
    <w:p w14:paraId="097565EA">
      <w:pPr>
        <w:pStyle w:val="11"/>
        <w:ind w:firstLine="482"/>
        <w:rPr>
          <w:rFonts w:hint="eastAsia"/>
          <w:color w:val="auto"/>
        </w:rPr>
      </w:pPr>
      <w:r>
        <w:rPr>
          <w:rFonts w:hint="eastAsia"/>
          <w:color w:val="auto"/>
        </w:rPr>
        <w:t>二、表内、表间关系</w:t>
      </w:r>
    </w:p>
    <w:p w14:paraId="636925AD">
      <w:pPr>
        <w:pStyle w:val="12"/>
        <w:rPr>
          <w:rFonts w:hint="eastAsia"/>
          <w:color w:val="auto"/>
        </w:rPr>
      </w:pPr>
      <w:r>
        <w:rPr>
          <w:rFonts w:hint="eastAsia"/>
          <w:color w:val="auto"/>
        </w:rPr>
        <w:t>（一）表内关系</w:t>
      </w:r>
    </w:p>
    <w:p w14:paraId="0902F2A3">
      <w:pPr>
        <w:pStyle w:val="9"/>
        <w:ind w:firstLine="480"/>
        <w:rPr>
          <w:rFonts w:hint="eastAsia"/>
          <w:color w:val="auto"/>
        </w:rPr>
      </w:pPr>
      <w:r>
        <w:rPr>
          <w:rFonts w:hint="eastAsia"/>
          <w:color w:val="auto"/>
        </w:rPr>
        <w:t>1.第1行＝第2＋18＋27＋32＋33＋34行。</w:t>
      </w:r>
    </w:p>
    <w:p w14:paraId="7C5C5968">
      <w:pPr>
        <w:pStyle w:val="9"/>
        <w:ind w:firstLine="480"/>
        <w:rPr>
          <w:rFonts w:hint="eastAsia"/>
          <w:color w:val="auto"/>
        </w:rPr>
      </w:pPr>
      <w:r>
        <w:rPr>
          <w:rFonts w:hint="eastAsia"/>
          <w:color w:val="auto"/>
        </w:rPr>
        <w:t>2.第2行＝第3＋10行。</w:t>
      </w:r>
    </w:p>
    <w:p w14:paraId="22DABF4D">
      <w:pPr>
        <w:pStyle w:val="9"/>
        <w:ind w:firstLine="480"/>
        <w:rPr>
          <w:rFonts w:hint="eastAsia"/>
          <w:color w:val="auto"/>
        </w:rPr>
      </w:pPr>
      <w:r>
        <w:rPr>
          <w:rFonts w:hint="eastAsia"/>
          <w:color w:val="auto"/>
        </w:rPr>
        <w:t>3.第3行＝第4＋5＋</w:t>
      </w:r>
      <w:r>
        <w:rPr>
          <w:color w:val="auto"/>
        </w:rPr>
        <w:t>…</w:t>
      </w:r>
      <w:r>
        <w:rPr>
          <w:rFonts w:hint="eastAsia"/>
          <w:color w:val="auto"/>
        </w:rPr>
        <w:t>＋9行。</w:t>
      </w:r>
    </w:p>
    <w:p w14:paraId="6F9EBED3">
      <w:pPr>
        <w:pStyle w:val="9"/>
        <w:ind w:firstLine="480"/>
        <w:rPr>
          <w:rFonts w:hint="eastAsia"/>
          <w:color w:val="auto"/>
        </w:rPr>
      </w:pPr>
      <w:r>
        <w:rPr>
          <w:rFonts w:hint="eastAsia"/>
          <w:color w:val="auto"/>
        </w:rPr>
        <w:t>4.第10行＝第11＋12＋</w:t>
      </w:r>
      <w:r>
        <w:rPr>
          <w:color w:val="auto"/>
        </w:rPr>
        <w:t>…</w:t>
      </w:r>
      <w:r>
        <w:rPr>
          <w:rFonts w:hint="eastAsia"/>
          <w:color w:val="auto"/>
        </w:rPr>
        <w:t>＋17行。</w:t>
      </w:r>
    </w:p>
    <w:p w14:paraId="7E58E4DE">
      <w:pPr>
        <w:pStyle w:val="9"/>
        <w:ind w:firstLine="480"/>
        <w:rPr>
          <w:rFonts w:hint="eastAsia"/>
          <w:color w:val="auto"/>
        </w:rPr>
      </w:pPr>
      <w:r>
        <w:rPr>
          <w:rFonts w:hint="eastAsia"/>
          <w:color w:val="auto"/>
        </w:rPr>
        <w:t>5.第18行＝第19＋26行。</w:t>
      </w:r>
    </w:p>
    <w:p w14:paraId="7E8295BC">
      <w:pPr>
        <w:pStyle w:val="9"/>
        <w:ind w:firstLine="480"/>
        <w:rPr>
          <w:rFonts w:hint="eastAsia"/>
          <w:color w:val="auto"/>
        </w:rPr>
      </w:pPr>
      <w:r>
        <w:rPr>
          <w:rFonts w:hint="eastAsia"/>
          <w:color w:val="auto"/>
        </w:rPr>
        <w:t>6.第19行＝第20＋21＋</w:t>
      </w:r>
      <w:r>
        <w:rPr>
          <w:color w:val="auto"/>
        </w:rPr>
        <w:t>…</w:t>
      </w:r>
      <w:r>
        <w:rPr>
          <w:rFonts w:hint="eastAsia"/>
          <w:color w:val="auto"/>
        </w:rPr>
        <w:t>＋25行。</w:t>
      </w:r>
    </w:p>
    <w:p w14:paraId="1974FA66">
      <w:pPr>
        <w:pStyle w:val="9"/>
        <w:ind w:firstLine="480"/>
        <w:rPr>
          <w:rFonts w:hint="eastAsia"/>
          <w:color w:val="auto"/>
        </w:rPr>
      </w:pPr>
      <w:r>
        <w:rPr>
          <w:rFonts w:hint="eastAsia"/>
          <w:color w:val="auto"/>
        </w:rPr>
        <w:t>7.第27行＝第28－30－31行。</w:t>
      </w:r>
    </w:p>
    <w:p w14:paraId="1A9B950E">
      <w:pPr>
        <w:pStyle w:val="9"/>
        <w:ind w:firstLine="480"/>
        <w:rPr>
          <w:rFonts w:hint="eastAsia"/>
          <w:color w:val="auto"/>
        </w:rPr>
      </w:pPr>
      <w:r>
        <w:rPr>
          <w:rFonts w:hint="eastAsia"/>
          <w:color w:val="auto"/>
        </w:rPr>
        <w:t>8.第35行＝第36＋37＋</w:t>
      </w:r>
      <w:r>
        <w:rPr>
          <w:color w:val="auto"/>
        </w:rPr>
        <w:t>…</w:t>
      </w:r>
      <w:r>
        <w:rPr>
          <w:rFonts w:hint="eastAsia"/>
          <w:color w:val="auto"/>
        </w:rPr>
        <w:t>＋42行。</w:t>
      </w:r>
    </w:p>
    <w:p w14:paraId="5A930550">
      <w:pPr>
        <w:pStyle w:val="12"/>
        <w:rPr>
          <w:rFonts w:hint="eastAsia"/>
          <w:color w:val="auto"/>
        </w:rPr>
      </w:pPr>
      <w:r>
        <w:rPr>
          <w:rFonts w:hint="eastAsia"/>
          <w:color w:val="auto"/>
        </w:rPr>
        <w:t>（二）表间关系</w:t>
      </w:r>
    </w:p>
    <w:p w14:paraId="31457826">
      <w:pPr>
        <w:pStyle w:val="9"/>
        <w:ind w:firstLine="480"/>
        <w:rPr>
          <w:rFonts w:hint="eastAsia"/>
          <w:color w:val="auto"/>
        </w:rPr>
      </w:pPr>
      <w:r>
        <w:rPr>
          <w:rFonts w:hint="eastAsia"/>
          <w:color w:val="auto"/>
        </w:rPr>
        <w:t>1.第1行＝表A100000第1行。</w:t>
      </w:r>
    </w:p>
    <w:p w14:paraId="3C5BAE39">
      <w:pPr>
        <w:pStyle w:val="9"/>
        <w:ind w:firstLine="480"/>
        <w:rPr>
          <w:rFonts w:hint="eastAsia"/>
          <w:color w:val="auto"/>
          <w:highlight w:val="none"/>
        </w:rPr>
        <w:sectPr>
          <w:pgSz w:w="11906" w:h="16838"/>
          <w:pgMar w:top="1440" w:right="1800" w:bottom="1440" w:left="1800" w:header="851" w:footer="992" w:gutter="113"/>
          <w:pgNumType w:fmt="decimal"/>
          <w:cols w:space="720" w:num="1"/>
          <w:docGrid w:linePitch="312" w:charSpace="0"/>
        </w:sectPr>
      </w:pPr>
      <w:r>
        <w:rPr>
          <w:rFonts w:hint="eastAsia"/>
          <w:color w:val="auto"/>
        </w:rPr>
        <w:t>2.第35行＝表A100000</w:t>
      </w:r>
      <w:r>
        <w:rPr>
          <w:rFonts w:hint="eastAsia"/>
          <w:color w:val="auto"/>
          <w:highlight w:val="none"/>
        </w:rPr>
        <w:t>第16行。</w:t>
      </w:r>
    </w:p>
    <w:p w14:paraId="5B6695C2">
      <w:pPr>
        <w:pStyle w:val="9"/>
        <w:rPr>
          <w:rFonts w:hint="eastAsia"/>
          <w:color w:val="000000"/>
          <w:lang w:eastAsia="zh-CN"/>
        </w:rPr>
        <w:sectPr>
          <w:pgSz w:w="11906" w:h="16838"/>
          <w:pgMar w:top="1985" w:right="1418" w:bottom="1928" w:left="1418" w:header="851" w:footer="992" w:gutter="113"/>
          <w:cols w:space="425" w:num="1"/>
          <w:docGrid w:linePitch="312" w:charSpace="0"/>
        </w:sectPr>
      </w:pPr>
    </w:p>
    <w:p w14:paraId="375BE3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ESI宋体-GB2312">
    <w:altName w:val="宋体"/>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FD24">
    <w:pPr>
      <w:pStyle w:val="4"/>
      <w:jc w:val="right"/>
      <w:rPr>
        <w:rFonts w:ascii="Arial" w:hAnsi="Arial" w:eastAsia="等线 Light" w:cs="Arial"/>
        <w:sz w:val="21"/>
        <w:szCs w:val="21"/>
        <w:lang w:val="zh-CN"/>
      </w:rPr>
    </w:pPr>
    <w:r>
      <w:rPr>
        <w:rFonts w:ascii="Arial" w:hAnsi="Arial" w:eastAsia="等线 Light" w:cs="Arial"/>
        <w:kern w:val="0"/>
        <w:sz w:val="21"/>
        <w:szCs w:val="21"/>
        <w:lang w:val="zh-CN"/>
      </w:rPr>
      <w:t xml:space="preserve">- </w:t>
    </w:r>
    <w:r>
      <w:rPr>
        <w:rFonts w:ascii="Arial" w:hAnsi="Arial" w:eastAsia="等线 Light" w:cs="Arial"/>
        <w:kern w:val="0"/>
        <w:sz w:val="21"/>
        <w:szCs w:val="21"/>
        <w:lang w:val="zh-CN"/>
      </w:rPr>
      <w:fldChar w:fldCharType="begin"/>
    </w:r>
    <w:r>
      <w:rPr>
        <w:rFonts w:ascii="Arial" w:hAnsi="Arial" w:eastAsia="等线 Light" w:cs="Arial"/>
        <w:kern w:val="0"/>
        <w:sz w:val="21"/>
        <w:szCs w:val="21"/>
        <w:lang w:val="zh-CN"/>
      </w:rPr>
      <w:instrText xml:space="preserve"> PAGE </w:instrText>
    </w:r>
    <w:r>
      <w:rPr>
        <w:rFonts w:ascii="Arial" w:hAnsi="Arial" w:eastAsia="等线 Light" w:cs="Arial"/>
        <w:kern w:val="0"/>
        <w:sz w:val="21"/>
        <w:szCs w:val="21"/>
        <w:lang w:val="zh-CN"/>
      </w:rPr>
      <w:fldChar w:fldCharType="separate"/>
    </w:r>
    <w:r>
      <w:rPr>
        <w:rFonts w:ascii="Arial" w:hAnsi="Arial" w:eastAsia="等线 Light" w:cs="Arial"/>
        <w:kern w:val="0"/>
        <w:sz w:val="21"/>
        <w:szCs w:val="21"/>
        <w:lang w:val="zh-CN"/>
      </w:rPr>
      <w:t>45</w:t>
    </w:r>
    <w:r>
      <w:rPr>
        <w:rFonts w:ascii="Arial" w:hAnsi="Arial" w:eastAsia="等线 Light" w:cs="Arial"/>
        <w:kern w:val="0"/>
        <w:sz w:val="21"/>
        <w:szCs w:val="21"/>
        <w:lang w:val="zh-CN"/>
      </w:rPr>
      <w:fldChar w:fldCharType="end"/>
    </w:r>
    <w:r>
      <w:rPr>
        <w:rFonts w:ascii="Arial" w:hAnsi="Arial" w:eastAsia="等线 Light" w:cs="Arial"/>
        <w:kern w:val="0"/>
        <w:sz w:val="21"/>
        <w:szCs w:val="21"/>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3A2E545C"/>
    <w:rsid w:val="3A2E545C"/>
    <w:rsid w:val="4CFC467E"/>
    <w:rsid w:val="6F185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8">
    <w:name w:val="SBBT1"/>
    <w:basedOn w:val="9"/>
    <w:qFormat/>
    <w:uiPriority w:val="0"/>
    <w:pPr>
      <w:tabs>
        <w:tab w:val="center" w:pos="4678"/>
      </w:tabs>
      <w:ind w:firstLine="0" w:firstLineChars="0"/>
      <w:jc w:val="left"/>
      <w:outlineLvl w:val="0"/>
    </w:pPr>
    <w:rPr>
      <w:rFonts w:cs="宋体"/>
      <w:b/>
      <w:bCs/>
      <w:kern w:val="0"/>
      <w:sz w:val="28"/>
      <w:szCs w:val="28"/>
    </w:rPr>
  </w:style>
  <w:style w:type="paragraph" w:customStyle="1" w:styleId="9">
    <w:name w:val="SBBZW"/>
    <w:basedOn w:val="1"/>
    <w:qFormat/>
    <w:uiPriority w:val="0"/>
    <w:pPr>
      <w:spacing w:line="360" w:lineRule="auto"/>
      <w:ind w:firstLine="480" w:firstLineChars="200"/>
    </w:pPr>
    <w:rPr>
      <w:rFonts w:ascii="宋体" w:hAnsi="宋体"/>
      <w:sz w:val="24"/>
    </w:rPr>
  </w:style>
  <w:style w:type="paragraph" w:customStyle="1" w:styleId="10">
    <w:name w:val="SBBL1"/>
    <w:basedOn w:val="3"/>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1">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2">
    <w:name w:val="SBBL3"/>
    <w:basedOn w:val="1"/>
    <w:qFormat/>
    <w:uiPriority w:val="0"/>
    <w:pPr>
      <w:spacing w:line="360" w:lineRule="auto"/>
      <w:ind w:firstLine="480" w:firstLineChars="200"/>
      <w:outlineLvl w:val="2"/>
    </w:pPr>
    <w:rPr>
      <w:rFonts w:ascii="黑体" w:hAnsi="黑体" w:eastAsia="黑体" w:cs="Calibri"/>
      <w:sz w:val="24"/>
    </w:rPr>
  </w:style>
  <w:style w:type="paragraph" w:customStyle="1" w:styleId="13">
    <w:name w:val="说明1级"/>
    <w:basedOn w:val="1"/>
    <w:qFormat/>
    <w:uiPriority w:val="0"/>
    <w:pPr>
      <w:tabs>
        <w:tab w:val="center" w:pos="4200"/>
      </w:tabs>
      <w:spacing w:before="50" w:beforeLines="50" w:after="50" w:afterLines="50" w:line="360" w:lineRule="auto"/>
      <w:jc w:val="center"/>
      <w:outlineLvl w:val="0"/>
    </w:pPr>
    <w:rPr>
      <w:rFonts w:ascii="Times New Roman" w:hAnsi="Times New Roman" w:eastAsia="CESI宋体-GB2312" w:cs="Times New Roman"/>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2138</Words>
  <Characters>2435</Characters>
  <Lines>0</Lines>
  <Paragraphs>0</Paragraphs>
  <TotalTime>0</TotalTime>
  <ScaleCrop>false</ScaleCrop>
  <LinksUpToDate>false</LinksUpToDate>
  <CharactersWithSpaces>2479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2024-08-10T11:26:00Z</dcterms:created>
  <dc:creator>www.shuiwu114.com</dc:creator>
  <cp:lastModifiedBy>www.shuiwu114.com</cp:lastModifiedBy>
  <dcterms:modified xsi:type="dcterms:W3CDTF">2025-01-21T15:00:42Z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4F4969A7989E4C689A51562D8BA25869_11</vt:lpwstr>
  </property>
  <property fmtid="{D5CDD505-2E9C-101B-9397-08002B2CF9AE}" pid="4" name="KSOTemplateDocerSaveRecord">
    <vt:lpwstr>eyJoZGlkIjoiMDY0MGNkMTU3OWQzNDA3NjVmODJmMjIxMTIxOTBhNjUiLCJ1c2VySWQiOiIxMDczMTkyOTA3In0=</vt:lpwstr>
  </property>
</Properties>
</file>