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A7FA5">
      <w:pPr>
        <w:pStyle w:val="7"/>
      </w:pPr>
      <w:bookmarkStart w:id="0" w:name="_Toc499456561"/>
      <w:r>
        <w:rPr>
          <w:rFonts w:hint="eastAsia"/>
        </w:rPr>
        <w:t>A102010</w:t>
      </w:r>
      <w:r>
        <w:tab/>
      </w:r>
      <w:r>
        <w:rPr>
          <w:rFonts w:hint="eastAsia"/>
        </w:rPr>
        <w:t>一般企业成本支出明细表</w:t>
      </w:r>
      <w:bookmarkEnd w:id="0"/>
    </w:p>
    <w:tbl>
      <w:tblPr>
        <w:tblStyle w:val="4"/>
        <w:tblW w:w="96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6760"/>
        <w:gridCol w:w="2300"/>
      </w:tblGrid>
      <w:tr w14:paraId="762AE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B7E0FD9">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noWrap/>
            <w:vAlign w:val="center"/>
          </w:tcPr>
          <w:p w14:paraId="7FECC1D4">
            <w:pPr>
              <w:widowControl/>
              <w:jc w:val="center"/>
              <w:rPr>
                <w:rFonts w:ascii="宋体" w:hAnsi="宋体" w:cs="宋体"/>
                <w:kern w:val="0"/>
                <w:sz w:val="20"/>
                <w:szCs w:val="20"/>
              </w:rPr>
            </w:pPr>
            <w:r>
              <w:rPr>
                <w:rFonts w:hint="eastAsia" w:ascii="宋体" w:hAnsi="宋体" w:cs="宋体"/>
                <w:spacing w:val="500"/>
                <w:kern w:val="0"/>
                <w:sz w:val="20"/>
                <w:szCs w:val="20"/>
                <w:fitText w:val="1400" w:id="1978802409"/>
              </w:rPr>
              <w:t>项</w:t>
            </w:r>
            <w:r>
              <w:rPr>
                <w:rFonts w:hint="eastAsia" w:ascii="宋体" w:hAnsi="宋体" w:cs="宋体"/>
                <w:spacing w:val="0"/>
                <w:kern w:val="0"/>
                <w:sz w:val="20"/>
                <w:szCs w:val="20"/>
                <w:fitText w:val="1400" w:id="1978802409"/>
              </w:rPr>
              <w:t>目</w:t>
            </w:r>
          </w:p>
        </w:tc>
        <w:tc>
          <w:tcPr>
            <w:tcW w:w="2300" w:type="dxa"/>
            <w:shd w:val="clear" w:color="auto" w:fill="auto"/>
            <w:noWrap/>
            <w:vAlign w:val="center"/>
          </w:tcPr>
          <w:p w14:paraId="5D86160F">
            <w:pPr>
              <w:widowControl/>
              <w:jc w:val="center"/>
              <w:rPr>
                <w:rFonts w:ascii="宋体" w:hAnsi="宋体" w:cs="宋体"/>
                <w:kern w:val="0"/>
                <w:sz w:val="20"/>
                <w:szCs w:val="20"/>
              </w:rPr>
            </w:pPr>
            <w:r>
              <w:rPr>
                <w:rFonts w:hint="eastAsia" w:ascii="宋体" w:hAnsi="宋体" w:cs="宋体"/>
                <w:spacing w:val="300"/>
                <w:kern w:val="0"/>
                <w:sz w:val="20"/>
                <w:szCs w:val="20"/>
                <w:fitText w:val="1000" w:id="2017010716"/>
              </w:rPr>
              <w:t>金</w:t>
            </w:r>
            <w:r>
              <w:rPr>
                <w:rFonts w:hint="eastAsia" w:ascii="宋体" w:hAnsi="宋体" w:cs="宋体"/>
                <w:spacing w:val="0"/>
                <w:kern w:val="0"/>
                <w:sz w:val="20"/>
                <w:szCs w:val="20"/>
                <w:fitText w:val="1000" w:id="2017010716"/>
              </w:rPr>
              <w:t>额</w:t>
            </w:r>
          </w:p>
        </w:tc>
      </w:tr>
      <w:tr w14:paraId="25F12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EEF97CA">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noWrap/>
            <w:vAlign w:val="center"/>
          </w:tcPr>
          <w:p w14:paraId="4EC0A6B8">
            <w:pPr>
              <w:widowControl/>
              <w:jc w:val="left"/>
              <w:rPr>
                <w:rFonts w:ascii="宋体" w:hAnsi="宋体" w:cs="宋体"/>
                <w:kern w:val="0"/>
                <w:sz w:val="20"/>
                <w:szCs w:val="20"/>
              </w:rPr>
            </w:pPr>
            <w:r>
              <w:rPr>
                <w:rFonts w:hint="eastAsia" w:ascii="宋体" w:hAnsi="宋体" w:cs="宋体"/>
                <w:kern w:val="0"/>
                <w:sz w:val="20"/>
                <w:szCs w:val="20"/>
              </w:rPr>
              <w:t>一、营业成本（2+9）</w:t>
            </w:r>
          </w:p>
        </w:tc>
        <w:tc>
          <w:tcPr>
            <w:tcW w:w="2300" w:type="dxa"/>
            <w:shd w:val="clear" w:color="auto" w:fill="auto"/>
            <w:noWrap/>
            <w:vAlign w:val="center"/>
          </w:tcPr>
          <w:p w14:paraId="665D9986">
            <w:pPr>
              <w:widowControl/>
              <w:jc w:val="right"/>
              <w:rPr>
                <w:rFonts w:ascii="宋体" w:hAnsi="宋体" w:cs="宋体"/>
                <w:kern w:val="0"/>
                <w:sz w:val="20"/>
                <w:szCs w:val="20"/>
              </w:rPr>
            </w:pPr>
          </w:p>
        </w:tc>
      </w:tr>
      <w:tr w14:paraId="4CBA2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0B0B9E89">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noWrap/>
            <w:vAlign w:val="center"/>
          </w:tcPr>
          <w:p w14:paraId="27C6DB2C">
            <w:pPr>
              <w:widowControl/>
              <w:jc w:val="left"/>
              <w:rPr>
                <w:rFonts w:ascii="宋体" w:hAnsi="宋体" w:cs="宋体"/>
                <w:kern w:val="0"/>
                <w:sz w:val="20"/>
                <w:szCs w:val="20"/>
              </w:rPr>
            </w:pPr>
            <w:r>
              <w:rPr>
                <w:rFonts w:hint="eastAsia" w:ascii="宋体" w:hAnsi="宋体" w:cs="宋体"/>
                <w:kern w:val="0"/>
                <w:sz w:val="20"/>
                <w:szCs w:val="20"/>
              </w:rPr>
              <w:t xml:space="preserve">   （一）主营业务成本（3+5+6+7+8）</w:t>
            </w:r>
          </w:p>
        </w:tc>
        <w:tc>
          <w:tcPr>
            <w:tcW w:w="2300" w:type="dxa"/>
            <w:shd w:val="clear" w:color="auto" w:fill="auto"/>
            <w:noWrap/>
            <w:vAlign w:val="center"/>
          </w:tcPr>
          <w:p w14:paraId="479B2944">
            <w:pPr>
              <w:widowControl/>
              <w:jc w:val="right"/>
              <w:rPr>
                <w:rFonts w:ascii="宋体" w:hAnsi="宋体" w:cs="宋体"/>
                <w:kern w:val="0"/>
                <w:sz w:val="20"/>
                <w:szCs w:val="20"/>
              </w:rPr>
            </w:pPr>
          </w:p>
        </w:tc>
      </w:tr>
      <w:tr w14:paraId="27854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BE846EC">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noWrap/>
            <w:vAlign w:val="center"/>
          </w:tcPr>
          <w:p w14:paraId="5F1C0419">
            <w:pPr>
              <w:widowControl/>
              <w:jc w:val="left"/>
              <w:rPr>
                <w:rFonts w:ascii="宋体" w:hAnsi="宋体" w:cs="宋体"/>
                <w:kern w:val="0"/>
                <w:sz w:val="20"/>
                <w:szCs w:val="20"/>
              </w:rPr>
            </w:pPr>
            <w:r>
              <w:rPr>
                <w:rFonts w:hint="eastAsia" w:ascii="宋体" w:hAnsi="宋体" w:cs="宋体"/>
                <w:kern w:val="0"/>
                <w:sz w:val="20"/>
                <w:szCs w:val="20"/>
              </w:rPr>
              <w:t xml:space="preserve">       1.销售商品成本</w:t>
            </w:r>
          </w:p>
        </w:tc>
        <w:tc>
          <w:tcPr>
            <w:tcW w:w="2300" w:type="dxa"/>
            <w:shd w:val="clear" w:color="auto" w:fill="auto"/>
            <w:noWrap/>
            <w:vAlign w:val="center"/>
          </w:tcPr>
          <w:p w14:paraId="18CC022D">
            <w:pPr>
              <w:widowControl/>
              <w:jc w:val="right"/>
              <w:rPr>
                <w:rFonts w:ascii="宋体" w:hAnsi="宋体" w:cs="宋体"/>
                <w:kern w:val="0"/>
                <w:sz w:val="20"/>
                <w:szCs w:val="20"/>
              </w:rPr>
            </w:pPr>
          </w:p>
        </w:tc>
      </w:tr>
      <w:tr w14:paraId="2C97D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1C2DF13F">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noWrap/>
            <w:vAlign w:val="center"/>
          </w:tcPr>
          <w:p w14:paraId="5AFF6221">
            <w:pPr>
              <w:widowControl/>
              <w:jc w:val="left"/>
              <w:rPr>
                <w:rFonts w:ascii="宋体" w:hAnsi="宋体" w:cs="宋体"/>
                <w:kern w:val="0"/>
                <w:sz w:val="20"/>
                <w:szCs w:val="20"/>
              </w:rPr>
            </w:pPr>
            <w:r>
              <w:rPr>
                <w:rFonts w:hint="eastAsia" w:ascii="宋体" w:hAnsi="宋体" w:cs="宋体"/>
                <w:kern w:val="0"/>
                <w:sz w:val="20"/>
                <w:szCs w:val="20"/>
              </w:rPr>
              <w:t xml:space="preserve">         其中:非货币性资产交换成本</w:t>
            </w:r>
          </w:p>
        </w:tc>
        <w:tc>
          <w:tcPr>
            <w:tcW w:w="2300" w:type="dxa"/>
            <w:shd w:val="clear" w:color="auto" w:fill="auto"/>
            <w:noWrap/>
            <w:vAlign w:val="center"/>
          </w:tcPr>
          <w:p w14:paraId="0AF19F8C">
            <w:pPr>
              <w:widowControl/>
              <w:jc w:val="right"/>
              <w:rPr>
                <w:rFonts w:ascii="宋体" w:hAnsi="宋体" w:cs="宋体"/>
                <w:kern w:val="0"/>
                <w:sz w:val="20"/>
                <w:szCs w:val="20"/>
              </w:rPr>
            </w:pPr>
          </w:p>
        </w:tc>
      </w:tr>
      <w:tr w14:paraId="34A43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7012800F">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noWrap/>
            <w:vAlign w:val="center"/>
          </w:tcPr>
          <w:p w14:paraId="32ADF066">
            <w:pPr>
              <w:widowControl/>
              <w:jc w:val="left"/>
              <w:rPr>
                <w:rFonts w:ascii="宋体" w:hAnsi="宋体" w:cs="宋体"/>
                <w:kern w:val="0"/>
                <w:sz w:val="20"/>
                <w:szCs w:val="20"/>
              </w:rPr>
            </w:pPr>
            <w:r>
              <w:rPr>
                <w:rFonts w:hint="eastAsia" w:ascii="宋体" w:hAnsi="宋体" w:cs="宋体"/>
                <w:kern w:val="0"/>
                <w:sz w:val="20"/>
                <w:szCs w:val="20"/>
              </w:rPr>
              <w:t xml:space="preserve">       2.提供劳务成本</w:t>
            </w:r>
          </w:p>
        </w:tc>
        <w:tc>
          <w:tcPr>
            <w:tcW w:w="2300" w:type="dxa"/>
            <w:shd w:val="clear" w:color="auto" w:fill="auto"/>
            <w:noWrap/>
            <w:vAlign w:val="center"/>
          </w:tcPr>
          <w:p w14:paraId="302A92A5">
            <w:pPr>
              <w:widowControl/>
              <w:jc w:val="right"/>
              <w:rPr>
                <w:rFonts w:ascii="宋体" w:hAnsi="宋体" w:cs="宋体"/>
                <w:kern w:val="0"/>
                <w:sz w:val="20"/>
                <w:szCs w:val="20"/>
              </w:rPr>
            </w:pPr>
          </w:p>
        </w:tc>
      </w:tr>
      <w:tr w14:paraId="5047C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74BDA6F">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noWrap/>
            <w:vAlign w:val="center"/>
          </w:tcPr>
          <w:p w14:paraId="70CC378A">
            <w:pPr>
              <w:widowControl/>
              <w:jc w:val="left"/>
              <w:rPr>
                <w:rFonts w:ascii="宋体" w:hAnsi="宋体" w:cs="宋体"/>
                <w:kern w:val="0"/>
                <w:sz w:val="20"/>
                <w:szCs w:val="20"/>
              </w:rPr>
            </w:pPr>
            <w:r>
              <w:rPr>
                <w:rFonts w:hint="eastAsia" w:ascii="宋体" w:hAnsi="宋体" w:cs="宋体"/>
                <w:kern w:val="0"/>
                <w:sz w:val="20"/>
                <w:szCs w:val="20"/>
              </w:rPr>
              <w:t xml:space="preserve">       3.建造合同成本</w:t>
            </w:r>
          </w:p>
        </w:tc>
        <w:tc>
          <w:tcPr>
            <w:tcW w:w="2300" w:type="dxa"/>
            <w:shd w:val="clear" w:color="auto" w:fill="auto"/>
            <w:noWrap/>
            <w:vAlign w:val="center"/>
          </w:tcPr>
          <w:p w14:paraId="53996564">
            <w:pPr>
              <w:widowControl/>
              <w:jc w:val="right"/>
              <w:rPr>
                <w:rFonts w:ascii="宋体" w:hAnsi="宋体" w:cs="宋体"/>
                <w:kern w:val="0"/>
                <w:sz w:val="20"/>
                <w:szCs w:val="20"/>
              </w:rPr>
            </w:pPr>
          </w:p>
        </w:tc>
      </w:tr>
      <w:tr w14:paraId="4C215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035E366C">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noWrap/>
            <w:vAlign w:val="center"/>
          </w:tcPr>
          <w:p w14:paraId="30CDB4F2">
            <w:pPr>
              <w:widowControl/>
              <w:jc w:val="left"/>
              <w:rPr>
                <w:rFonts w:ascii="宋体" w:hAnsi="宋体" w:cs="宋体"/>
                <w:kern w:val="0"/>
                <w:sz w:val="20"/>
                <w:szCs w:val="20"/>
              </w:rPr>
            </w:pPr>
            <w:r>
              <w:rPr>
                <w:rFonts w:hint="eastAsia" w:ascii="宋体" w:hAnsi="宋体" w:cs="宋体"/>
                <w:kern w:val="0"/>
                <w:sz w:val="20"/>
                <w:szCs w:val="20"/>
              </w:rPr>
              <w:t xml:space="preserve">       4.让渡资产使用权成本</w:t>
            </w:r>
          </w:p>
        </w:tc>
        <w:tc>
          <w:tcPr>
            <w:tcW w:w="2300" w:type="dxa"/>
            <w:shd w:val="clear" w:color="auto" w:fill="auto"/>
            <w:noWrap/>
            <w:vAlign w:val="center"/>
          </w:tcPr>
          <w:p w14:paraId="11A25B9E">
            <w:pPr>
              <w:widowControl/>
              <w:jc w:val="right"/>
              <w:rPr>
                <w:rFonts w:ascii="宋体" w:hAnsi="宋体" w:cs="宋体"/>
                <w:kern w:val="0"/>
                <w:sz w:val="20"/>
                <w:szCs w:val="20"/>
              </w:rPr>
            </w:pPr>
          </w:p>
        </w:tc>
      </w:tr>
      <w:tr w14:paraId="61F62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6A338B04">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noWrap/>
            <w:vAlign w:val="center"/>
          </w:tcPr>
          <w:p w14:paraId="56F757E2">
            <w:pPr>
              <w:widowControl/>
              <w:jc w:val="left"/>
              <w:rPr>
                <w:rFonts w:ascii="宋体" w:hAnsi="宋体" w:cs="宋体"/>
                <w:kern w:val="0"/>
                <w:sz w:val="20"/>
                <w:szCs w:val="20"/>
              </w:rPr>
            </w:pPr>
            <w:r>
              <w:rPr>
                <w:rFonts w:hint="eastAsia" w:ascii="宋体" w:hAnsi="宋体" w:cs="宋体"/>
                <w:kern w:val="0"/>
                <w:sz w:val="20"/>
                <w:szCs w:val="20"/>
              </w:rPr>
              <w:t xml:space="preserve">       5.其他</w:t>
            </w:r>
          </w:p>
        </w:tc>
        <w:tc>
          <w:tcPr>
            <w:tcW w:w="2300" w:type="dxa"/>
            <w:shd w:val="clear" w:color="auto" w:fill="auto"/>
            <w:noWrap/>
            <w:vAlign w:val="center"/>
          </w:tcPr>
          <w:p w14:paraId="497BA471">
            <w:pPr>
              <w:widowControl/>
              <w:jc w:val="right"/>
              <w:rPr>
                <w:rFonts w:ascii="宋体" w:hAnsi="宋体" w:cs="宋体"/>
                <w:kern w:val="0"/>
                <w:sz w:val="20"/>
                <w:szCs w:val="20"/>
              </w:rPr>
            </w:pPr>
          </w:p>
        </w:tc>
      </w:tr>
      <w:tr w14:paraId="690DB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38B36523">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noWrap/>
            <w:vAlign w:val="center"/>
          </w:tcPr>
          <w:p w14:paraId="55C737BA">
            <w:pPr>
              <w:widowControl/>
              <w:jc w:val="left"/>
              <w:rPr>
                <w:rFonts w:ascii="宋体" w:hAnsi="宋体" w:cs="宋体"/>
                <w:kern w:val="0"/>
                <w:sz w:val="20"/>
                <w:szCs w:val="20"/>
              </w:rPr>
            </w:pPr>
            <w:r>
              <w:rPr>
                <w:rFonts w:hint="eastAsia" w:ascii="宋体" w:hAnsi="宋体" w:cs="宋体"/>
                <w:kern w:val="0"/>
                <w:sz w:val="20"/>
                <w:szCs w:val="20"/>
              </w:rPr>
              <w:t xml:space="preserve">   （二）其他业务成本（10+12+13+14+15）</w:t>
            </w:r>
          </w:p>
        </w:tc>
        <w:tc>
          <w:tcPr>
            <w:tcW w:w="2300" w:type="dxa"/>
            <w:shd w:val="clear" w:color="auto" w:fill="auto"/>
            <w:noWrap/>
            <w:vAlign w:val="center"/>
          </w:tcPr>
          <w:p w14:paraId="6945BB6A">
            <w:pPr>
              <w:widowControl/>
              <w:jc w:val="right"/>
              <w:rPr>
                <w:rFonts w:ascii="宋体" w:hAnsi="宋体" w:cs="宋体"/>
                <w:kern w:val="0"/>
                <w:sz w:val="20"/>
                <w:szCs w:val="20"/>
              </w:rPr>
            </w:pPr>
          </w:p>
        </w:tc>
      </w:tr>
      <w:tr w14:paraId="35AC9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5DE4863">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noWrap/>
            <w:vAlign w:val="center"/>
          </w:tcPr>
          <w:p w14:paraId="2640BF20">
            <w:pPr>
              <w:widowControl/>
              <w:jc w:val="left"/>
              <w:rPr>
                <w:rFonts w:ascii="宋体" w:hAnsi="宋体" w:cs="宋体"/>
                <w:kern w:val="0"/>
                <w:sz w:val="20"/>
                <w:szCs w:val="20"/>
              </w:rPr>
            </w:pPr>
            <w:r>
              <w:rPr>
                <w:rFonts w:hint="eastAsia" w:ascii="宋体" w:hAnsi="宋体" w:cs="宋体"/>
                <w:kern w:val="0"/>
                <w:sz w:val="20"/>
                <w:szCs w:val="20"/>
              </w:rPr>
              <w:t xml:space="preserve">       1. 销售材料成本</w:t>
            </w:r>
          </w:p>
        </w:tc>
        <w:tc>
          <w:tcPr>
            <w:tcW w:w="2300" w:type="dxa"/>
            <w:shd w:val="clear" w:color="auto" w:fill="auto"/>
            <w:noWrap/>
            <w:vAlign w:val="center"/>
          </w:tcPr>
          <w:p w14:paraId="00E7ADCF">
            <w:pPr>
              <w:widowControl/>
              <w:jc w:val="right"/>
              <w:rPr>
                <w:rFonts w:ascii="宋体" w:hAnsi="宋体" w:cs="宋体"/>
                <w:kern w:val="0"/>
                <w:sz w:val="20"/>
                <w:szCs w:val="20"/>
              </w:rPr>
            </w:pPr>
          </w:p>
        </w:tc>
      </w:tr>
      <w:tr w14:paraId="70DB2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7B1EE434">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noWrap/>
            <w:vAlign w:val="center"/>
          </w:tcPr>
          <w:p w14:paraId="55600081">
            <w:pPr>
              <w:widowControl/>
              <w:jc w:val="left"/>
              <w:rPr>
                <w:rFonts w:ascii="宋体" w:hAnsi="宋体" w:cs="宋体"/>
                <w:kern w:val="0"/>
                <w:sz w:val="20"/>
                <w:szCs w:val="20"/>
              </w:rPr>
            </w:pPr>
            <w:r>
              <w:rPr>
                <w:rFonts w:hint="eastAsia" w:ascii="宋体" w:hAnsi="宋体" w:cs="宋体"/>
                <w:kern w:val="0"/>
                <w:sz w:val="20"/>
                <w:szCs w:val="20"/>
              </w:rPr>
              <w:t xml:space="preserve">         其中:非货币性资产交换成本</w:t>
            </w:r>
          </w:p>
        </w:tc>
        <w:tc>
          <w:tcPr>
            <w:tcW w:w="2300" w:type="dxa"/>
            <w:shd w:val="clear" w:color="auto" w:fill="auto"/>
            <w:noWrap/>
            <w:vAlign w:val="center"/>
          </w:tcPr>
          <w:p w14:paraId="14A6E011">
            <w:pPr>
              <w:widowControl/>
              <w:jc w:val="right"/>
              <w:rPr>
                <w:rFonts w:ascii="宋体" w:hAnsi="宋体" w:cs="宋体"/>
                <w:kern w:val="0"/>
                <w:sz w:val="20"/>
                <w:szCs w:val="20"/>
              </w:rPr>
            </w:pPr>
          </w:p>
        </w:tc>
      </w:tr>
      <w:tr w14:paraId="2CDE9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1CE33129">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noWrap/>
            <w:vAlign w:val="center"/>
          </w:tcPr>
          <w:p w14:paraId="5CF4B052">
            <w:pPr>
              <w:widowControl/>
              <w:jc w:val="left"/>
              <w:rPr>
                <w:rFonts w:ascii="宋体" w:hAnsi="宋体" w:cs="宋体"/>
                <w:kern w:val="0"/>
                <w:sz w:val="20"/>
                <w:szCs w:val="20"/>
              </w:rPr>
            </w:pPr>
            <w:r>
              <w:rPr>
                <w:rFonts w:hint="eastAsia" w:ascii="宋体" w:hAnsi="宋体" w:cs="宋体"/>
                <w:kern w:val="0"/>
                <w:sz w:val="20"/>
                <w:szCs w:val="20"/>
              </w:rPr>
              <w:t xml:space="preserve">       2.出租固定资产成本</w:t>
            </w:r>
          </w:p>
        </w:tc>
        <w:tc>
          <w:tcPr>
            <w:tcW w:w="2300" w:type="dxa"/>
            <w:shd w:val="clear" w:color="auto" w:fill="auto"/>
            <w:noWrap/>
            <w:vAlign w:val="center"/>
          </w:tcPr>
          <w:p w14:paraId="0A9E09B0">
            <w:pPr>
              <w:widowControl/>
              <w:jc w:val="right"/>
              <w:rPr>
                <w:rFonts w:ascii="宋体" w:hAnsi="宋体" w:cs="宋体"/>
                <w:kern w:val="0"/>
                <w:sz w:val="20"/>
                <w:szCs w:val="20"/>
              </w:rPr>
            </w:pPr>
          </w:p>
        </w:tc>
      </w:tr>
      <w:tr w14:paraId="33829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35137B6">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noWrap/>
            <w:vAlign w:val="center"/>
          </w:tcPr>
          <w:p w14:paraId="2E8B4AE1">
            <w:pPr>
              <w:widowControl/>
              <w:jc w:val="left"/>
              <w:rPr>
                <w:rFonts w:ascii="宋体" w:hAnsi="宋体" w:cs="宋体"/>
                <w:kern w:val="0"/>
                <w:sz w:val="20"/>
                <w:szCs w:val="20"/>
              </w:rPr>
            </w:pPr>
            <w:r>
              <w:rPr>
                <w:rFonts w:hint="eastAsia" w:ascii="宋体" w:hAnsi="宋体" w:cs="宋体"/>
                <w:kern w:val="0"/>
                <w:sz w:val="20"/>
                <w:szCs w:val="20"/>
              </w:rPr>
              <w:t xml:space="preserve">       3.出租无形资产成本</w:t>
            </w:r>
          </w:p>
        </w:tc>
        <w:tc>
          <w:tcPr>
            <w:tcW w:w="2300" w:type="dxa"/>
            <w:shd w:val="clear" w:color="auto" w:fill="auto"/>
            <w:noWrap/>
            <w:vAlign w:val="center"/>
          </w:tcPr>
          <w:p w14:paraId="2D725228">
            <w:pPr>
              <w:widowControl/>
              <w:jc w:val="right"/>
              <w:rPr>
                <w:rFonts w:ascii="宋体" w:hAnsi="宋体" w:cs="宋体"/>
                <w:kern w:val="0"/>
                <w:sz w:val="20"/>
                <w:szCs w:val="20"/>
              </w:rPr>
            </w:pPr>
          </w:p>
        </w:tc>
      </w:tr>
      <w:tr w14:paraId="29B46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6FD6B994">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noWrap/>
            <w:vAlign w:val="center"/>
          </w:tcPr>
          <w:p w14:paraId="0AAD8DF7">
            <w:pPr>
              <w:widowControl/>
              <w:jc w:val="left"/>
              <w:rPr>
                <w:rFonts w:ascii="宋体" w:hAnsi="宋体" w:cs="宋体"/>
                <w:kern w:val="0"/>
                <w:sz w:val="20"/>
                <w:szCs w:val="20"/>
              </w:rPr>
            </w:pPr>
            <w:r>
              <w:rPr>
                <w:rFonts w:hint="eastAsia" w:ascii="宋体" w:hAnsi="宋体" w:cs="宋体"/>
                <w:kern w:val="0"/>
                <w:sz w:val="20"/>
                <w:szCs w:val="20"/>
              </w:rPr>
              <w:t xml:space="preserve">       4.包装物出租成本</w:t>
            </w:r>
          </w:p>
        </w:tc>
        <w:tc>
          <w:tcPr>
            <w:tcW w:w="2300" w:type="dxa"/>
            <w:shd w:val="clear" w:color="auto" w:fill="auto"/>
            <w:noWrap/>
            <w:vAlign w:val="center"/>
          </w:tcPr>
          <w:p w14:paraId="2042F4CD">
            <w:pPr>
              <w:widowControl/>
              <w:jc w:val="right"/>
              <w:rPr>
                <w:rFonts w:ascii="宋体" w:hAnsi="宋体" w:cs="宋体"/>
                <w:kern w:val="0"/>
                <w:sz w:val="20"/>
                <w:szCs w:val="20"/>
              </w:rPr>
            </w:pPr>
          </w:p>
        </w:tc>
      </w:tr>
      <w:tr w14:paraId="7660A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7766865">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noWrap/>
            <w:vAlign w:val="center"/>
          </w:tcPr>
          <w:p w14:paraId="11B79196">
            <w:pPr>
              <w:widowControl/>
              <w:jc w:val="left"/>
              <w:rPr>
                <w:rFonts w:ascii="宋体" w:hAnsi="宋体" w:cs="宋体"/>
                <w:kern w:val="0"/>
                <w:sz w:val="20"/>
                <w:szCs w:val="20"/>
              </w:rPr>
            </w:pPr>
            <w:r>
              <w:rPr>
                <w:rFonts w:hint="eastAsia" w:ascii="宋体" w:hAnsi="宋体" w:cs="宋体"/>
                <w:kern w:val="0"/>
                <w:sz w:val="20"/>
                <w:szCs w:val="20"/>
              </w:rPr>
              <w:t xml:space="preserve">       5.其他</w:t>
            </w:r>
          </w:p>
        </w:tc>
        <w:tc>
          <w:tcPr>
            <w:tcW w:w="2300" w:type="dxa"/>
            <w:shd w:val="clear" w:color="auto" w:fill="auto"/>
            <w:noWrap/>
            <w:vAlign w:val="center"/>
          </w:tcPr>
          <w:p w14:paraId="1CB04313">
            <w:pPr>
              <w:widowControl/>
              <w:jc w:val="right"/>
              <w:rPr>
                <w:rFonts w:ascii="宋体" w:hAnsi="宋体" w:cs="宋体"/>
                <w:kern w:val="0"/>
                <w:sz w:val="20"/>
                <w:szCs w:val="20"/>
              </w:rPr>
            </w:pPr>
          </w:p>
        </w:tc>
      </w:tr>
      <w:tr w14:paraId="5BFD2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6E998C24">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noWrap/>
            <w:vAlign w:val="center"/>
          </w:tcPr>
          <w:p w14:paraId="758EB96D">
            <w:pPr>
              <w:widowControl/>
              <w:jc w:val="left"/>
              <w:rPr>
                <w:rFonts w:ascii="宋体" w:hAnsi="宋体" w:cs="宋体"/>
                <w:kern w:val="0"/>
                <w:sz w:val="20"/>
                <w:szCs w:val="20"/>
              </w:rPr>
            </w:pPr>
            <w:r>
              <w:rPr>
                <w:rFonts w:hint="eastAsia" w:ascii="宋体" w:hAnsi="宋体" w:cs="宋体"/>
                <w:kern w:val="0"/>
                <w:sz w:val="20"/>
                <w:szCs w:val="20"/>
              </w:rPr>
              <w:t>二、营业外支出（17+18+19+20+21+22+23+24+25+26）</w:t>
            </w:r>
          </w:p>
        </w:tc>
        <w:tc>
          <w:tcPr>
            <w:tcW w:w="2300" w:type="dxa"/>
            <w:shd w:val="clear" w:color="auto" w:fill="auto"/>
            <w:noWrap/>
            <w:vAlign w:val="center"/>
          </w:tcPr>
          <w:p w14:paraId="036A8E84">
            <w:pPr>
              <w:widowControl/>
              <w:jc w:val="right"/>
              <w:rPr>
                <w:rFonts w:ascii="宋体" w:hAnsi="宋体" w:cs="宋体"/>
                <w:kern w:val="0"/>
                <w:sz w:val="20"/>
                <w:szCs w:val="20"/>
              </w:rPr>
            </w:pPr>
          </w:p>
        </w:tc>
      </w:tr>
      <w:tr w14:paraId="41ACA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0FCDE198">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noWrap/>
            <w:vAlign w:val="center"/>
          </w:tcPr>
          <w:p w14:paraId="7460E620">
            <w:pPr>
              <w:widowControl/>
              <w:jc w:val="left"/>
              <w:rPr>
                <w:rFonts w:ascii="宋体" w:hAnsi="宋体" w:cs="宋体"/>
                <w:kern w:val="0"/>
                <w:sz w:val="20"/>
                <w:szCs w:val="20"/>
              </w:rPr>
            </w:pPr>
            <w:r>
              <w:rPr>
                <w:rFonts w:hint="eastAsia" w:ascii="宋体" w:hAnsi="宋体" w:cs="宋体"/>
                <w:kern w:val="0"/>
                <w:sz w:val="20"/>
                <w:szCs w:val="20"/>
              </w:rPr>
              <w:t xml:space="preserve">   （一）非流动资产处置损失</w:t>
            </w:r>
          </w:p>
        </w:tc>
        <w:tc>
          <w:tcPr>
            <w:tcW w:w="2300" w:type="dxa"/>
            <w:shd w:val="clear" w:color="auto" w:fill="auto"/>
            <w:noWrap/>
            <w:vAlign w:val="center"/>
          </w:tcPr>
          <w:p w14:paraId="138D1E4E">
            <w:pPr>
              <w:widowControl/>
              <w:jc w:val="right"/>
              <w:rPr>
                <w:rFonts w:ascii="宋体" w:hAnsi="宋体" w:cs="宋体"/>
                <w:kern w:val="0"/>
                <w:sz w:val="20"/>
                <w:szCs w:val="20"/>
              </w:rPr>
            </w:pPr>
          </w:p>
        </w:tc>
      </w:tr>
      <w:tr w14:paraId="325BF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F80B17B">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noWrap/>
            <w:vAlign w:val="center"/>
          </w:tcPr>
          <w:p w14:paraId="2B179682">
            <w:pPr>
              <w:widowControl/>
              <w:jc w:val="left"/>
              <w:rPr>
                <w:rFonts w:ascii="宋体" w:hAnsi="宋体" w:cs="宋体"/>
                <w:kern w:val="0"/>
                <w:sz w:val="20"/>
                <w:szCs w:val="20"/>
              </w:rPr>
            </w:pPr>
            <w:r>
              <w:rPr>
                <w:rFonts w:hint="eastAsia" w:ascii="宋体" w:hAnsi="宋体" w:cs="宋体"/>
                <w:kern w:val="0"/>
                <w:sz w:val="20"/>
                <w:szCs w:val="20"/>
              </w:rPr>
              <w:t xml:space="preserve">   （二）非货币性资产交换损失</w:t>
            </w:r>
          </w:p>
        </w:tc>
        <w:tc>
          <w:tcPr>
            <w:tcW w:w="2300" w:type="dxa"/>
            <w:shd w:val="clear" w:color="auto" w:fill="auto"/>
            <w:noWrap/>
            <w:vAlign w:val="center"/>
          </w:tcPr>
          <w:p w14:paraId="0AE3ECF8">
            <w:pPr>
              <w:widowControl/>
              <w:jc w:val="right"/>
              <w:rPr>
                <w:rFonts w:ascii="宋体" w:hAnsi="宋体" w:cs="宋体"/>
                <w:kern w:val="0"/>
                <w:sz w:val="20"/>
                <w:szCs w:val="20"/>
              </w:rPr>
            </w:pPr>
          </w:p>
        </w:tc>
      </w:tr>
      <w:tr w14:paraId="140D9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1D5A2302">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noWrap/>
            <w:vAlign w:val="center"/>
          </w:tcPr>
          <w:p w14:paraId="1C33E126">
            <w:pPr>
              <w:widowControl/>
              <w:jc w:val="left"/>
              <w:rPr>
                <w:rFonts w:ascii="宋体" w:hAnsi="宋体" w:cs="宋体"/>
                <w:kern w:val="0"/>
                <w:sz w:val="20"/>
                <w:szCs w:val="20"/>
              </w:rPr>
            </w:pPr>
            <w:r>
              <w:rPr>
                <w:rFonts w:hint="eastAsia" w:ascii="宋体" w:hAnsi="宋体" w:cs="宋体"/>
                <w:kern w:val="0"/>
                <w:sz w:val="20"/>
                <w:szCs w:val="20"/>
              </w:rPr>
              <w:t xml:space="preserve">   （三）债务重组损失</w:t>
            </w:r>
          </w:p>
        </w:tc>
        <w:tc>
          <w:tcPr>
            <w:tcW w:w="2300" w:type="dxa"/>
            <w:shd w:val="clear" w:color="auto" w:fill="auto"/>
            <w:noWrap/>
            <w:vAlign w:val="center"/>
          </w:tcPr>
          <w:p w14:paraId="124E6C34">
            <w:pPr>
              <w:widowControl/>
              <w:jc w:val="right"/>
              <w:rPr>
                <w:rFonts w:ascii="宋体" w:hAnsi="宋体" w:cs="宋体"/>
                <w:kern w:val="0"/>
                <w:sz w:val="20"/>
                <w:szCs w:val="20"/>
              </w:rPr>
            </w:pPr>
          </w:p>
        </w:tc>
      </w:tr>
      <w:tr w14:paraId="2A0BC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DCE3859">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noWrap/>
            <w:vAlign w:val="center"/>
          </w:tcPr>
          <w:p w14:paraId="5D2FFAD8">
            <w:pPr>
              <w:widowControl/>
              <w:jc w:val="left"/>
              <w:rPr>
                <w:rFonts w:ascii="宋体" w:hAnsi="宋体" w:cs="宋体"/>
                <w:kern w:val="0"/>
                <w:sz w:val="20"/>
                <w:szCs w:val="20"/>
              </w:rPr>
            </w:pPr>
            <w:r>
              <w:rPr>
                <w:rFonts w:hint="eastAsia" w:ascii="宋体" w:hAnsi="宋体" w:cs="宋体"/>
                <w:kern w:val="0"/>
                <w:sz w:val="20"/>
                <w:szCs w:val="20"/>
              </w:rPr>
              <w:t xml:space="preserve">   （四）非常损失</w:t>
            </w:r>
          </w:p>
        </w:tc>
        <w:tc>
          <w:tcPr>
            <w:tcW w:w="2300" w:type="dxa"/>
            <w:shd w:val="clear" w:color="auto" w:fill="auto"/>
            <w:noWrap/>
            <w:vAlign w:val="center"/>
          </w:tcPr>
          <w:p w14:paraId="46FC779B">
            <w:pPr>
              <w:widowControl/>
              <w:jc w:val="right"/>
              <w:rPr>
                <w:rFonts w:ascii="宋体" w:hAnsi="宋体" w:cs="宋体"/>
                <w:kern w:val="0"/>
                <w:sz w:val="20"/>
                <w:szCs w:val="20"/>
              </w:rPr>
            </w:pPr>
          </w:p>
        </w:tc>
      </w:tr>
      <w:tr w14:paraId="134A4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638A5FEC">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noWrap/>
            <w:vAlign w:val="center"/>
          </w:tcPr>
          <w:p w14:paraId="02711E8B">
            <w:pPr>
              <w:widowControl/>
              <w:jc w:val="left"/>
              <w:rPr>
                <w:rFonts w:ascii="宋体" w:hAnsi="宋体" w:cs="宋体"/>
                <w:kern w:val="0"/>
                <w:sz w:val="20"/>
                <w:szCs w:val="20"/>
              </w:rPr>
            </w:pPr>
            <w:r>
              <w:rPr>
                <w:rFonts w:hint="eastAsia" w:ascii="宋体" w:hAnsi="宋体" w:cs="宋体"/>
                <w:kern w:val="0"/>
                <w:sz w:val="20"/>
                <w:szCs w:val="20"/>
              </w:rPr>
              <w:t xml:space="preserve">   （五）捐赠支出</w:t>
            </w:r>
          </w:p>
        </w:tc>
        <w:tc>
          <w:tcPr>
            <w:tcW w:w="2300" w:type="dxa"/>
            <w:shd w:val="clear" w:color="auto" w:fill="auto"/>
            <w:noWrap/>
            <w:vAlign w:val="center"/>
          </w:tcPr>
          <w:p w14:paraId="5AD7CB79">
            <w:pPr>
              <w:widowControl/>
              <w:jc w:val="right"/>
              <w:rPr>
                <w:rFonts w:ascii="宋体" w:hAnsi="宋体" w:cs="宋体"/>
                <w:kern w:val="0"/>
                <w:sz w:val="20"/>
                <w:szCs w:val="20"/>
              </w:rPr>
            </w:pPr>
          </w:p>
        </w:tc>
      </w:tr>
      <w:tr w14:paraId="24ADD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3AE5025D">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noWrap/>
            <w:vAlign w:val="center"/>
          </w:tcPr>
          <w:p w14:paraId="1F0E640E">
            <w:pPr>
              <w:widowControl/>
              <w:jc w:val="left"/>
              <w:rPr>
                <w:rFonts w:ascii="宋体" w:hAnsi="宋体" w:cs="宋体"/>
                <w:kern w:val="0"/>
                <w:sz w:val="20"/>
                <w:szCs w:val="20"/>
              </w:rPr>
            </w:pPr>
            <w:r>
              <w:rPr>
                <w:rFonts w:hint="eastAsia" w:ascii="宋体" w:hAnsi="宋体" w:cs="宋体"/>
                <w:kern w:val="0"/>
                <w:sz w:val="20"/>
                <w:szCs w:val="20"/>
              </w:rPr>
              <w:t xml:space="preserve">   （六）赞助支出</w:t>
            </w:r>
          </w:p>
        </w:tc>
        <w:tc>
          <w:tcPr>
            <w:tcW w:w="2300" w:type="dxa"/>
            <w:shd w:val="clear" w:color="auto" w:fill="auto"/>
            <w:noWrap/>
            <w:vAlign w:val="center"/>
          </w:tcPr>
          <w:p w14:paraId="15E49662">
            <w:pPr>
              <w:widowControl/>
              <w:jc w:val="right"/>
              <w:rPr>
                <w:rFonts w:ascii="宋体" w:hAnsi="宋体" w:cs="宋体"/>
                <w:kern w:val="0"/>
                <w:sz w:val="20"/>
                <w:szCs w:val="20"/>
              </w:rPr>
            </w:pPr>
          </w:p>
        </w:tc>
      </w:tr>
      <w:tr w14:paraId="6E827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6FD5FF32">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noWrap/>
            <w:vAlign w:val="center"/>
          </w:tcPr>
          <w:p w14:paraId="335887DF">
            <w:pPr>
              <w:widowControl/>
              <w:jc w:val="left"/>
              <w:rPr>
                <w:rFonts w:ascii="宋体" w:hAnsi="宋体" w:cs="宋体"/>
                <w:kern w:val="0"/>
                <w:sz w:val="20"/>
                <w:szCs w:val="20"/>
              </w:rPr>
            </w:pPr>
            <w:r>
              <w:rPr>
                <w:rFonts w:hint="eastAsia" w:ascii="宋体" w:hAnsi="宋体" w:cs="宋体"/>
                <w:kern w:val="0"/>
                <w:sz w:val="20"/>
                <w:szCs w:val="20"/>
              </w:rPr>
              <w:t xml:space="preserve">   （七）罚没支出</w:t>
            </w:r>
          </w:p>
        </w:tc>
        <w:tc>
          <w:tcPr>
            <w:tcW w:w="2300" w:type="dxa"/>
            <w:shd w:val="clear" w:color="auto" w:fill="auto"/>
            <w:noWrap/>
            <w:vAlign w:val="center"/>
          </w:tcPr>
          <w:p w14:paraId="4CDFB6B8">
            <w:pPr>
              <w:widowControl/>
              <w:jc w:val="right"/>
              <w:rPr>
                <w:rFonts w:ascii="宋体" w:hAnsi="宋体" w:cs="宋体"/>
                <w:kern w:val="0"/>
                <w:sz w:val="20"/>
                <w:szCs w:val="20"/>
              </w:rPr>
            </w:pPr>
          </w:p>
        </w:tc>
      </w:tr>
      <w:tr w14:paraId="7BDC4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7CC32B99">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noWrap/>
            <w:vAlign w:val="center"/>
          </w:tcPr>
          <w:p w14:paraId="684C9C12">
            <w:pPr>
              <w:widowControl/>
              <w:jc w:val="left"/>
              <w:rPr>
                <w:rFonts w:ascii="宋体" w:hAnsi="宋体" w:cs="宋体"/>
                <w:kern w:val="0"/>
                <w:sz w:val="20"/>
                <w:szCs w:val="20"/>
              </w:rPr>
            </w:pPr>
            <w:r>
              <w:rPr>
                <w:rFonts w:hint="eastAsia" w:ascii="宋体" w:hAnsi="宋体" w:cs="宋体"/>
                <w:kern w:val="0"/>
                <w:sz w:val="20"/>
                <w:szCs w:val="20"/>
              </w:rPr>
              <w:t xml:space="preserve">   （八）坏账损失</w:t>
            </w:r>
          </w:p>
        </w:tc>
        <w:tc>
          <w:tcPr>
            <w:tcW w:w="2300" w:type="dxa"/>
            <w:shd w:val="clear" w:color="auto" w:fill="auto"/>
            <w:noWrap/>
            <w:vAlign w:val="center"/>
          </w:tcPr>
          <w:p w14:paraId="1486696A">
            <w:pPr>
              <w:widowControl/>
              <w:jc w:val="right"/>
              <w:rPr>
                <w:rFonts w:ascii="宋体" w:hAnsi="宋体" w:cs="宋体"/>
                <w:kern w:val="0"/>
                <w:sz w:val="20"/>
                <w:szCs w:val="20"/>
              </w:rPr>
            </w:pPr>
          </w:p>
        </w:tc>
      </w:tr>
      <w:tr w14:paraId="3C7F0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6E7C980">
            <w:pPr>
              <w:widowControl/>
              <w:jc w:val="center"/>
              <w:rPr>
                <w:rFonts w:ascii="宋体" w:hAnsi="宋体" w:cs="宋体"/>
                <w:kern w:val="0"/>
                <w:sz w:val="20"/>
                <w:szCs w:val="20"/>
              </w:rPr>
            </w:pPr>
            <w:r>
              <w:rPr>
                <w:rFonts w:hint="eastAsia" w:ascii="宋体" w:hAnsi="宋体" w:cs="宋体"/>
                <w:kern w:val="0"/>
                <w:sz w:val="20"/>
                <w:szCs w:val="20"/>
              </w:rPr>
              <w:t>25</w:t>
            </w:r>
          </w:p>
        </w:tc>
        <w:tc>
          <w:tcPr>
            <w:tcW w:w="6760" w:type="dxa"/>
            <w:shd w:val="clear" w:color="auto" w:fill="auto"/>
            <w:noWrap/>
            <w:vAlign w:val="center"/>
          </w:tcPr>
          <w:p w14:paraId="609EBC95">
            <w:pPr>
              <w:widowControl/>
              <w:jc w:val="left"/>
              <w:rPr>
                <w:rFonts w:ascii="宋体" w:hAnsi="宋体" w:cs="宋体"/>
                <w:kern w:val="0"/>
                <w:sz w:val="20"/>
                <w:szCs w:val="20"/>
              </w:rPr>
            </w:pPr>
            <w:r>
              <w:rPr>
                <w:rFonts w:hint="eastAsia" w:ascii="宋体" w:hAnsi="宋体" w:cs="宋体"/>
                <w:kern w:val="0"/>
                <w:sz w:val="20"/>
                <w:szCs w:val="20"/>
              </w:rPr>
              <w:t xml:space="preserve">   （九）无法收回的债券股权投资损失</w:t>
            </w:r>
          </w:p>
        </w:tc>
        <w:tc>
          <w:tcPr>
            <w:tcW w:w="2300" w:type="dxa"/>
            <w:shd w:val="clear" w:color="auto" w:fill="auto"/>
            <w:noWrap/>
            <w:vAlign w:val="center"/>
          </w:tcPr>
          <w:p w14:paraId="0B066393">
            <w:pPr>
              <w:widowControl/>
              <w:jc w:val="right"/>
              <w:rPr>
                <w:rFonts w:ascii="宋体" w:hAnsi="宋体" w:cs="宋体"/>
                <w:kern w:val="0"/>
                <w:sz w:val="20"/>
                <w:szCs w:val="20"/>
              </w:rPr>
            </w:pPr>
          </w:p>
        </w:tc>
      </w:tr>
      <w:tr w14:paraId="76B30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A1B440D">
            <w:pPr>
              <w:widowControl/>
              <w:jc w:val="center"/>
              <w:rPr>
                <w:rFonts w:ascii="宋体" w:hAnsi="宋体" w:cs="宋体"/>
                <w:kern w:val="0"/>
                <w:sz w:val="20"/>
                <w:szCs w:val="20"/>
              </w:rPr>
            </w:pPr>
            <w:r>
              <w:rPr>
                <w:rFonts w:hint="eastAsia" w:ascii="宋体" w:hAnsi="宋体" w:cs="宋体"/>
                <w:kern w:val="0"/>
                <w:sz w:val="20"/>
                <w:szCs w:val="20"/>
              </w:rPr>
              <w:t>26</w:t>
            </w:r>
          </w:p>
        </w:tc>
        <w:tc>
          <w:tcPr>
            <w:tcW w:w="6760" w:type="dxa"/>
            <w:shd w:val="clear" w:color="auto" w:fill="auto"/>
            <w:noWrap/>
            <w:vAlign w:val="center"/>
          </w:tcPr>
          <w:p w14:paraId="3C96DA0E">
            <w:pPr>
              <w:widowControl/>
              <w:jc w:val="left"/>
              <w:rPr>
                <w:rFonts w:ascii="宋体" w:hAnsi="宋体" w:cs="宋体"/>
                <w:kern w:val="0"/>
                <w:sz w:val="20"/>
                <w:szCs w:val="20"/>
              </w:rPr>
            </w:pPr>
            <w:r>
              <w:rPr>
                <w:rFonts w:hint="eastAsia" w:ascii="宋体" w:hAnsi="宋体" w:cs="宋体"/>
                <w:kern w:val="0"/>
                <w:sz w:val="20"/>
                <w:szCs w:val="20"/>
              </w:rPr>
              <w:t xml:space="preserve">   （十）其他</w:t>
            </w:r>
          </w:p>
        </w:tc>
        <w:tc>
          <w:tcPr>
            <w:tcW w:w="2300" w:type="dxa"/>
            <w:shd w:val="clear" w:color="auto" w:fill="auto"/>
            <w:noWrap/>
            <w:vAlign w:val="center"/>
          </w:tcPr>
          <w:p w14:paraId="423E26D0">
            <w:pPr>
              <w:widowControl/>
              <w:jc w:val="right"/>
              <w:rPr>
                <w:rFonts w:ascii="宋体" w:hAnsi="宋体" w:cs="宋体"/>
                <w:kern w:val="0"/>
                <w:sz w:val="20"/>
                <w:szCs w:val="20"/>
              </w:rPr>
            </w:pPr>
          </w:p>
        </w:tc>
      </w:tr>
    </w:tbl>
    <w:p w14:paraId="451A36B3">
      <w:pPr>
        <w:pStyle w:val="8"/>
      </w:pPr>
    </w:p>
    <w:p w14:paraId="013D40A3">
      <w:pPr>
        <w:pStyle w:val="3"/>
        <w:spacing w:before="0" w:after="0" w:line="360" w:lineRule="auto"/>
        <w:jc w:val="center"/>
        <w:rPr>
          <w:rFonts w:ascii="宋体" w:hAnsi="宋体" w:cs="宋体"/>
          <w:bCs/>
          <w:color w:val="000000"/>
          <w:sz w:val="28"/>
          <w:szCs w:val="28"/>
        </w:rPr>
        <w:sectPr>
          <w:pgSz w:w="11906" w:h="16838"/>
          <w:pgMar w:top="1985" w:right="1418" w:bottom="1644" w:left="1418" w:header="851" w:footer="992" w:gutter="113"/>
          <w:cols w:space="425" w:num="1"/>
          <w:titlePg/>
          <w:docGrid w:linePitch="312" w:charSpace="0"/>
        </w:sectPr>
      </w:pPr>
      <w:bookmarkStart w:id="1" w:name="_Toc393480198"/>
    </w:p>
    <w:p w14:paraId="1C000D18">
      <w:pPr>
        <w:pStyle w:val="9"/>
        <w:spacing w:before="240" w:after="360"/>
        <w:rPr>
          <w:rFonts w:hint="eastAsia" w:asciiTheme="majorEastAsia" w:hAnsiTheme="majorEastAsia" w:eastAsiaTheme="majorEastAsia" w:cstheme="majorEastAsia"/>
          <w:b/>
          <w:bCs/>
          <w:color w:val="000000"/>
          <w:sz w:val="28"/>
          <w:szCs w:val="28"/>
          <w:lang w:eastAsia="zh-CN"/>
        </w:rPr>
      </w:pPr>
      <w:bookmarkStart w:id="2" w:name="_Toc499456562"/>
      <w:r>
        <w:rPr>
          <w:rFonts w:hint="eastAsia" w:asciiTheme="majorEastAsia" w:hAnsiTheme="majorEastAsia" w:eastAsiaTheme="majorEastAsia" w:cstheme="majorEastAsia"/>
          <w:b/>
          <w:bCs/>
          <w:color w:val="000000"/>
          <w:sz w:val="28"/>
          <w:szCs w:val="28"/>
        </w:rPr>
        <w:t>A102010</w:t>
      </w:r>
      <w:r>
        <w:rPr>
          <w:rFonts w:hint="eastAsia" w:asciiTheme="majorEastAsia" w:hAnsiTheme="majorEastAsia" w:eastAsiaTheme="majorEastAsia" w:cstheme="majorEastAsia"/>
          <w:b/>
          <w:bCs/>
          <w:color w:val="000000"/>
          <w:sz w:val="28"/>
          <w:szCs w:val="28"/>
        </w:rPr>
        <w:tab/>
      </w:r>
      <w:r>
        <w:rPr>
          <w:rFonts w:hint="eastAsia" w:asciiTheme="majorEastAsia" w:hAnsiTheme="majorEastAsia" w:eastAsiaTheme="majorEastAsia" w:cstheme="majorEastAsia"/>
          <w:b/>
          <w:bCs/>
          <w:color w:val="000000"/>
          <w:sz w:val="28"/>
          <w:szCs w:val="28"/>
        </w:rPr>
        <w:tab/>
      </w:r>
      <w:r>
        <w:rPr>
          <w:rFonts w:hint="eastAsia" w:asciiTheme="majorEastAsia" w:hAnsiTheme="majorEastAsia" w:eastAsiaTheme="majorEastAsia" w:cstheme="majorEastAsia"/>
          <w:b/>
          <w:bCs/>
          <w:color w:val="000000"/>
          <w:sz w:val="28"/>
          <w:szCs w:val="28"/>
        </w:rPr>
        <w:t>《一般企业成本支出明细表》填报说明</w:t>
      </w:r>
      <w:bookmarkEnd w:id="1"/>
      <w:bookmarkEnd w:id="2"/>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lang w:val="en-US" w:eastAsia="zh-CN"/>
        </w:rPr>
        <w:t>旧</w:t>
      </w:r>
      <w:r>
        <w:rPr>
          <w:rFonts w:hint="eastAsia" w:asciiTheme="majorEastAsia" w:hAnsiTheme="majorEastAsia" w:eastAsiaTheme="majorEastAsia" w:cstheme="majorEastAsia"/>
          <w:b/>
          <w:bCs/>
          <w:color w:val="000000"/>
          <w:sz w:val="28"/>
          <w:szCs w:val="28"/>
          <w:lang w:eastAsia="zh-CN"/>
        </w:rPr>
        <w:t>）</w:t>
      </w:r>
    </w:p>
    <w:p w14:paraId="6C90D5E0">
      <w:pPr>
        <w:pStyle w:val="8"/>
        <w:rPr>
          <w:color w:val="000000"/>
        </w:rPr>
      </w:pPr>
      <w:r>
        <w:rPr>
          <w:rFonts w:hint="eastAsia"/>
          <w:color w:val="000000"/>
        </w:rPr>
        <w:t>本表适用于除金融企业、事业单位和民间非营利组织外的企业填报。纳税人应根据国家统一会计制度的规定，填报“主营业务成本”“其他业务成本”和“营业外支出”。</w:t>
      </w:r>
    </w:p>
    <w:p w14:paraId="010F0CF9">
      <w:pPr>
        <w:pStyle w:val="10"/>
        <w:ind w:firstLine="482"/>
      </w:pPr>
      <w:bookmarkStart w:id="3" w:name="_Toc393480201"/>
      <w:r>
        <w:rPr>
          <w:rFonts w:hint="eastAsia"/>
        </w:rPr>
        <w:t>一、有关项目填报说明</w:t>
      </w:r>
      <w:bookmarkEnd w:id="3"/>
    </w:p>
    <w:p w14:paraId="6047E39D">
      <w:pPr>
        <w:pStyle w:val="8"/>
        <w:rPr>
          <w:color w:val="000000"/>
        </w:rPr>
      </w:pPr>
      <w:r>
        <w:rPr>
          <w:color w:val="000000"/>
        </w:rPr>
        <w:t>1</w:t>
      </w:r>
      <w:r>
        <w:rPr>
          <w:rFonts w:hint="eastAsia"/>
          <w:color w:val="000000"/>
        </w:rPr>
        <w:t>.第</w:t>
      </w:r>
      <w:r>
        <w:rPr>
          <w:color w:val="000000"/>
        </w:rPr>
        <w:t>1</w:t>
      </w:r>
      <w:r>
        <w:rPr>
          <w:rFonts w:hint="eastAsia"/>
          <w:color w:val="000000"/>
        </w:rPr>
        <w:t>行“营业成本”：填报纳税人主要经营业务和其他经营业务发生的成本总额。本行根据“主营业务成本”和“其他业务成本”的数额计算填报。</w:t>
      </w:r>
    </w:p>
    <w:p w14:paraId="6A160D9D">
      <w:pPr>
        <w:pStyle w:val="8"/>
        <w:rPr>
          <w:color w:val="000000"/>
        </w:rPr>
      </w:pPr>
      <w:r>
        <w:rPr>
          <w:color w:val="000000"/>
        </w:rPr>
        <w:t>2.</w:t>
      </w:r>
      <w:r>
        <w:rPr>
          <w:rFonts w:hint="eastAsia"/>
          <w:color w:val="000000"/>
        </w:rPr>
        <w:t>第</w:t>
      </w:r>
      <w:r>
        <w:rPr>
          <w:color w:val="000000"/>
        </w:rPr>
        <w:t>2</w:t>
      </w:r>
      <w:r>
        <w:rPr>
          <w:rFonts w:hint="eastAsia"/>
          <w:color w:val="000000"/>
        </w:rPr>
        <w:t>行“主营业务成本”：根据不同行业的业务性质分别填报纳税人核算的主营业务成本。</w:t>
      </w:r>
    </w:p>
    <w:p w14:paraId="6701373B">
      <w:pPr>
        <w:pStyle w:val="8"/>
        <w:rPr>
          <w:color w:val="000000"/>
        </w:rPr>
      </w:pPr>
      <w:r>
        <w:rPr>
          <w:color w:val="000000"/>
        </w:rPr>
        <w:t>3</w:t>
      </w:r>
      <w:r>
        <w:rPr>
          <w:rFonts w:hint="eastAsia"/>
          <w:color w:val="000000"/>
        </w:rPr>
        <w:t>.第</w:t>
      </w:r>
      <w:r>
        <w:rPr>
          <w:color w:val="000000"/>
        </w:rPr>
        <w:t>3</w:t>
      </w:r>
      <w:r>
        <w:rPr>
          <w:rFonts w:hint="eastAsia"/>
          <w:color w:val="000000"/>
        </w:rPr>
        <w:t>行“销售商品成本”：填报纳税人从事工业制造、商品流通、农业生产以及其他商品销售活动发生的主营业务成本。房地产开发企业销售开发产品（销售未完工开发产品除外）发生的成本也在此行填报。</w:t>
      </w:r>
    </w:p>
    <w:p w14:paraId="60911FF3">
      <w:pPr>
        <w:pStyle w:val="8"/>
        <w:rPr>
          <w:color w:val="000000"/>
        </w:rPr>
      </w:pPr>
      <w:r>
        <w:rPr>
          <w:color w:val="000000"/>
        </w:rPr>
        <w:t>4.</w:t>
      </w:r>
      <w:r>
        <w:rPr>
          <w:rFonts w:hint="eastAsia"/>
          <w:color w:val="000000"/>
        </w:rPr>
        <w:t>第</w:t>
      </w:r>
      <w:r>
        <w:rPr>
          <w:color w:val="000000"/>
        </w:rPr>
        <w:t>4</w:t>
      </w:r>
      <w:r>
        <w:rPr>
          <w:rFonts w:hint="eastAsia"/>
          <w:color w:val="000000"/>
        </w:rPr>
        <w:t>行“其中：非货币性资产交换成本”：填报纳税人发生的非货币性资产交换按照国家统一会计制度应确认的销售商品成本。</w:t>
      </w:r>
    </w:p>
    <w:p w14:paraId="770514D2">
      <w:pPr>
        <w:pStyle w:val="8"/>
        <w:rPr>
          <w:color w:val="000000"/>
        </w:rPr>
      </w:pPr>
      <w:r>
        <w:rPr>
          <w:color w:val="000000"/>
        </w:rPr>
        <w:t>5.</w:t>
      </w:r>
      <w:r>
        <w:rPr>
          <w:rFonts w:hint="eastAsia"/>
          <w:color w:val="000000"/>
        </w:rPr>
        <w:t>第</w:t>
      </w:r>
      <w:r>
        <w:rPr>
          <w:color w:val="000000"/>
        </w:rPr>
        <w:t>5</w:t>
      </w:r>
      <w:r>
        <w:rPr>
          <w:rFonts w:hint="eastAsia"/>
          <w:color w:val="000000"/>
        </w:rPr>
        <w:t>行“提供劳务成本”：填报纳税人从事建筑安装、修理修配、交通运输、仓储租赁、邮电通信、咨询经纪、文化体育、科学研究、技术服务、教育培训、餐饮住宿、中介代理、卫生保健、社区服务、旅游、娱乐、加工以及其他劳务活动发生的主营业务成本。</w:t>
      </w:r>
    </w:p>
    <w:p w14:paraId="70AE4C58">
      <w:pPr>
        <w:pStyle w:val="8"/>
        <w:rPr>
          <w:color w:val="000000"/>
        </w:rPr>
      </w:pPr>
      <w:r>
        <w:rPr>
          <w:color w:val="000000"/>
        </w:rPr>
        <w:t>6.</w:t>
      </w:r>
      <w:r>
        <w:rPr>
          <w:rFonts w:hint="eastAsia"/>
          <w:color w:val="000000"/>
        </w:rPr>
        <w:t>第</w:t>
      </w:r>
      <w:r>
        <w:rPr>
          <w:color w:val="000000"/>
        </w:rPr>
        <w:t>6</w:t>
      </w:r>
      <w:r>
        <w:rPr>
          <w:rFonts w:hint="eastAsia"/>
          <w:color w:val="000000"/>
        </w:rPr>
        <w:t>行“建造合同成本”：填报纳税人建造房屋、道路、桥梁、水坝等建筑物，以及生产船舶、飞机、大型机械设备等发生的主营业务成本。</w:t>
      </w:r>
    </w:p>
    <w:p w14:paraId="023525CC">
      <w:pPr>
        <w:pStyle w:val="8"/>
        <w:rPr>
          <w:color w:val="000000"/>
        </w:rPr>
      </w:pPr>
      <w:r>
        <w:rPr>
          <w:color w:val="000000"/>
        </w:rPr>
        <w:t>7</w:t>
      </w:r>
      <w:r>
        <w:rPr>
          <w:rFonts w:hint="eastAsia"/>
          <w:color w:val="000000"/>
        </w:rPr>
        <w:t>.第</w:t>
      </w:r>
      <w:r>
        <w:rPr>
          <w:color w:val="000000"/>
        </w:rPr>
        <w:t>7</w:t>
      </w:r>
      <w:r>
        <w:rPr>
          <w:rFonts w:hint="eastAsia"/>
          <w:color w:val="000000"/>
        </w:rPr>
        <w:t>行“让渡资产使用权成本”：填报纳税人在主营业务成本核算的，让渡无形资产使用权而发生的使用费成本以及出租固定资产、无形资产、投资性房地产发生的租金成本。</w:t>
      </w:r>
    </w:p>
    <w:p w14:paraId="701AC000">
      <w:pPr>
        <w:pStyle w:val="8"/>
        <w:rPr>
          <w:color w:val="000000"/>
        </w:rPr>
      </w:pPr>
      <w:r>
        <w:rPr>
          <w:color w:val="000000"/>
        </w:rPr>
        <w:t>8</w:t>
      </w:r>
      <w:r>
        <w:rPr>
          <w:rFonts w:hint="eastAsia"/>
          <w:color w:val="000000"/>
        </w:rPr>
        <w:t>.第</w:t>
      </w:r>
      <w:r>
        <w:rPr>
          <w:color w:val="000000"/>
        </w:rPr>
        <w:t>8</w:t>
      </w:r>
      <w:r>
        <w:rPr>
          <w:rFonts w:hint="eastAsia"/>
          <w:color w:val="000000"/>
        </w:rPr>
        <w:t>行“其他”：填报纳税人按照国家统一会计制度核算、上述未列举的其他主营业务成本。</w:t>
      </w:r>
    </w:p>
    <w:p w14:paraId="65D8E8F8">
      <w:pPr>
        <w:pStyle w:val="8"/>
        <w:rPr>
          <w:color w:val="000000"/>
        </w:rPr>
      </w:pPr>
      <w:r>
        <w:rPr>
          <w:color w:val="000000"/>
        </w:rPr>
        <w:t>9.</w:t>
      </w:r>
      <w:r>
        <w:rPr>
          <w:rFonts w:hint="eastAsia"/>
          <w:color w:val="000000"/>
        </w:rPr>
        <w:t>第9行“其他业务成本”：根据不同行业的业务性质分别填报纳税人按照国家统一会计制度核算的其他业务成本。</w:t>
      </w:r>
    </w:p>
    <w:p w14:paraId="5FABDC1F">
      <w:pPr>
        <w:pStyle w:val="8"/>
        <w:rPr>
          <w:color w:val="000000"/>
        </w:rPr>
      </w:pPr>
      <w:r>
        <w:rPr>
          <w:color w:val="000000"/>
        </w:rPr>
        <w:t>10.</w:t>
      </w:r>
      <w:r>
        <w:rPr>
          <w:rFonts w:hint="eastAsia"/>
          <w:color w:val="000000"/>
        </w:rPr>
        <w:t>第</w:t>
      </w:r>
      <w:r>
        <w:rPr>
          <w:color w:val="000000"/>
        </w:rPr>
        <w:t>10</w:t>
      </w:r>
      <w:r>
        <w:rPr>
          <w:rFonts w:hint="eastAsia"/>
          <w:color w:val="000000"/>
        </w:rPr>
        <w:t>行“销售材料成本”：填报纳税人销售材料、下脚料、废料、废旧物资等发生的成本。</w:t>
      </w:r>
    </w:p>
    <w:p w14:paraId="463A8F02">
      <w:pPr>
        <w:pStyle w:val="8"/>
        <w:rPr>
          <w:color w:val="000000"/>
        </w:rPr>
      </w:pPr>
      <w:r>
        <w:rPr>
          <w:color w:val="000000"/>
        </w:rPr>
        <w:t>11</w:t>
      </w:r>
      <w:r>
        <w:rPr>
          <w:rFonts w:hint="eastAsia"/>
          <w:color w:val="000000"/>
        </w:rPr>
        <w:t>.第</w:t>
      </w:r>
      <w:r>
        <w:rPr>
          <w:color w:val="000000"/>
        </w:rPr>
        <w:t>11</w:t>
      </w:r>
      <w:r>
        <w:rPr>
          <w:rFonts w:hint="eastAsia"/>
          <w:color w:val="000000"/>
        </w:rPr>
        <w:t>行“其中：非货币性资产交换成本”：填报纳税人发生的非货币性资产交换按照国家统一会计制度应确认的材料销售成本。</w:t>
      </w:r>
    </w:p>
    <w:p w14:paraId="17CA3D83">
      <w:pPr>
        <w:pStyle w:val="8"/>
        <w:rPr>
          <w:color w:val="000000"/>
        </w:rPr>
      </w:pPr>
      <w:r>
        <w:rPr>
          <w:color w:val="000000"/>
        </w:rPr>
        <w:t>12.</w:t>
      </w:r>
      <w:r>
        <w:rPr>
          <w:rFonts w:hint="eastAsia"/>
          <w:color w:val="000000"/>
        </w:rPr>
        <w:t>第</w:t>
      </w:r>
      <w:r>
        <w:rPr>
          <w:color w:val="000000"/>
        </w:rPr>
        <w:t>12</w:t>
      </w:r>
      <w:r>
        <w:rPr>
          <w:rFonts w:hint="eastAsia"/>
          <w:color w:val="000000"/>
        </w:rPr>
        <w:t>行“出租固定资产成本”：填报纳税人将固定资产使用权让与承租人形成的出租固定资产成本。</w:t>
      </w:r>
    </w:p>
    <w:p w14:paraId="5157D36D">
      <w:pPr>
        <w:pStyle w:val="8"/>
        <w:rPr>
          <w:color w:val="000000"/>
        </w:rPr>
      </w:pPr>
      <w:r>
        <w:rPr>
          <w:color w:val="000000"/>
        </w:rPr>
        <w:t>13.</w:t>
      </w:r>
      <w:r>
        <w:rPr>
          <w:rFonts w:hint="eastAsia"/>
          <w:color w:val="000000"/>
        </w:rPr>
        <w:t>第</w:t>
      </w:r>
      <w:r>
        <w:rPr>
          <w:color w:val="000000"/>
        </w:rPr>
        <w:t>13</w:t>
      </w:r>
      <w:r>
        <w:rPr>
          <w:rFonts w:hint="eastAsia"/>
          <w:color w:val="000000"/>
        </w:rPr>
        <w:t>行“出租无形资产成本”：填报纳税人让渡无形资产使用权形成的出租无形资产成本。</w:t>
      </w:r>
    </w:p>
    <w:p w14:paraId="420CC456">
      <w:pPr>
        <w:pStyle w:val="8"/>
        <w:rPr>
          <w:color w:val="000000"/>
        </w:rPr>
      </w:pPr>
      <w:r>
        <w:rPr>
          <w:color w:val="000000"/>
        </w:rPr>
        <w:t>14.</w:t>
      </w:r>
      <w:r>
        <w:rPr>
          <w:rFonts w:hint="eastAsia"/>
          <w:color w:val="000000"/>
        </w:rPr>
        <w:t>第</w:t>
      </w:r>
      <w:r>
        <w:rPr>
          <w:color w:val="000000"/>
        </w:rPr>
        <w:t>14</w:t>
      </w:r>
      <w:r>
        <w:rPr>
          <w:rFonts w:hint="eastAsia"/>
          <w:color w:val="000000"/>
        </w:rPr>
        <w:t>行“包装物出租成本”：填报纳税人出租、出借包装物形成的包装物出租成本。</w:t>
      </w:r>
    </w:p>
    <w:p w14:paraId="47F5746A">
      <w:pPr>
        <w:pStyle w:val="8"/>
        <w:rPr>
          <w:color w:val="000000"/>
        </w:rPr>
      </w:pPr>
      <w:r>
        <w:rPr>
          <w:color w:val="000000"/>
        </w:rPr>
        <w:t>15.</w:t>
      </w:r>
      <w:r>
        <w:rPr>
          <w:rFonts w:hint="eastAsia"/>
          <w:color w:val="000000"/>
        </w:rPr>
        <w:t>第</w:t>
      </w:r>
      <w:r>
        <w:rPr>
          <w:color w:val="000000"/>
        </w:rPr>
        <w:t>15</w:t>
      </w:r>
      <w:r>
        <w:rPr>
          <w:rFonts w:hint="eastAsia"/>
          <w:color w:val="000000"/>
        </w:rPr>
        <w:t>行“其他”：填报纳税人按照国家统一会计制度核算，上述未列举的其他业务成本。</w:t>
      </w:r>
    </w:p>
    <w:p w14:paraId="16AEF26F">
      <w:pPr>
        <w:pStyle w:val="8"/>
        <w:rPr>
          <w:color w:val="000000"/>
        </w:rPr>
      </w:pPr>
      <w:r>
        <w:rPr>
          <w:color w:val="000000"/>
        </w:rPr>
        <w:t>16.</w:t>
      </w:r>
      <w:r>
        <w:rPr>
          <w:rFonts w:hint="eastAsia"/>
          <w:color w:val="000000"/>
        </w:rPr>
        <w:t>第</w:t>
      </w:r>
      <w:r>
        <w:rPr>
          <w:color w:val="000000"/>
        </w:rPr>
        <w:t>16</w:t>
      </w:r>
      <w:r>
        <w:rPr>
          <w:rFonts w:hint="eastAsia"/>
          <w:color w:val="000000"/>
        </w:rPr>
        <w:t>行“营业外支出”：填报纳税人计入本科目核算的与生产经营无直接关系的各项支出。</w:t>
      </w:r>
    </w:p>
    <w:p w14:paraId="1DCDA092">
      <w:pPr>
        <w:pStyle w:val="8"/>
        <w:rPr>
          <w:color w:val="000000"/>
        </w:rPr>
      </w:pPr>
      <w:r>
        <w:rPr>
          <w:color w:val="000000"/>
        </w:rPr>
        <w:t>17.</w:t>
      </w:r>
      <w:r>
        <w:rPr>
          <w:rFonts w:hint="eastAsia"/>
          <w:color w:val="000000"/>
        </w:rPr>
        <w:t>第</w:t>
      </w:r>
      <w:r>
        <w:rPr>
          <w:color w:val="000000"/>
        </w:rPr>
        <w:t>17</w:t>
      </w:r>
      <w:r>
        <w:rPr>
          <w:rFonts w:hint="eastAsia"/>
          <w:color w:val="000000"/>
        </w:rPr>
        <w:t>行“非流动资产处置损失”：填报纳税人处置非流动资产形成的净损失。</w:t>
      </w:r>
    </w:p>
    <w:p w14:paraId="7F0887F6">
      <w:pPr>
        <w:pStyle w:val="8"/>
        <w:rPr>
          <w:color w:val="000000"/>
        </w:rPr>
      </w:pPr>
      <w:r>
        <w:rPr>
          <w:color w:val="000000"/>
        </w:rPr>
        <w:t>18.</w:t>
      </w:r>
      <w:r>
        <w:rPr>
          <w:rFonts w:hint="eastAsia"/>
          <w:color w:val="000000"/>
        </w:rPr>
        <w:t>第</w:t>
      </w:r>
      <w:r>
        <w:rPr>
          <w:color w:val="000000"/>
        </w:rPr>
        <w:t>18</w:t>
      </w:r>
      <w:r>
        <w:rPr>
          <w:rFonts w:hint="eastAsia"/>
          <w:color w:val="000000"/>
        </w:rPr>
        <w:t>行“非货币性资产交换损失”：填报纳税人发生非货币性资产交换应确认的净损失。</w:t>
      </w:r>
    </w:p>
    <w:p w14:paraId="4D25FC5D">
      <w:pPr>
        <w:pStyle w:val="8"/>
        <w:rPr>
          <w:color w:val="000000"/>
        </w:rPr>
      </w:pPr>
      <w:r>
        <w:rPr>
          <w:color w:val="000000"/>
        </w:rPr>
        <w:t>19.</w:t>
      </w:r>
      <w:r>
        <w:rPr>
          <w:rFonts w:hint="eastAsia"/>
          <w:color w:val="000000"/>
        </w:rPr>
        <w:t>第</w:t>
      </w:r>
      <w:r>
        <w:rPr>
          <w:color w:val="000000"/>
        </w:rPr>
        <w:t>19</w:t>
      </w:r>
      <w:r>
        <w:rPr>
          <w:rFonts w:hint="eastAsia"/>
          <w:color w:val="000000"/>
        </w:rPr>
        <w:t>行“债务重组损失”：填报纳税人进行债务重组应确认的净损失。</w:t>
      </w:r>
    </w:p>
    <w:p w14:paraId="7EA2ACC5">
      <w:pPr>
        <w:pStyle w:val="8"/>
        <w:rPr>
          <w:color w:val="000000"/>
        </w:rPr>
      </w:pPr>
      <w:r>
        <w:rPr>
          <w:color w:val="000000"/>
        </w:rPr>
        <w:t>20.</w:t>
      </w:r>
      <w:r>
        <w:rPr>
          <w:rFonts w:hint="eastAsia"/>
          <w:color w:val="000000"/>
        </w:rPr>
        <w:t>第</w:t>
      </w:r>
      <w:r>
        <w:rPr>
          <w:color w:val="000000"/>
        </w:rPr>
        <w:t>20</w:t>
      </w:r>
      <w:r>
        <w:rPr>
          <w:rFonts w:hint="eastAsia"/>
          <w:color w:val="000000"/>
        </w:rPr>
        <w:t>行“非常损失”：填报纳税人在营业外支出中核算的各项非正常的财产损失。</w:t>
      </w:r>
    </w:p>
    <w:p w14:paraId="545344A1">
      <w:pPr>
        <w:pStyle w:val="8"/>
        <w:rPr>
          <w:color w:val="000000"/>
        </w:rPr>
      </w:pPr>
      <w:r>
        <w:rPr>
          <w:color w:val="000000"/>
        </w:rPr>
        <w:t>21.</w:t>
      </w:r>
      <w:r>
        <w:rPr>
          <w:rFonts w:hint="eastAsia"/>
          <w:color w:val="000000"/>
        </w:rPr>
        <w:t>第</w:t>
      </w:r>
      <w:r>
        <w:rPr>
          <w:color w:val="000000"/>
        </w:rPr>
        <w:t>21</w:t>
      </w:r>
      <w:r>
        <w:rPr>
          <w:rFonts w:hint="eastAsia"/>
          <w:color w:val="000000"/>
        </w:rPr>
        <w:t>行“捐赠支出”：填报纳税人无偿给予其他企业、组织或个人的货币性资产、非货币性资产的捐赠支出。</w:t>
      </w:r>
    </w:p>
    <w:p w14:paraId="5D9EBE7F">
      <w:pPr>
        <w:pStyle w:val="8"/>
        <w:rPr>
          <w:color w:val="000000"/>
        </w:rPr>
      </w:pPr>
      <w:r>
        <w:rPr>
          <w:color w:val="000000"/>
        </w:rPr>
        <w:t>22.</w:t>
      </w:r>
      <w:r>
        <w:rPr>
          <w:rFonts w:hint="eastAsia"/>
          <w:color w:val="000000"/>
        </w:rPr>
        <w:t>第</w:t>
      </w:r>
      <w:r>
        <w:rPr>
          <w:color w:val="000000"/>
        </w:rPr>
        <w:t>22</w:t>
      </w:r>
      <w:r>
        <w:rPr>
          <w:rFonts w:hint="eastAsia"/>
          <w:color w:val="000000"/>
        </w:rPr>
        <w:t>行“赞助支出”：填报纳税人发生的货币性资产、非货币性资产赞助支出。</w:t>
      </w:r>
    </w:p>
    <w:p w14:paraId="76F1BDB9">
      <w:pPr>
        <w:pStyle w:val="8"/>
        <w:rPr>
          <w:color w:val="000000"/>
        </w:rPr>
      </w:pPr>
      <w:r>
        <w:rPr>
          <w:color w:val="000000"/>
        </w:rPr>
        <w:t>23</w:t>
      </w:r>
      <w:r>
        <w:rPr>
          <w:rFonts w:hint="eastAsia"/>
          <w:color w:val="000000"/>
        </w:rPr>
        <w:t>.第</w:t>
      </w:r>
      <w:r>
        <w:rPr>
          <w:color w:val="000000"/>
        </w:rPr>
        <w:t>23</w:t>
      </w:r>
      <w:r>
        <w:rPr>
          <w:rFonts w:hint="eastAsia"/>
          <w:color w:val="000000"/>
        </w:rPr>
        <w:t>行“罚没支出”：填报纳税人在日常经营管理活动中对外支付的各项罚款、没收收入的支出。</w:t>
      </w:r>
    </w:p>
    <w:p w14:paraId="46BAF5CA">
      <w:pPr>
        <w:pStyle w:val="8"/>
        <w:rPr>
          <w:color w:val="000000"/>
        </w:rPr>
      </w:pPr>
      <w:r>
        <w:rPr>
          <w:color w:val="000000"/>
        </w:rPr>
        <w:t>24</w:t>
      </w:r>
      <w:r>
        <w:rPr>
          <w:rFonts w:hint="eastAsia"/>
          <w:color w:val="000000"/>
        </w:rPr>
        <w:t>.第</w:t>
      </w:r>
      <w:r>
        <w:rPr>
          <w:color w:val="000000"/>
        </w:rPr>
        <w:t>24</w:t>
      </w:r>
      <w:r>
        <w:rPr>
          <w:rFonts w:hint="eastAsia"/>
          <w:color w:val="000000"/>
        </w:rPr>
        <w:t>行“坏帐损失”：填报纳税人发生的各项坏帐损失。（该项目为使用小企业会计准则企业填报）</w:t>
      </w:r>
    </w:p>
    <w:p w14:paraId="44749E0B">
      <w:pPr>
        <w:pStyle w:val="8"/>
        <w:rPr>
          <w:color w:val="000000"/>
        </w:rPr>
      </w:pPr>
      <w:r>
        <w:rPr>
          <w:color w:val="000000"/>
        </w:rPr>
        <w:t>25</w:t>
      </w:r>
      <w:r>
        <w:rPr>
          <w:rFonts w:hint="eastAsia"/>
          <w:color w:val="000000"/>
        </w:rPr>
        <w:t>.第</w:t>
      </w:r>
      <w:r>
        <w:rPr>
          <w:color w:val="000000"/>
        </w:rPr>
        <w:t>25</w:t>
      </w:r>
      <w:r>
        <w:rPr>
          <w:rFonts w:hint="eastAsia"/>
          <w:color w:val="000000"/>
        </w:rPr>
        <w:t>行“无法收回的债券股权投资损失”：填报纳税人各项无法收回的债券股权投资损失。（该项目为使用小企业会计准则企业填报）</w:t>
      </w:r>
    </w:p>
    <w:p w14:paraId="5DE44B26">
      <w:pPr>
        <w:pStyle w:val="8"/>
        <w:rPr>
          <w:color w:val="000000"/>
        </w:rPr>
      </w:pPr>
      <w:r>
        <w:rPr>
          <w:color w:val="000000"/>
        </w:rPr>
        <w:t>26.</w:t>
      </w:r>
      <w:r>
        <w:rPr>
          <w:rFonts w:hint="eastAsia"/>
          <w:color w:val="000000"/>
        </w:rPr>
        <w:t>第</w:t>
      </w:r>
      <w:r>
        <w:rPr>
          <w:color w:val="000000"/>
        </w:rPr>
        <w:t>26</w:t>
      </w:r>
      <w:r>
        <w:rPr>
          <w:rFonts w:hint="eastAsia"/>
          <w:color w:val="000000"/>
        </w:rPr>
        <w:t>行“其他”：填报纳税人本期实际发生的在营业外支出核算的其他损失及支出。</w:t>
      </w:r>
    </w:p>
    <w:p w14:paraId="35D61633">
      <w:pPr>
        <w:pStyle w:val="10"/>
        <w:ind w:firstLine="482"/>
      </w:pPr>
      <w:bookmarkStart w:id="4" w:name="_Toc393480202"/>
      <w:r>
        <w:rPr>
          <w:rFonts w:hint="eastAsia"/>
        </w:rPr>
        <w:t>二、表内、表间关系</w:t>
      </w:r>
      <w:bookmarkEnd w:id="4"/>
    </w:p>
    <w:p w14:paraId="7D5CCE1F">
      <w:pPr>
        <w:pStyle w:val="11"/>
        <w:rPr>
          <w:color w:val="000000"/>
        </w:rPr>
      </w:pPr>
      <w:r>
        <w:rPr>
          <w:rFonts w:hint="eastAsia"/>
          <w:color w:val="000000"/>
        </w:rPr>
        <w:t>（一）表内关系</w:t>
      </w:r>
    </w:p>
    <w:p w14:paraId="1F01E45A">
      <w:pPr>
        <w:pStyle w:val="8"/>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第</w:t>
      </w:r>
      <w:r>
        <w:rPr>
          <w:color w:val="000000"/>
        </w:rPr>
        <w:t>2+</w:t>
      </w:r>
      <w:r>
        <w:rPr>
          <w:rFonts w:hint="eastAsia"/>
          <w:color w:val="000000"/>
        </w:rPr>
        <w:t>9行。</w:t>
      </w:r>
    </w:p>
    <w:p w14:paraId="2A9EB6E8">
      <w:pPr>
        <w:pStyle w:val="8"/>
        <w:rPr>
          <w:color w:val="000000"/>
        </w:rPr>
      </w:pPr>
      <w:r>
        <w:rPr>
          <w:color w:val="000000"/>
        </w:rPr>
        <w:t>2.</w:t>
      </w:r>
      <w:r>
        <w:rPr>
          <w:rFonts w:hint="eastAsia"/>
          <w:color w:val="000000"/>
        </w:rPr>
        <w:t>第</w:t>
      </w:r>
      <w:r>
        <w:rPr>
          <w:color w:val="000000"/>
        </w:rPr>
        <w:t>2</w:t>
      </w:r>
      <w:r>
        <w:rPr>
          <w:rFonts w:hint="eastAsia"/>
          <w:color w:val="000000"/>
        </w:rPr>
        <w:t>行</w:t>
      </w:r>
      <w:r>
        <w:rPr>
          <w:color w:val="000000"/>
        </w:rPr>
        <w:t>＝</w:t>
      </w:r>
      <w:r>
        <w:rPr>
          <w:rFonts w:hint="eastAsia"/>
          <w:color w:val="000000"/>
        </w:rPr>
        <w:t>第</w:t>
      </w:r>
      <w:r>
        <w:rPr>
          <w:color w:val="000000"/>
        </w:rPr>
        <w:t>3+5+6+7+8</w:t>
      </w:r>
      <w:r>
        <w:rPr>
          <w:rFonts w:hint="eastAsia"/>
          <w:color w:val="000000"/>
        </w:rPr>
        <w:t>行。</w:t>
      </w:r>
    </w:p>
    <w:p w14:paraId="78A52873">
      <w:pPr>
        <w:pStyle w:val="8"/>
        <w:rPr>
          <w:color w:val="000000"/>
        </w:rPr>
      </w:pPr>
      <w:r>
        <w:rPr>
          <w:color w:val="000000"/>
        </w:rPr>
        <w:t>3.</w:t>
      </w:r>
      <w:r>
        <w:rPr>
          <w:rFonts w:hint="eastAsia"/>
          <w:color w:val="000000"/>
        </w:rPr>
        <w:t>第</w:t>
      </w:r>
      <w:r>
        <w:rPr>
          <w:color w:val="000000"/>
        </w:rPr>
        <w:t>9</w:t>
      </w:r>
      <w:r>
        <w:rPr>
          <w:rFonts w:hint="eastAsia"/>
          <w:color w:val="000000"/>
        </w:rPr>
        <w:t>行</w:t>
      </w:r>
      <w:r>
        <w:rPr>
          <w:color w:val="000000"/>
        </w:rPr>
        <w:t>＝</w:t>
      </w:r>
      <w:r>
        <w:rPr>
          <w:rFonts w:hint="eastAsia"/>
          <w:color w:val="000000"/>
        </w:rPr>
        <w:t>第</w:t>
      </w:r>
      <w:r>
        <w:rPr>
          <w:color w:val="000000"/>
        </w:rPr>
        <w:t>10+12+13+14+15</w:t>
      </w:r>
      <w:r>
        <w:rPr>
          <w:rFonts w:hint="eastAsia"/>
          <w:color w:val="000000"/>
        </w:rPr>
        <w:t>行。</w:t>
      </w:r>
    </w:p>
    <w:p w14:paraId="19865144">
      <w:pPr>
        <w:pStyle w:val="8"/>
        <w:rPr>
          <w:color w:val="000000"/>
        </w:rPr>
      </w:pPr>
      <w:r>
        <w:rPr>
          <w:color w:val="000000"/>
        </w:rPr>
        <w:t>4.</w:t>
      </w:r>
      <w:r>
        <w:rPr>
          <w:rFonts w:hint="eastAsia"/>
          <w:color w:val="000000"/>
        </w:rPr>
        <w:t>第</w:t>
      </w:r>
      <w:r>
        <w:rPr>
          <w:color w:val="000000"/>
        </w:rPr>
        <w:t>16</w:t>
      </w:r>
      <w:r>
        <w:rPr>
          <w:rFonts w:hint="eastAsia"/>
          <w:color w:val="000000"/>
        </w:rPr>
        <w:t>行</w:t>
      </w:r>
      <w:r>
        <w:rPr>
          <w:color w:val="000000"/>
        </w:rPr>
        <w:t>＝</w:t>
      </w:r>
      <w:r>
        <w:rPr>
          <w:rFonts w:hint="eastAsia"/>
          <w:color w:val="000000"/>
        </w:rPr>
        <w:t>第</w:t>
      </w:r>
      <w:r>
        <w:rPr>
          <w:color w:val="000000"/>
        </w:rPr>
        <w:t>17+18+…</w:t>
      </w:r>
      <w:r>
        <w:rPr>
          <w:rFonts w:hint="eastAsia"/>
          <w:color w:val="000000"/>
        </w:rPr>
        <w:t>+</w:t>
      </w:r>
      <w:r>
        <w:rPr>
          <w:color w:val="000000"/>
        </w:rPr>
        <w:t>26</w:t>
      </w:r>
      <w:r>
        <w:rPr>
          <w:rFonts w:hint="eastAsia"/>
          <w:color w:val="000000"/>
        </w:rPr>
        <w:t>行。</w:t>
      </w:r>
    </w:p>
    <w:p w14:paraId="20CF561C">
      <w:pPr>
        <w:pStyle w:val="11"/>
        <w:rPr>
          <w:color w:val="000000"/>
        </w:rPr>
      </w:pPr>
      <w:r>
        <w:rPr>
          <w:rFonts w:hint="eastAsia"/>
          <w:color w:val="000000"/>
        </w:rPr>
        <w:t>（二）表间关系</w:t>
      </w:r>
    </w:p>
    <w:p w14:paraId="7BF9655A">
      <w:pPr>
        <w:pStyle w:val="8"/>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2</w:t>
      </w:r>
      <w:r>
        <w:rPr>
          <w:rFonts w:hint="eastAsia"/>
          <w:color w:val="000000"/>
        </w:rPr>
        <w:t>行。</w:t>
      </w:r>
    </w:p>
    <w:p w14:paraId="7EBD4B79">
      <w:pPr>
        <w:pStyle w:val="8"/>
        <w:rPr>
          <w:rFonts w:hint="eastAsia"/>
          <w:color w:val="000000"/>
          <w:lang w:eastAsia="zh-CN"/>
        </w:rPr>
      </w:pPr>
      <w:r>
        <w:rPr>
          <w:color w:val="000000"/>
        </w:rPr>
        <w:t>2</w:t>
      </w:r>
      <w:r>
        <w:rPr>
          <w:rFonts w:hint="eastAsia"/>
          <w:color w:val="000000"/>
        </w:rPr>
        <w:t>.第</w:t>
      </w:r>
      <w:r>
        <w:rPr>
          <w:color w:val="000000"/>
        </w:rPr>
        <w:t>16</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12</w:t>
      </w:r>
      <w:r>
        <w:rPr>
          <w:rFonts w:hint="eastAsia"/>
          <w:color w:val="000000"/>
        </w:rPr>
        <w:t>行</w:t>
      </w:r>
      <w:r>
        <w:rPr>
          <w:rFonts w:hint="eastAsia"/>
          <w:color w:val="000000"/>
          <w:lang w:eastAsia="zh-CN"/>
        </w:rPr>
        <w:t>。</w:t>
      </w:r>
    </w:p>
    <w:p w14:paraId="105F9192">
      <w:pPr>
        <w:pStyle w:val="8"/>
        <w:rPr>
          <w:rFonts w:hint="eastAsia"/>
          <w:color w:val="000000"/>
          <w:lang w:eastAsia="zh-CN"/>
        </w:rPr>
      </w:pPr>
    </w:p>
    <w:p w14:paraId="78A3F8FE">
      <w:pPr>
        <w:pStyle w:val="8"/>
        <w:rPr>
          <w:rFonts w:hint="eastAsia"/>
          <w:color w:val="000000"/>
          <w:lang w:eastAsia="zh-CN"/>
        </w:rPr>
      </w:pPr>
    </w:p>
    <w:p w14:paraId="05F8F759">
      <w:pPr>
        <w:pStyle w:val="8"/>
        <w:rPr>
          <w:rFonts w:hint="eastAsia"/>
          <w:color w:val="000000"/>
          <w:lang w:eastAsia="zh-CN"/>
        </w:rPr>
      </w:pPr>
    </w:p>
    <w:p w14:paraId="4A5C19D4">
      <w:pPr>
        <w:pStyle w:val="12"/>
        <w:tabs>
          <w:tab w:val="clear" w:pos="4200"/>
        </w:tabs>
        <w:spacing w:before="120" w:after="120"/>
        <w:rPr>
          <w:rFonts w:hint="eastAsia" w:ascii="宋体" w:hAnsi="宋体" w:eastAsia="宋体" w:cs="宋体"/>
          <w:color w:val="auto"/>
          <w:lang w:eastAsia="zh-CN"/>
        </w:rPr>
      </w:pPr>
      <w:bookmarkStart w:id="5" w:name="_Toc176972048"/>
      <w:bookmarkStart w:id="6" w:name="_Toc565566960"/>
      <w:bookmarkStart w:id="7" w:name="_Toc1811344709"/>
      <w:r>
        <w:rPr>
          <w:rFonts w:hint="eastAsia" w:ascii="宋体" w:hAnsi="宋体" w:eastAsia="宋体" w:cs="宋体"/>
          <w:color w:val="auto"/>
        </w:rPr>
        <w:t>A102010</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《一般企业成本支出明细表》填报说明</w:t>
      </w:r>
      <w:bookmarkEnd w:id="5"/>
      <w:bookmarkEnd w:id="6"/>
      <w:bookmarkEnd w:id="7"/>
      <w:r>
        <w:rPr>
          <w:rFonts w:hint="eastAsia" w:ascii="宋体" w:hAnsi="宋体" w:eastAsia="宋体" w:cs="宋体"/>
          <w:color w:val="auto"/>
          <w:lang w:eastAsia="zh-CN"/>
        </w:rPr>
        <w:t>（</w:t>
      </w:r>
      <w:r>
        <w:rPr>
          <w:rFonts w:hint="eastAsia" w:ascii="宋体" w:hAnsi="宋体" w:eastAsia="宋体" w:cs="宋体"/>
          <w:color w:val="auto"/>
          <w:lang w:val="en-US" w:eastAsia="zh-CN"/>
        </w:rPr>
        <w:t>2024新</w:t>
      </w:r>
      <w:bookmarkStart w:id="8" w:name="_GoBack"/>
      <w:bookmarkEnd w:id="8"/>
      <w:r>
        <w:rPr>
          <w:rFonts w:hint="eastAsia" w:ascii="宋体" w:hAnsi="宋体" w:eastAsia="宋体" w:cs="宋体"/>
          <w:color w:val="auto"/>
          <w:lang w:eastAsia="zh-CN"/>
        </w:rPr>
        <w:t>）</w:t>
      </w:r>
    </w:p>
    <w:p w14:paraId="2EEF49A7">
      <w:pPr>
        <w:pStyle w:val="8"/>
        <w:ind w:firstLine="480"/>
        <w:rPr>
          <w:rFonts w:hint="eastAsia"/>
          <w:color w:val="auto"/>
        </w:rPr>
      </w:pPr>
      <w:r>
        <w:rPr>
          <w:rFonts w:hint="eastAsia"/>
          <w:color w:val="auto"/>
        </w:rPr>
        <w:t>本表适用于除金融企业、事业单位和民间非营利组织外的企业填报。纳税人应根据国家统一会计制度的规定，填报“主营业务成本”“其他业务成本”和“营业外支出”。</w:t>
      </w:r>
    </w:p>
    <w:p w14:paraId="480C3E0A">
      <w:pPr>
        <w:pStyle w:val="10"/>
        <w:ind w:firstLine="482"/>
        <w:rPr>
          <w:rFonts w:hint="eastAsia"/>
          <w:color w:val="auto"/>
        </w:rPr>
      </w:pPr>
      <w:r>
        <w:rPr>
          <w:rFonts w:hint="eastAsia"/>
          <w:color w:val="auto"/>
        </w:rPr>
        <w:t>一、有关项目填报说明</w:t>
      </w:r>
    </w:p>
    <w:p w14:paraId="2508EFE0">
      <w:pPr>
        <w:pStyle w:val="8"/>
        <w:ind w:firstLine="480"/>
        <w:rPr>
          <w:rFonts w:hint="eastAsia"/>
          <w:color w:val="auto"/>
        </w:rPr>
      </w:pPr>
      <w:r>
        <w:rPr>
          <w:color w:val="auto"/>
        </w:rPr>
        <w:t>1</w:t>
      </w:r>
      <w:r>
        <w:rPr>
          <w:rFonts w:hint="eastAsia"/>
          <w:color w:val="auto"/>
        </w:rPr>
        <w:t>.第</w:t>
      </w:r>
      <w:r>
        <w:rPr>
          <w:color w:val="auto"/>
        </w:rPr>
        <w:t>1</w:t>
      </w:r>
      <w:r>
        <w:rPr>
          <w:rFonts w:hint="eastAsia"/>
          <w:color w:val="auto"/>
        </w:rPr>
        <w:t>行“营业成本”：填报纳税人主要经营业务和其他经营业务发生的成本总额。本行根据“主营业务成本”和“其他业务成本”的数额计算填报。</w:t>
      </w:r>
    </w:p>
    <w:p w14:paraId="628767A5">
      <w:pPr>
        <w:pStyle w:val="8"/>
        <w:ind w:firstLine="480"/>
        <w:rPr>
          <w:rFonts w:hint="eastAsia"/>
          <w:color w:val="auto"/>
        </w:rPr>
      </w:pPr>
      <w:r>
        <w:rPr>
          <w:color w:val="auto"/>
        </w:rPr>
        <w:t>2.</w:t>
      </w:r>
      <w:r>
        <w:rPr>
          <w:rFonts w:hint="eastAsia"/>
          <w:color w:val="auto"/>
        </w:rPr>
        <w:t>第</w:t>
      </w:r>
      <w:r>
        <w:rPr>
          <w:color w:val="auto"/>
        </w:rPr>
        <w:t>2</w:t>
      </w:r>
      <w:r>
        <w:rPr>
          <w:rFonts w:hint="eastAsia"/>
          <w:color w:val="auto"/>
        </w:rPr>
        <w:t>行“主营业务成本”：根据不同行业的业务性质分别填报纳税人核算的主营业务成本。</w:t>
      </w:r>
    </w:p>
    <w:p w14:paraId="104E8780">
      <w:pPr>
        <w:pStyle w:val="8"/>
        <w:ind w:firstLine="480"/>
        <w:rPr>
          <w:rFonts w:hint="eastAsia"/>
          <w:color w:val="auto"/>
        </w:rPr>
      </w:pPr>
      <w:r>
        <w:rPr>
          <w:color w:val="auto"/>
        </w:rPr>
        <w:t>3</w:t>
      </w:r>
      <w:r>
        <w:rPr>
          <w:rFonts w:hint="eastAsia"/>
          <w:color w:val="auto"/>
        </w:rPr>
        <w:t>.第</w:t>
      </w:r>
      <w:r>
        <w:rPr>
          <w:color w:val="auto"/>
        </w:rPr>
        <w:t>3</w:t>
      </w:r>
      <w:r>
        <w:rPr>
          <w:rFonts w:hint="eastAsia"/>
          <w:color w:val="auto"/>
        </w:rPr>
        <w:t>行“销售商品成本”：填报纳税人从事工业制造、商品流通、农业生产以及其他商品销售活动发生的主营业务成本。房地产开发企业销售开发产品（销售未完工开发产品除外）发生的成本也在此行填报。</w:t>
      </w:r>
    </w:p>
    <w:p w14:paraId="6D60AA8F">
      <w:pPr>
        <w:pStyle w:val="8"/>
        <w:ind w:firstLine="480"/>
        <w:rPr>
          <w:rFonts w:hint="eastAsia"/>
          <w:color w:val="auto"/>
        </w:rPr>
      </w:pPr>
      <w:r>
        <w:rPr>
          <w:color w:val="auto"/>
        </w:rPr>
        <w:t>4.</w:t>
      </w:r>
      <w:r>
        <w:rPr>
          <w:rFonts w:hint="eastAsia"/>
          <w:color w:val="auto"/>
        </w:rPr>
        <w:t>第</w:t>
      </w:r>
      <w:r>
        <w:rPr>
          <w:color w:val="auto"/>
        </w:rPr>
        <w:t>4</w:t>
      </w:r>
      <w:r>
        <w:rPr>
          <w:rFonts w:hint="eastAsia"/>
          <w:color w:val="auto"/>
        </w:rPr>
        <w:t>行“其中：非货币性资产交换成本”：填报纳税人发生的非货币性资产交换按照国家统一会计制度应确认的销售商品成本。</w:t>
      </w:r>
    </w:p>
    <w:p w14:paraId="1D34B205">
      <w:pPr>
        <w:pStyle w:val="8"/>
        <w:ind w:firstLine="480"/>
        <w:rPr>
          <w:rFonts w:hint="eastAsia"/>
          <w:color w:val="auto"/>
        </w:rPr>
      </w:pPr>
      <w:r>
        <w:rPr>
          <w:color w:val="auto"/>
        </w:rPr>
        <w:t>5.</w:t>
      </w:r>
      <w:r>
        <w:rPr>
          <w:rFonts w:hint="eastAsia"/>
          <w:color w:val="auto"/>
        </w:rPr>
        <w:t>第</w:t>
      </w:r>
      <w:r>
        <w:rPr>
          <w:color w:val="auto"/>
        </w:rPr>
        <w:t>5</w:t>
      </w:r>
      <w:r>
        <w:rPr>
          <w:rFonts w:hint="eastAsia"/>
          <w:color w:val="auto"/>
        </w:rPr>
        <w:t>行“提供劳务成本”：填报纳税人从事建筑安装、修理修配、交通运输、仓储租赁、邮电通信、咨询经纪、文化体育、科学研究、技术服务、教育培训、餐饮住宿、中介代理、卫生保健、社区服务、旅游、娱乐、加工以及其他劳务活动发生的主营业务成本。</w:t>
      </w:r>
    </w:p>
    <w:p w14:paraId="54351007">
      <w:pPr>
        <w:pStyle w:val="8"/>
        <w:ind w:firstLine="480"/>
        <w:rPr>
          <w:rFonts w:hint="eastAsia"/>
          <w:color w:val="auto"/>
        </w:rPr>
      </w:pPr>
      <w:r>
        <w:rPr>
          <w:color w:val="auto"/>
        </w:rPr>
        <w:t>6.</w:t>
      </w:r>
      <w:r>
        <w:rPr>
          <w:rFonts w:hint="eastAsia"/>
          <w:color w:val="auto"/>
        </w:rPr>
        <w:t>第</w:t>
      </w:r>
      <w:r>
        <w:rPr>
          <w:color w:val="auto"/>
        </w:rPr>
        <w:t>6</w:t>
      </w:r>
      <w:r>
        <w:rPr>
          <w:rFonts w:hint="eastAsia"/>
          <w:color w:val="auto"/>
        </w:rPr>
        <w:t>行“建造合同成本”：填报纳税人建造房屋、道路、桥梁、水坝等建筑物，以及生产船舶、飞机、大型机械设备等发生的主营业务成本。</w:t>
      </w:r>
    </w:p>
    <w:p w14:paraId="6A24AC43">
      <w:pPr>
        <w:pStyle w:val="8"/>
        <w:ind w:firstLine="480"/>
        <w:rPr>
          <w:rFonts w:hint="eastAsia"/>
          <w:color w:val="auto"/>
        </w:rPr>
      </w:pPr>
      <w:r>
        <w:rPr>
          <w:color w:val="auto"/>
        </w:rPr>
        <w:t>7</w:t>
      </w:r>
      <w:r>
        <w:rPr>
          <w:rFonts w:hint="eastAsia"/>
          <w:color w:val="auto"/>
        </w:rPr>
        <w:t>.第</w:t>
      </w:r>
      <w:r>
        <w:rPr>
          <w:color w:val="auto"/>
        </w:rPr>
        <w:t>7</w:t>
      </w:r>
      <w:r>
        <w:rPr>
          <w:rFonts w:hint="eastAsia"/>
          <w:color w:val="auto"/>
        </w:rPr>
        <w:t>行“让渡资产使用权成本”：填报纳税人在主营业务成本核算的，让渡无形资产使用权而发生的使用费成本以及出租固定资产、无形资产、投资性房地产发生的租金成本。</w:t>
      </w:r>
    </w:p>
    <w:p w14:paraId="48B51710">
      <w:pPr>
        <w:pStyle w:val="8"/>
        <w:ind w:firstLine="480"/>
        <w:rPr>
          <w:rFonts w:hint="eastAsia"/>
          <w:color w:val="auto"/>
        </w:rPr>
      </w:pPr>
      <w:r>
        <w:rPr>
          <w:color w:val="auto"/>
        </w:rPr>
        <w:t>8</w:t>
      </w:r>
      <w:r>
        <w:rPr>
          <w:rFonts w:hint="eastAsia"/>
          <w:color w:val="auto"/>
        </w:rPr>
        <w:t>.第</w:t>
      </w:r>
      <w:r>
        <w:rPr>
          <w:color w:val="auto"/>
        </w:rPr>
        <w:t>8</w:t>
      </w:r>
      <w:r>
        <w:rPr>
          <w:rFonts w:hint="eastAsia"/>
          <w:color w:val="auto"/>
        </w:rPr>
        <w:t>行“其他”：填报纳税人按照国家统一会计制度核算</w:t>
      </w:r>
      <w:r>
        <w:rPr>
          <w:rFonts w:hint="eastAsia"/>
          <w:color w:val="auto"/>
          <w:lang w:eastAsia="zh-CN"/>
        </w:rPr>
        <w:t>，</w:t>
      </w:r>
      <w:r>
        <w:rPr>
          <w:rFonts w:hint="eastAsia"/>
          <w:color w:val="auto"/>
        </w:rPr>
        <w:t>上述未列举的其他主营业务成本。</w:t>
      </w:r>
    </w:p>
    <w:p w14:paraId="1E3C0D1A">
      <w:pPr>
        <w:pStyle w:val="8"/>
        <w:ind w:firstLine="480"/>
        <w:rPr>
          <w:rFonts w:hint="eastAsia"/>
          <w:color w:val="auto"/>
        </w:rPr>
      </w:pPr>
      <w:r>
        <w:rPr>
          <w:color w:val="auto"/>
        </w:rPr>
        <w:t>9.</w:t>
      </w:r>
      <w:r>
        <w:rPr>
          <w:rFonts w:hint="eastAsia"/>
          <w:color w:val="auto"/>
        </w:rPr>
        <w:t>第9行“其他业务成本”：根据不同行业的业务性质分别填报纳税人按照国家统一会计制度核算的其他业务成本。</w:t>
      </w:r>
    </w:p>
    <w:p w14:paraId="51B998A5">
      <w:pPr>
        <w:pStyle w:val="8"/>
        <w:ind w:firstLine="480"/>
        <w:rPr>
          <w:rFonts w:hint="eastAsia"/>
          <w:color w:val="auto"/>
        </w:rPr>
      </w:pPr>
      <w:r>
        <w:rPr>
          <w:color w:val="auto"/>
        </w:rPr>
        <w:t>10.</w:t>
      </w:r>
      <w:r>
        <w:rPr>
          <w:rFonts w:hint="eastAsia"/>
          <w:color w:val="auto"/>
        </w:rPr>
        <w:t>第</w:t>
      </w:r>
      <w:r>
        <w:rPr>
          <w:color w:val="auto"/>
        </w:rPr>
        <w:t>10</w:t>
      </w:r>
      <w:r>
        <w:rPr>
          <w:rFonts w:hint="eastAsia"/>
          <w:color w:val="auto"/>
        </w:rPr>
        <w:t>行“销售材料成本”：填报纳税人销售材料、下脚料、废料、废旧物资等发生的成本。</w:t>
      </w:r>
    </w:p>
    <w:p w14:paraId="102BCE3F">
      <w:pPr>
        <w:pStyle w:val="8"/>
        <w:ind w:firstLine="480"/>
        <w:rPr>
          <w:rFonts w:hint="eastAsia"/>
          <w:color w:val="auto"/>
        </w:rPr>
      </w:pPr>
      <w:r>
        <w:rPr>
          <w:color w:val="auto"/>
        </w:rPr>
        <w:t>11</w:t>
      </w:r>
      <w:r>
        <w:rPr>
          <w:rFonts w:hint="eastAsia"/>
          <w:color w:val="auto"/>
        </w:rPr>
        <w:t>.第</w:t>
      </w:r>
      <w:r>
        <w:rPr>
          <w:color w:val="auto"/>
        </w:rPr>
        <w:t>11</w:t>
      </w:r>
      <w:r>
        <w:rPr>
          <w:rFonts w:hint="eastAsia"/>
          <w:color w:val="auto"/>
        </w:rPr>
        <w:t>行“其中：非货币性资产交换成本”：填报纳税人发生的非货币性资产交换按照国家统一会计制度应确认的材料销售成本。</w:t>
      </w:r>
    </w:p>
    <w:p w14:paraId="40265E61">
      <w:pPr>
        <w:pStyle w:val="8"/>
        <w:ind w:firstLine="480"/>
        <w:rPr>
          <w:rFonts w:hint="eastAsia"/>
          <w:color w:val="auto"/>
        </w:rPr>
      </w:pPr>
      <w:r>
        <w:rPr>
          <w:color w:val="auto"/>
        </w:rPr>
        <w:t>12.</w:t>
      </w:r>
      <w:r>
        <w:rPr>
          <w:rFonts w:hint="eastAsia"/>
          <w:color w:val="auto"/>
        </w:rPr>
        <w:t>第</w:t>
      </w:r>
      <w:r>
        <w:rPr>
          <w:color w:val="auto"/>
        </w:rPr>
        <w:t>12</w:t>
      </w:r>
      <w:r>
        <w:rPr>
          <w:rFonts w:hint="eastAsia"/>
          <w:color w:val="auto"/>
        </w:rPr>
        <w:t>行“出租固定资产成本”：填报纳税人将固定资产使用权让与承租人形成的出租固定资产成本。</w:t>
      </w:r>
    </w:p>
    <w:p w14:paraId="1E4014C3">
      <w:pPr>
        <w:pStyle w:val="8"/>
        <w:ind w:firstLine="480"/>
        <w:rPr>
          <w:rFonts w:hint="eastAsia"/>
          <w:color w:val="auto"/>
        </w:rPr>
      </w:pPr>
      <w:r>
        <w:rPr>
          <w:color w:val="auto"/>
        </w:rPr>
        <w:t>13.</w:t>
      </w:r>
      <w:r>
        <w:rPr>
          <w:rFonts w:hint="eastAsia"/>
          <w:color w:val="auto"/>
        </w:rPr>
        <w:t>第</w:t>
      </w:r>
      <w:r>
        <w:rPr>
          <w:color w:val="auto"/>
        </w:rPr>
        <w:t>13</w:t>
      </w:r>
      <w:r>
        <w:rPr>
          <w:rFonts w:hint="eastAsia"/>
          <w:color w:val="auto"/>
        </w:rPr>
        <w:t>行“出租无形资产成本”：填报纳税人让渡无形资产使用权形成的出租无形资产成本。</w:t>
      </w:r>
    </w:p>
    <w:p w14:paraId="6E2E436C">
      <w:pPr>
        <w:pStyle w:val="8"/>
        <w:ind w:firstLine="480"/>
        <w:rPr>
          <w:rFonts w:hint="eastAsia"/>
          <w:color w:val="auto"/>
        </w:rPr>
      </w:pPr>
      <w:r>
        <w:rPr>
          <w:color w:val="auto"/>
        </w:rPr>
        <w:t>14.</w:t>
      </w:r>
      <w:r>
        <w:rPr>
          <w:rFonts w:hint="eastAsia"/>
          <w:color w:val="auto"/>
        </w:rPr>
        <w:t>第</w:t>
      </w:r>
      <w:r>
        <w:rPr>
          <w:color w:val="auto"/>
        </w:rPr>
        <w:t>14</w:t>
      </w:r>
      <w:r>
        <w:rPr>
          <w:rFonts w:hint="eastAsia"/>
          <w:color w:val="auto"/>
        </w:rPr>
        <w:t>行“包装物出租成本”：填报纳税人出租、出借包装物形成的包装物出租成本。</w:t>
      </w:r>
    </w:p>
    <w:p w14:paraId="50580CB5">
      <w:pPr>
        <w:pStyle w:val="8"/>
        <w:ind w:firstLine="480"/>
        <w:rPr>
          <w:rFonts w:hint="eastAsia"/>
          <w:color w:val="auto"/>
        </w:rPr>
      </w:pPr>
      <w:r>
        <w:rPr>
          <w:color w:val="auto"/>
        </w:rPr>
        <w:t>15.</w:t>
      </w:r>
      <w:r>
        <w:rPr>
          <w:rFonts w:hint="eastAsia"/>
          <w:color w:val="auto"/>
        </w:rPr>
        <w:t>第</w:t>
      </w:r>
      <w:r>
        <w:rPr>
          <w:color w:val="auto"/>
        </w:rPr>
        <w:t>15</w:t>
      </w:r>
      <w:r>
        <w:rPr>
          <w:rFonts w:hint="eastAsia"/>
          <w:color w:val="auto"/>
        </w:rPr>
        <w:t>行“其他”：填报纳税人按照国家统一会计制度核算，上述未列举的其他业务成本。</w:t>
      </w:r>
    </w:p>
    <w:p w14:paraId="06A31C7E">
      <w:pPr>
        <w:pStyle w:val="8"/>
        <w:ind w:firstLine="480"/>
        <w:rPr>
          <w:color w:val="auto"/>
          <w:highlight w:val="none"/>
        </w:rPr>
      </w:pPr>
      <w:r>
        <w:rPr>
          <w:color w:val="auto"/>
        </w:rPr>
        <w:t>16.</w:t>
      </w:r>
      <w:r>
        <w:rPr>
          <w:rFonts w:hint="eastAsia"/>
          <w:color w:val="auto"/>
        </w:rPr>
        <w:t>第</w:t>
      </w:r>
      <w:r>
        <w:rPr>
          <w:color w:val="auto"/>
        </w:rPr>
        <w:t>16</w:t>
      </w:r>
      <w:r>
        <w:rPr>
          <w:rFonts w:hint="eastAsia"/>
          <w:color w:val="auto"/>
        </w:rPr>
        <w:t>行“营业外支出”：</w:t>
      </w:r>
      <w:r>
        <w:rPr>
          <w:rFonts w:hint="eastAsia"/>
          <w:color w:val="auto"/>
          <w:highlight w:val="none"/>
        </w:rPr>
        <w:t>填报纳税人发生的除营业利润以外的支出</w:t>
      </w:r>
      <w:r>
        <w:rPr>
          <w:rFonts w:hint="eastAsia"/>
          <w:color w:val="auto"/>
          <w:highlight w:val="none"/>
          <w:lang w:eastAsia="zh-CN"/>
        </w:rPr>
        <w:t>。</w:t>
      </w:r>
    </w:p>
    <w:p w14:paraId="28E69030">
      <w:pPr>
        <w:pStyle w:val="8"/>
        <w:ind w:firstLine="480"/>
        <w:rPr>
          <w:rFonts w:hint="eastAsia"/>
          <w:color w:val="auto"/>
        </w:rPr>
      </w:pPr>
      <w:r>
        <w:rPr>
          <w:color w:val="auto"/>
        </w:rPr>
        <w:t>17.</w:t>
      </w:r>
      <w:r>
        <w:rPr>
          <w:rFonts w:hint="eastAsia"/>
          <w:color w:val="auto"/>
        </w:rPr>
        <w:t>第</w:t>
      </w:r>
      <w:r>
        <w:rPr>
          <w:color w:val="auto"/>
        </w:rPr>
        <w:t>17</w:t>
      </w:r>
      <w:r>
        <w:rPr>
          <w:rFonts w:hint="eastAsia"/>
          <w:color w:val="auto"/>
        </w:rPr>
        <w:t>行“非流动资产处置损失”：填报纳税人处置非流动资产形成的净损失。</w:t>
      </w:r>
    </w:p>
    <w:p w14:paraId="135D4ED7">
      <w:pPr>
        <w:pStyle w:val="8"/>
        <w:ind w:firstLine="480"/>
        <w:rPr>
          <w:rFonts w:hint="eastAsia"/>
          <w:color w:val="auto"/>
        </w:rPr>
      </w:pPr>
      <w:r>
        <w:rPr>
          <w:color w:val="auto"/>
        </w:rPr>
        <w:t>18.</w:t>
      </w:r>
      <w:r>
        <w:rPr>
          <w:rFonts w:hint="eastAsia"/>
          <w:color w:val="auto"/>
        </w:rPr>
        <w:t>第</w:t>
      </w:r>
      <w:r>
        <w:rPr>
          <w:color w:val="auto"/>
        </w:rPr>
        <w:t>18</w:t>
      </w:r>
      <w:r>
        <w:rPr>
          <w:rFonts w:hint="eastAsia"/>
          <w:color w:val="auto"/>
        </w:rPr>
        <w:t>行“非货币性资产交换损失”：填报纳税人发生非货币性资产交换应确认的净损失。</w:t>
      </w:r>
    </w:p>
    <w:p w14:paraId="6749B224">
      <w:pPr>
        <w:pStyle w:val="8"/>
        <w:ind w:firstLine="480"/>
        <w:rPr>
          <w:rFonts w:hint="eastAsia"/>
          <w:color w:val="auto"/>
        </w:rPr>
      </w:pPr>
      <w:r>
        <w:rPr>
          <w:color w:val="auto"/>
        </w:rPr>
        <w:t>19.</w:t>
      </w:r>
      <w:r>
        <w:rPr>
          <w:rFonts w:hint="eastAsia"/>
          <w:color w:val="auto"/>
        </w:rPr>
        <w:t>第</w:t>
      </w:r>
      <w:r>
        <w:rPr>
          <w:color w:val="auto"/>
        </w:rPr>
        <w:t>19</w:t>
      </w:r>
      <w:r>
        <w:rPr>
          <w:rFonts w:hint="eastAsia"/>
          <w:color w:val="auto"/>
        </w:rPr>
        <w:t>行“债务重组损失”：填报纳税人进行债务重组应确认的净损失。</w:t>
      </w:r>
    </w:p>
    <w:p w14:paraId="7DD0567C">
      <w:pPr>
        <w:pStyle w:val="8"/>
        <w:ind w:firstLine="480"/>
        <w:rPr>
          <w:rFonts w:hint="eastAsia"/>
          <w:color w:val="auto"/>
        </w:rPr>
      </w:pPr>
      <w:r>
        <w:rPr>
          <w:color w:val="auto"/>
        </w:rPr>
        <w:t>20.</w:t>
      </w:r>
      <w:r>
        <w:rPr>
          <w:rFonts w:hint="eastAsia"/>
          <w:color w:val="auto"/>
        </w:rPr>
        <w:t>第</w:t>
      </w:r>
      <w:r>
        <w:rPr>
          <w:color w:val="auto"/>
        </w:rPr>
        <w:t>20</w:t>
      </w:r>
      <w:r>
        <w:rPr>
          <w:rFonts w:hint="eastAsia"/>
          <w:color w:val="auto"/>
        </w:rPr>
        <w:t>行“非常损失”：填报纳税人在营业外支出中核算的各项非正常的财产损失。</w:t>
      </w:r>
    </w:p>
    <w:p w14:paraId="548544DE">
      <w:pPr>
        <w:pStyle w:val="8"/>
        <w:ind w:firstLine="480"/>
        <w:rPr>
          <w:rFonts w:hint="eastAsia"/>
          <w:color w:val="auto"/>
        </w:rPr>
      </w:pPr>
      <w:r>
        <w:rPr>
          <w:color w:val="auto"/>
        </w:rPr>
        <w:t>21.</w:t>
      </w:r>
      <w:r>
        <w:rPr>
          <w:rFonts w:hint="eastAsia"/>
          <w:color w:val="auto"/>
        </w:rPr>
        <w:t>第</w:t>
      </w:r>
      <w:r>
        <w:rPr>
          <w:color w:val="auto"/>
        </w:rPr>
        <w:t>21</w:t>
      </w:r>
      <w:r>
        <w:rPr>
          <w:rFonts w:hint="eastAsia"/>
          <w:color w:val="auto"/>
        </w:rPr>
        <w:t>行“捐赠支出”：填报纳税人无偿给予其他企业、组织或个人的货币性资产、非货币性资产的捐赠支出。</w:t>
      </w:r>
    </w:p>
    <w:p w14:paraId="40018A97">
      <w:pPr>
        <w:pStyle w:val="8"/>
        <w:ind w:firstLine="480"/>
        <w:rPr>
          <w:rFonts w:hint="eastAsia"/>
          <w:color w:val="auto"/>
        </w:rPr>
      </w:pPr>
      <w:r>
        <w:rPr>
          <w:color w:val="auto"/>
        </w:rPr>
        <w:t>22.</w:t>
      </w:r>
      <w:r>
        <w:rPr>
          <w:rFonts w:hint="eastAsia"/>
          <w:color w:val="auto"/>
        </w:rPr>
        <w:t>第</w:t>
      </w:r>
      <w:r>
        <w:rPr>
          <w:color w:val="auto"/>
        </w:rPr>
        <w:t>22</w:t>
      </w:r>
      <w:r>
        <w:rPr>
          <w:rFonts w:hint="eastAsia"/>
          <w:color w:val="auto"/>
        </w:rPr>
        <w:t>行“赞助支出”：填报纳税人发生的货币性资产、非货币性资产赞助支出。</w:t>
      </w:r>
    </w:p>
    <w:p w14:paraId="24355AFB">
      <w:pPr>
        <w:pStyle w:val="8"/>
        <w:ind w:firstLine="480"/>
        <w:rPr>
          <w:rFonts w:hint="eastAsia"/>
          <w:color w:val="auto"/>
        </w:rPr>
      </w:pPr>
      <w:r>
        <w:rPr>
          <w:color w:val="auto"/>
        </w:rPr>
        <w:t>23</w:t>
      </w:r>
      <w:r>
        <w:rPr>
          <w:rFonts w:hint="eastAsia"/>
          <w:color w:val="auto"/>
        </w:rPr>
        <w:t>.第</w:t>
      </w:r>
      <w:r>
        <w:rPr>
          <w:color w:val="auto"/>
        </w:rPr>
        <w:t>23</w:t>
      </w:r>
      <w:r>
        <w:rPr>
          <w:rFonts w:hint="eastAsia"/>
          <w:color w:val="auto"/>
        </w:rPr>
        <w:t>行“罚没支出”：填报纳税人在日常经营管理活动中对外支付的各项罚款、没收收入的支出。</w:t>
      </w:r>
    </w:p>
    <w:p w14:paraId="7B98FC25">
      <w:pPr>
        <w:pStyle w:val="8"/>
        <w:ind w:firstLine="480"/>
        <w:rPr>
          <w:rFonts w:hint="eastAsia"/>
          <w:color w:val="auto"/>
        </w:rPr>
      </w:pPr>
      <w:r>
        <w:rPr>
          <w:color w:val="auto"/>
        </w:rPr>
        <w:t>24</w:t>
      </w:r>
      <w:r>
        <w:rPr>
          <w:rFonts w:hint="eastAsia"/>
          <w:color w:val="auto"/>
        </w:rPr>
        <w:t>.第</w:t>
      </w:r>
      <w:r>
        <w:rPr>
          <w:color w:val="auto"/>
        </w:rPr>
        <w:t>24</w:t>
      </w:r>
      <w:r>
        <w:rPr>
          <w:rFonts w:hint="eastAsia"/>
          <w:color w:val="auto"/>
        </w:rPr>
        <w:t>行“坏</w:t>
      </w:r>
      <w:r>
        <w:rPr>
          <w:rFonts w:hint="eastAsia"/>
          <w:color w:val="auto"/>
          <w:lang w:eastAsia="zh-CN"/>
        </w:rPr>
        <w:t>账</w:t>
      </w:r>
      <w:r>
        <w:rPr>
          <w:rFonts w:hint="eastAsia"/>
          <w:color w:val="auto"/>
        </w:rPr>
        <w:t>损失”：填报纳税人发生的各项坏</w:t>
      </w:r>
      <w:r>
        <w:rPr>
          <w:rFonts w:hint="eastAsia"/>
          <w:color w:val="auto"/>
          <w:lang w:eastAsia="zh-CN"/>
        </w:rPr>
        <w:t>账</w:t>
      </w:r>
      <w:r>
        <w:rPr>
          <w:rFonts w:hint="eastAsia"/>
          <w:color w:val="auto"/>
        </w:rPr>
        <w:t>损失。（该项目为使用小企业会计准则企业填报）</w:t>
      </w:r>
    </w:p>
    <w:p w14:paraId="222DD0F6">
      <w:pPr>
        <w:pStyle w:val="8"/>
        <w:ind w:firstLine="480"/>
        <w:rPr>
          <w:rFonts w:hint="eastAsia"/>
          <w:color w:val="auto"/>
        </w:rPr>
      </w:pPr>
      <w:r>
        <w:rPr>
          <w:color w:val="auto"/>
        </w:rPr>
        <w:t>25</w:t>
      </w:r>
      <w:r>
        <w:rPr>
          <w:rFonts w:hint="eastAsia"/>
          <w:color w:val="auto"/>
        </w:rPr>
        <w:t>.第</w:t>
      </w:r>
      <w:r>
        <w:rPr>
          <w:color w:val="auto"/>
        </w:rPr>
        <w:t>25</w:t>
      </w:r>
      <w:r>
        <w:rPr>
          <w:rFonts w:hint="eastAsia"/>
          <w:color w:val="auto"/>
        </w:rPr>
        <w:t>行“无法收回的债券股权投资损失”：填报纳税人各项无法收回的债券股权投资损失。（该项目为使用小企业会计准则企业填报）</w:t>
      </w:r>
    </w:p>
    <w:p w14:paraId="2B1E9410">
      <w:pPr>
        <w:pStyle w:val="8"/>
        <w:ind w:firstLine="480"/>
        <w:rPr>
          <w:rFonts w:hint="eastAsia"/>
          <w:color w:val="auto"/>
        </w:rPr>
      </w:pPr>
      <w:r>
        <w:rPr>
          <w:color w:val="auto"/>
        </w:rPr>
        <w:t>26.</w:t>
      </w:r>
      <w:r>
        <w:rPr>
          <w:rFonts w:hint="eastAsia"/>
          <w:color w:val="auto"/>
        </w:rPr>
        <w:t>第</w:t>
      </w:r>
      <w:r>
        <w:rPr>
          <w:color w:val="auto"/>
        </w:rPr>
        <w:t>26</w:t>
      </w:r>
      <w:r>
        <w:rPr>
          <w:rFonts w:hint="eastAsia"/>
          <w:color w:val="auto"/>
        </w:rPr>
        <w:t>行“其他”：填报纳税人本期实际发生的在营业外支出核算的其他损失及支出。</w:t>
      </w:r>
    </w:p>
    <w:p w14:paraId="0B6C35F9">
      <w:pPr>
        <w:pStyle w:val="10"/>
        <w:ind w:firstLine="482"/>
        <w:rPr>
          <w:rFonts w:hint="eastAsia"/>
          <w:color w:val="auto"/>
        </w:rPr>
      </w:pPr>
      <w:r>
        <w:rPr>
          <w:rFonts w:hint="eastAsia"/>
          <w:color w:val="auto"/>
        </w:rPr>
        <w:t>二、表内、表间关系</w:t>
      </w:r>
    </w:p>
    <w:p w14:paraId="70D32152">
      <w:pPr>
        <w:pStyle w:val="11"/>
        <w:rPr>
          <w:rFonts w:hint="eastAsia"/>
          <w:color w:val="auto"/>
        </w:rPr>
      </w:pPr>
      <w:r>
        <w:rPr>
          <w:rFonts w:hint="eastAsia"/>
          <w:color w:val="auto"/>
        </w:rPr>
        <w:t>（一）表内关系</w:t>
      </w:r>
    </w:p>
    <w:p w14:paraId="7ACCD370">
      <w:pPr>
        <w:pStyle w:val="8"/>
        <w:ind w:firstLine="480"/>
        <w:rPr>
          <w:rFonts w:hint="eastAsia"/>
          <w:color w:val="auto"/>
        </w:rPr>
      </w:pPr>
      <w:r>
        <w:rPr>
          <w:color w:val="auto"/>
        </w:rPr>
        <w:t>1.</w:t>
      </w:r>
      <w:r>
        <w:rPr>
          <w:rFonts w:hint="eastAsia"/>
          <w:color w:val="auto"/>
        </w:rPr>
        <w:t>第</w:t>
      </w:r>
      <w:r>
        <w:rPr>
          <w:color w:val="auto"/>
        </w:rPr>
        <w:t>1</w:t>
      </w:r>
      <w:r>
        <w:rPr>
          <w:rFonts w:hint="eastAsia"/>
          <w:color w:val="auto"/>
        </w:rPr>
        <w:t>行</w:t>
      </w:r>
      <w:r>
        <w:rPr>
          <w:color w:val="auto"/>
        </w:rPr>
        <w:t>＝</w:t>
      </w:r>
      <w:r>
        <w:rPr>
          <w:rFonts w:hint="eastAsia"/>
          <w:color w:val="auto"/>
        </w:rPr>
        <w:t>第</w:t>
      </w:r>
      <w:r>
        <w:rPr>
          <w:color w:val="auto"/>
        </w:rPr>
        <w:t>2＋</w:t>
      </w:r>
      <w:r>
        <w:rPr>
          <w:rFonts w:hint="eastAsia"/>
          <w:color w:val="auto"/>
        </w:rPr>
        <w:t>9行。</w:t>
      </w:r>
    </w:p>
    <w:p w14:paraId="3F161DD9">
      <w:pPr>
        <w:pStyle w:val="8"/>
        <w:ind w:firstLine="480"/>
        <w:rPr>
          <w:rFonts w:hint="eastAsia"/>
          <w:color w:val="auto"/>
        </w:rPr>
      </w:pPr>
      <w:r>
        <w:rPr>
          <w:color w:val="auto"/>
        </w:rPr>
        <w:t>2.</w:t>
      </w:r>
      <w:r>
        <w:rPr>
          <w:rFonts w:hint="eastAsia"/>
          <w:color w:val="auto"/>
        </w:rPr>
        <w:t>第</w:t>
      </w:r>
      <w:r>
        <w:rPr>
          <w:color w:val="auto"/>
        </w:rPr>
        <w:t>2</w:t>
      </w:r>
      <w:r>
        <w:rPr>
          <w:rFonts w:hint="eastAsia"/>
          <w:color w:val="auto"/>
        </w:rPr>
        <w:t>行</w:t>
      </w:r>
      <w:r>
        <w:rPr>
          <w:color w:val="auto"/>
        </w:rPr>
        <w:t>＝</w:t>
      </w:r>
      <w:r>
        <w:rPr>
          <w:rFonts w:hint="eastAsia"/>
          <w:color w:val="auto"/>
        </w:rPr>
        <w:t>第</w:t>
      </w:r>
      <w:r>
        <w:rPr>
          <w:color w:val="auto"/>
        </w:rPr>
        <w:t>3＋5＋6＋7＋8</w:t>
      </w:r>
      <w:r>
        <w:rPr>
          <w:rFonts w:hint="eastAsia"/>
          <w:color w:val="auto"/>
        </w:rPr>
        <w:t>行。</w:t>
      </w:r>
    </w:p>
    <w:p w14:paraId="0C1EC1DA">
      <w:pPr>
        <w:pStyle w:val="8"/>
        <w:ind w:firstLine="480"/>
        <w:rPr>
          <w:rFonts w:hint="eastAsia"/>
          <w:color w:val="auto"/>
        </w:rPr>
      </w:pPr>
      <w:r>
        <w:rPr>
          <w:color w:val="auto"/>
        </w:rPr>
        <w:t>3.</w:t>
      </w:r>
      <w:r>
        <w:rPr>
          <w:rFonts w:hint="eastAsia"/>
          <w:color w:val="auto"/>
        </w:rPr>
        <w:t>第</w:t>
      </w:r>
      <w:r>
        <w:rPr>
          <w:color w:val="auto"/>
        </w:rPr>
        <w:t>9</w:t>
      </w:r>
      <w:r>
        <w:rPr>
          <w:rFonts w:hint="eastAsia"/>
          <w:color w:val="auto"/>
        </w:rPr>
        <w:t>行</w:t>
      </w:r>
      <w:r>
        <w:rPr>
          <w:color w:val="auto"/>
        </w:rPr>
        <w:t>＝</w:t>
      </w:r>
      <w:r>
        <w:rPr>
          <w:rFonts w:hint="eastAsia"/>
          <w:color w:val="auto"/>
        </w:rPr>
        <w:t>第</w:t>
      </w:r>
      <w:r>
        <w:rPr>
          <w:color w:val="auto"/>
        </w:rPr>
        <w:t>10＋12＋13＋14＋15</w:t>
      </w:r>
      <w:r>
        <w:rPr>
          <w:rFonts w:hint="eastAsia"/>
          <w:color w:val="auto"/>
        </w:rPr>
        <w:t>行。</w:t>
      </w:r>
    </w:p>
    <w:p w14:paraId="7E275F70">
      <w:pPr>
        <w:pStyle w:val="8"/>
        <w:ind w:firstLine="480"/>
        <w:rPr>
          <w:rFonts w:hint="eastAsia"/>
          <w:color w:val="auto"/>
        </w:rPr>
      </w:pPr>
      <w:r>
        <w:rPr>
          <w:color w:val="auto"/>
        </w:rPr>
        <w:t>4.</w:t>
      </w:r>
      <w:r>
        <w:rPr>
          <w:rFonts w:hint="eastAsia"/>
          <w:color w:val="auto"/>
        </w:rPr>
        <w:t>第</w:t>
      </w:r>
      <w:r>
        <w:rPr>
          <w:color w:val="auto"/>
        </w:rPr>
        <w:t>16</w:t>
      </w:r>
      <w:r>
        <w:rPr>
          <w:rFonts w:hint="eastAsia"/>
          <w:color w:val="auto"/>
        </w:rPr>
        <w:t>行</w:t>
      </w:r>
      <w:r>
        <w:rPr>
          <w:color w:val="auto"/>
        </w:rPr>
        <w:t>＝</w:t>
      </w:r>
      <w:r>
        <w:rPr>
          <w:rFonts w:hint="eastAsia"/>
          <w:color w:val="auto"/>
        </w:rPr>
        <w:t>第</w:t>
      </w:r>
      <w:r>
        <w:rPr>
          <w:color w:val="auto"/>
        </w:rPr>
        <w:t>17＋18＋…</w:t>
      </w:r>
      <w:r>
        <w:rPr>
          <w:rFonts w:hint="eastAsia"/>
          <w:color w:val="auto"/>
        </w:rPr>
        <w:t>＋</w:t>
      </w:r>
      <w:r>
        <w:rPr>
          <w:color w:val="auto"/>
        </w:rPr>
        <w:t>26</w:t>
      </w:r>
      <w:r>
        <w:rPr>
          <w:rFonts w:hint="eastAsia"/>
          <w:color w:val="auto"/>
        </w:rPr>
        <w:t>行。</w:t>
      </w:r>
    </w:p>
    <w:p w14:paraId="522E8B5B">
      <w:pPr>
        <w:pStyle w:val="11"/>
        <w:rPr>
          <w:rFonts w:hint="eastAsia"/>
          <w:color w:val="auto"/>
        </w:rPr>
      </w:pPr>
      <w:r>
        <w:rPr>
          <w:rFonts w:hint="eastAsia"/>
          <w:color w:val="auto"/>
        </w:rPr>
        <w:t>（二）表间关系</w:t>
      </w:r>
    </w:p>
    <w:p w14:paraId="3FC95E80">
      <w:pPr>
        <w:pStyle w:val="8"/>
        <w:ind w:firstLine="480"/>
        <w:rPr>
          <w:rFonts w:hint="eastAsia"/>
          <w:color w:val="auto"/>
        </w:rPr>
      </w:pPr>
      <w:r>
        <w:rPr>
          <w:color w:val="auto"/>
        </w:rPr>
        <w:t>1</w:t>
      </w:r>
      <w:r>
        <w:rPr>
          <w:rFonts w:hint="eastAsia"/>
          <w:color w:val="auto"/>
        </w:rPr>
        <w:t>.第</w:t>
      </w:r>
      <w:r>
        <w:rPr>
          <w:color w:val="auto"/>
        </w:rPr>
        <w:t>1</w:t>
      </w:r>
      <w:r>
        <w:rPr>
          <w:rFonts w:hint="eastAsia"/>
          <w:color w:val="auto"/>
        </w:rPr>
        <w:t>行</w:t>
      </w:r>
      <w:r>
        <w:rPr>
          <w:color w:val="auto"/>
        </w:rPr>
        <w:t>＝</w:t>
      </w:r>
      <w:r>
        <w:rPr>
          <w:rFonts w:hint="eastAsia"/>
          <w:color w:val="auto"/>
        </w:rPr>
        <w:t>表</w:t>
      </w:r>
      <w:r>
        <w:rPr>
          <w:color w:val="auto"/>
        </w:rPr>
        <w:t>A10000</w:t>
      </w:r>
      <w:r>
        <w:rPr>
          <w:rFonts w:hint="eastAsia"/>
          <w:color w:val="auto"/>
        </w:rPr>
        <w:t>0第</w:t>
      </w:r>
      <w:r>
        <w:rPr>
          <w:color w:val="auto"/>
        </w:rPr>
        <w:t>2</w:t>
      </w:r>
      <w:r>
        <w:rPr>
          <w:rFonts w:hint="eastAsia"/>
          <w:color w:val="auto"/>
        </w:rPr>
        <w:t>行。</w:t>
      </w:r>
    </w:p>
    <w:p w14:paraId="5954DFFC">
      <w:pPr>
        <w:pStyle w:val="8"/>
        <w:ind w:firstLine="480"/>
        <w:rPr>
          <w:rFonts w:hint="eastAsia"/>
          <w:color w:val="auto"/>
          <w:highlight w:val="none"/>
        </w:rPr>
        <w:sectPr>
          <w:pgSz w:w="11906" w:h="16838"/>
          <w:pgMar w:top="1440" w:right="1800" w:bottom="1440" w:left="1800" w:header="851" w:footer="992" w:gutter="113"/>
          <w:pgNumType w:fmt="decimal"/>
          <w:cols w:space="720" w:num="1"/>
          <w:docGrid w:linePitch="312" w:charSpace="0"/>
        </w:sectPr>
      </w:pPr>
      <w:r>
        <w:rPr>
          <w:color w:val="auto"/>
        </w:rPr>
        <w:t>2</w:t>
      </w:r>
      <w:r>
        <w:rPr>
          <w:rFonts w:hint="eastAsia"/>
          <w:color w:val="auto"/>
        </w:rPr>
        <w:t>.第</w:t>
      </w:r>
      <w:r>
        <w:rPr>
          <w:color w:val="auto"/>
        </w:rPr>
        <w:t>16</w:t>
      </w:r>
      <w:r>
        <w:rPr>
          <w:rFonts w:hint="eastAsia"/>
          <w:color w:val="auto"/>
        </w:rPr>
        <w:t>行</w:t>
      </w:r>
      <w:r>
        <w:rPr>
          <w:color w:val="auto"/>
        </w:rPr>
        <w:t>＝</w:t>
      </w:r>
      <w:r>
        <w:rPr>
          <w:rFonts w:hint="eastAsia"/>
          <w:color w:val="auto"/>
        </w:rPr>
        <w:t>表</w:t>
      </w:r>
      <w:r>
        <w:rPr>
          <w:color w:val="auto"/>
        </w:rPr>
        <w:t>A10000</w:t>
      </w:r>
      <w:r>
        <w:rPr>
          <w:rFonts w:hint="eastAsia"/>
          <w:color w:val="auto"/>
          <w:highlight w:val="none"/>
        </w:rPr>
        <w:t>0第</w:t>
      </w:r>
      <w:r>
        <w:rPr>
          <w:color w:val="auto"/>
          <w:highlight w:val="none"/>
        </w:rPr>
        <w:t>1</w:t>
      </w:r>
      <w:r>
        <w:rPr>
          <w:rFonts w:hint="eastAsia"/>
          <w:color w:val="auto"/>
          <w:highlight w:val="none"/>
        </w:rPr>
        <w:t>7行。</w:t>
      </w:r>
    </w:p>
    <w:p w14:paraId="13CAD739">
      <w:pPr>
        <w:pStyle w:val="8"/>
        <w:rPr>
          <w:rFonts w:hint="eastAsia"/>
          <w:color w:val="000000"/>
          <w:lang w:eastAsia="zh-CN"/>
        </w:rPr>
        <w:sectPr>
          <w:pgSz w:w="11906" w:h="16838"/>
          <w:pgMar w:top="1985" w:right="1418" w:bottom="1928" w:left="1418" w:header="851" w:footer="992" w:gutter="113"/>
          <w:cols w:space="425" w:num="1"/>
          <w:docGrid w:linePitch="312" w:charSpace="0"/>
        </w:sectPr>
      </w:pPr>
    </w:p>
    <w:p w14:paraId="3F0517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51A09D5"/>
    <w:rsid w:val="051A09D5"/>
    <w:rsid w:val="3C371226"/>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2">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1784</Words>
  <Characters>1985</Characters>
  <Lines>0</Lines>
  <Paragraphs>0</Paragraphs>
  <TotalTime>0</TotalTime>
  <ScaleCrop>false</ScaleCrop>
  <LinksUpToDate>false</LinksUpToDate>
  <CharactersWithSpaces>2113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2024-08-10T11:30:00Z</dcterms:created>
  <dc:creator>www.shuiwu114.com</dc:creator>
  <cp:lastModifiedBy>www.shuiwu114.com</cp:lastModifiedBy>
  <dcterms:modified xsi:type="dcterms:W3CDTF">2025-01-21T15:01:36Z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61A7CA1EC5D3420C863F717017912B48_11</vt:lpwstr>
  </property>
  <property fmtid="{D5CDD505-2E9C-101B-9397-08002B2CF9AE}" pid="4" name="KSOTemplateDocerSaveRecord">
    <vt:lpwstr>eyJoZGlkIjoiMDY0MGNkMTU3OWQzNDA3NjVmODJmMjIxMTIxOTBhNjUiLCJ1c2VySWQiOiIxMDczMTkyOTA3In0=</vt:lpwstr>
  </property>
</Properties>
</file>