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C61B6">
      <w:pPr>
        <w:pStyle w:val="8"/>
      </w:pPr>
      <w:bookmarkStart w:id="0" w:name="_Toc499456565"/>
      <w:r>
        <w:rPr>
          <w:rFonts w:hint="eastAsia"/>
        </w:rPr>
        <w:t>A103000</w:t>
      </w:r>
      <w:r>
        <w:tab/>
      </w:r>
      <w:r>
        <w:rPr>
          <w:rFonts w:hint="eastAsia"/>
        </w:rPr>
        <w:t>事业单位、民间非营利组织收入、支出明细表</w:t>
      </w:r>
      <w:bookmarkEnd w:id="0"/>
    </w:p>
    <w:tbl>
      <w:tblPr>
        <w:tblStyle w:val="5"/>
        <w:tblW w:w="89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4880"/>
        <w:gridCol w:w="3420"/>
      </w:tblGrid>
      <w:tr w14:paraId="57068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342EB922">
            <w:pPr>
              <w:widowControl/>
              <w:jc w:val="center"/>
              <w:rPr>
                <w:rFonts w:ascii="宋体" w:hAnsi="宋体" w:cs="宋体"/>
                <w:kern w:val="0"/>
                <w:sz w:val="20"/>
                <w:szCs w:val="20"/>
              </w:rPr>
            </w:pPr>
            <w:r>
              <w:rPr>
                <w:rFonts w:hint="eastAsia" w:ascii="宋体" w:hAnsi="宋体" w:cs="宋体"/>
                <w:kern w:val="0"/>
                <w:sz w:val="20"/>
                <w:szCs w:val="20"/>
              </w:rPr>
              <w:t>行次</w:t>
            </w:r>
          </w:p>
        </w:tc>
        <w:tc>
          <w:tcPr>
            <w:tcW w:w="4880" w:type="dxa"/>
            <w:shd w:val="clear" w:color="auto" w:fill="auto"/>
            <w:noWrap/>
            <w:vAlign w:val="center"/>
          </w:tcPr>
          <w:p w14:paraId="3A2CE1E3">
            <w:pPr>
              <w:widowControl/>
              <w:jc w:val="center"/>
              <w:rPr>
                <w:rFonts w:ascii="宋体" w:hAnsi="宋体" w:cs="宋体"/>
                <w:kern w:val="0"/>
                <w:sz w:val="20"/>
                <w:szCs w:val="20"/>
              </w:rPr>
            </w:pPr>
            <w:r>
              <w:rPr>
                <w:rFonts w:hint="eastAsia" w:ascii="宋体" w:hAnsi="宋体" w:cs="宋体"/>
                <w:kern w:val="0"/>
                <w:sz w:val="20"/>
                <w:szCs w:val="20"/>
              </w:rPr>
              <w:t>项        目</w:t>
            </w:r>
          </w:p>
        </w:tc>
        <w:tc>
          <w:tcPr>
            <w:tcW w:w="3420" w:type="dxa"/>
            <w:shd w:val="clear" w:color="auto" w:fill="auto"/>
            <w:noWrap/>
            <w:vAlign w:val="center"/>
          </w:tcPr>
          <w:p w14:paraId="2E47E58C">
            <w:pPr>
              <w:widowControl/>
              <w:jc w:val="center"/>
              <w:rPr>
                <w:rFonts w:ascii="宋体" w:hAnsi="宋体" w:cs="宋体"/>
                <w:kern w:val="0"/>
                <w:sz w:val="20"/>
                <w:szCs w:val="20"/>
              </w:rPr>
            </w:pPr>
            <w:r>
              <w:rPr>
                <w:rFonts w:hint="eastAsia" w:ascii="宋体" w:hAnsi="宋体" w:cs="宋体"/>
                <w:kern w:val="0"/>
                <w:sz w:val="20"/>
                <w:szCs w:val="20"/>
              </w:rPr>
              <w:t>金    额</w:t>
            </w:r>
          </w:p>
        </w:tc>
      </w:tr>
      <w:tr w14:paraId="5C0E7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0B695726">
            <w:pPr>
              <w:widowControl/>
              <w:jc w:val="center"/>
              <w:rPr>
                <w:rFonts w:ascii="宋体" w:hAnsi="宋体" w:cs="宋体"/>
                <w:kern w:val="0"/>
                <w:sz w:val="20"/>
                <w:szCs w:val="20"/>
              </w:rPr>
            </w:pPr>
            <w:r>
              <w:rPr>
                <w:rFonts w:hint="eastAsia" w:ascii="宋体" w:hAnsi="宋体" w:cs="宋体"/>
                <w:kern w:val="0"/>
                <w:sz w:val="20"/>
                <w:szCs w:val="20"/>
              </w:rPr>
              <w:t>1</w:t>
            </w:r>
          </w:p>
        </w:tc>
        <w:tc>
          <w:tcPr>
            <w:tcW w:w="4880" w:type="dxa"/>
            <w:shd w:val="clear" w:color="auto" w:fill="auto"/>
            <w:noWrap/>
            <w:vAlign w:val="center"/>
          </w:tcPr>
          <w:p w14:paraId="34A3A405">
            <w:pPr>
              <w:widowControl/>
              <w:jc w:val="left"/>
              <w:rPr>
                <w:rFonts w:ascii="宋体" w:hAnsi="宋体" w:cs="宋体"/>
                <w:kern w:val="0"/>
                <w:sz w:val="20"/>
                <w:szCs w:val="20"/>
              </w:rPr>
            </w:pPr>
            <w:r>
              <w:rPr>
                <w:rFonts w:hint="eastAsia" w:ascii="宋体" w:hAnsi="宋体" w:cs="宋体"/>
                <w:kern w:val="0"/>
                <w:sz w:val="20"/>
                <w:szCs w:val="20"/>
              </w:rPr>
              <w:t>一、事业单位收入（2+3+4+5+6+7）</w:t>
            </w:r>
          </w:p>
        </w:tc>
        <w:tc>
          <w:tcPr>
            <w:tcW w:w="3420" w:type="dxa"/>
            <w:shd w:val="clear" w:color="auto" w:fill="auto"/>
            <w:noWrap/>
            <w:vAlign w:val="center"/>
          </w:tcPr>
          <w:p w14:paraId="57B56E56">
            <w:pPr>
              <w:widowControl/>
              <w:jc w:val="left"/>
              <w:rPr>
                <w:rFonts w:ascii="宋体" w:hAnsi="宋体" w:cs="宋体"/>
                <w:kern w:val="0"/>
                <w:sz w:val="20"/>
                <w:szCs w:val="20"/>
              </w:rPr>
            </w:pPr>
            <w:r>
              <w:rPr>
                <w:rFonts w:hint="eastAsia" w:ascii="宋体" w:hAnsi="宋体" w:cs="宋体"/>
                <w:kern w:val="0"/>
                <w:sz w:val="20"/>
                <w:szCs w:val="20"/>
              </w:rPr>
              <w:t>　</w:t>
            </w:r>
          </w:p>
        </w:tc>
      </w:tr>
      <w:tr w14:paraId="61C1A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7858D4D4">
            <w:pPr>
              <w:widowControl/>
              <w:jc w:val="center"/>
              <w:rPr>
                <w:rFonts w:ascii="宋体" w:hAnsi="宋体" w:cs="宋体"/>
                <w:kern w:val="0"/>
                <w:sz w:val="20"/>
                <w:szCs w:val="20"/>
              </w:rPr>
            </w:pPr>
            <w:r>
              <w:rPr>
                <w:rFonts w:hint="eastAsia" w:ascii="宋体" w:hAnsi="宋体" w:cs="宋体"/>
                <w:kern w:val="0"/>
                <w:sz w:val="20"/>
                <w:szCs w:val="20"/>
              </w:rPr>
              <w:t>2</w:t>
            </w:r>
          </w:p>
        </w:tc>
        <w:tc>
          <w:tcPr>
            <w:tcW w:w="4880" w:type="dxa"/>
            <w:shd w:val="clear" w:color="auto" w:fill="auto"/>
            <w:noWrap/>
            <w:vAlign w:val="center"/>
          </w:tcPr>
          <w:p w14:paraId="05CD6A0C">
            <w:pPr>
              <w:widowControl/>
              <w:ind w:firstLine="400" w:firstLineChars="200"/>
              <w:jc w:val="left"/>
              <w:rPr>
                <w:rFonts w:ascii="宋体" w:hAnsi="宋体" w:cs="宋体"/>
                <w:kern w:val="0"/>
                <w:sz w:val="20"/>
                <w:szCs w:val="20"/>
              </w:rPr>
            </w:pPr>
            <w:r>
              <w:rPr>
                <w:rFonts w:hint="eastAsia" w:ascii="宋体" w:hAnsi="宋体" w:cs="宋体"/>
                <w:kern w:val="0"/>
                <w:sz w:val="20"/>
                <w:szCs w:val="20"/>
              </w:rPr>
              <w:t>（一）财政补助收入</w:t>
            </w:r>
          </w:p>
        </w:tc>
        <w:tc>
          <w:tcPr>
            <w:tcW w:w="3420" w:type="dxa"/>
            <w:shd w:val="clear" w:color="auto" w:fill="auto"/>
            <w:noWrap/>
            <w:vAlign w:val="center"/>
          </w:tcPr>
          <w:p w14:paraId="5B7645FC">
            <w:pPr>
              <w:widowControl/>
              <w:jc w:val="left"/>
              <w:rPr>
                <w:rFonts w:ascii="宋体" w:hAnsi="宋体" w:cs="宋体"/>
                <w:kern w:val="0"/>
                <w:sz w:val="20"/>
                <w:szCs w:val="20"/>
              </w:rPr>
            </w:pPr>
            <w:r>
              <w:rPr>
                <w:rFonts w:hint="eastAsia" w:ascii="宋体" w:hAnsi="宋体" w:cs="宋体"/>
                <w:kern w:val="0"/>
                <w:sz w:val="20"/>
                <w:szCs w:val="20"/>
              </w:rPr>
              <w:t>　</w:t>
            </w:r>
          </w:p>
        </w:tc>
      </w:tr>
      <w:tr w14:paraId="208CA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6DB9952F">
            <w:pPr>
              <w:widowControl/>
              <w:jc w:val="center"/>
              <w:rPr>
                <w:rFonts w:ascii="宋体" w:hAnsi="宋体" w:cs="宋体"/>
                <w:kern w:val="0"/>
                <w:sz w:val="20"/>
                <w:szCs w:val="20"/>
              </w:rPr>
            </w:pPr>
            <w:r>
              <w:rPr>
                <w:rFonts w:hint="eastAsia" w:ascii="宋体" w:hAnsi="宋体" w:cs="宋体"/>
                <w:kern w:val="0"/>
                <w:sz w:val="20"/>
                <w:szCs w:val="20"/>
              </w:rPr>
              <w:t>3</w:t>
            </w:r>
          </w:p>
        </w:tc>
        <w:tc>
          <w:tcPr>
            <w:tcW w:w="4880" w:type="dxa"/>
            <w:shd w:val="clear" w:color="auto" w:fill="auto"/>
            <w:noWrap/>
            <w:vAlign w:val="center"/>
          </w:tcPr>
          <w:p w14:paraId="52D2D8E5">
            <w:pPr>
              <w:widowControl/>
              <w:ind w:firstLine="400" w:firstLineChars="200"/>
              <w:jc w:val="left"/>
              <w:rPr>
                <w:rFonts w:ascii="宋体" w:hAnsi="宋体" w:cs="宋体"/>
                <w:kern w:val="0"/>
                <w:sz w:val="20"/>
                <w:szCs w:val="20"/>
              </w:rPr>
            </w:pPr>
            <w:r>
              <w:rPr>
                <w:rFonts w:hint="eastAsia" w:ascii="宋体" w:hAnsi="宋体" w:cs="宋体"/>
                <w:kern w:val="0"/>
                <w:sz w:val="20"/>
                <w:szCs w:val="20"/>
              </w:rPr>
              <w:t>（二）事业收入</w:t>
            </w:r>
          </w:p>
        </w:tc>
        <w:tc>
          <w:tcPr>
            <w:tcW w:w="3420" w:type="dxa"/>
            <w:shd w:val="clear" w:color="auto" w:fill="auto"/>
            <w:noWrap/>
            <w:vAlign w:val="center"/>
          </w:tcPr>
          <w:p w14:paraId="1325A133">
            <w:pPr>
              <w:widowControl/>
              <w:jc w:val="left"/>
              <w:rPr>
                <w:rFonts w:ascii="宋体" w:hAnsi="宋体" w:cs="宋体"/>
                <w:kern w:val="0"/>
                <w:sz w:val="20"/>
                <w:szCs w:val="20"/>
              </w:rPr>
            </w:pPr>
            <w:r>
              <w:rPr>
                <w:rFonts w:hint="eastAsia" w:ascii="宋体" w:hAnsi="宋体" w:cs="宋体"/>
                <w:kern w:val="0"/>
                <w:sz w:val="20"/>
                <w:szCs w:val="20"/>
              </w:rPr>
              <w:t>　</w:t>
            </w:r>
          </w:p>
        </w:tc>
      </w:tr>
      <w:tr w14:paraId="7E8EA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174608F3">
            <w:pPr>
              <w:widowControl/>
              <w:jc w:val="center"/>
              <w:rPr>
                <w:rFonts w:ascii="宋体" w:hAnsi="宋体" w:cs="宋体"/>
                <w:kern w:val="0"/>
                <w:sz w:val="20"/>
                <w:szCs w:val="20"/>
              </w:rPr>
            </w:pPr>
            <w:r>
              <w:rPr>
                <w:rFonts w:hint="eastAsia" w:ascii="宋体" w:hAnsi="宋体" w:cs="宋体"/>
                <w:kern w:val="0"/>
                <w:sz w:val="20"/>
                <w:szCs w:val="20"/>
              </w:rPr>
              <w:t>4</w:t>
            </w:r>
          </w:p>
        </w:tc>
        <w:tc>
          <w:tcPr>
            <w:tcW w:w="4880" w:type="dxa"/>
            <w:shd w:val="clear" w:color="auto" w:fill="auto"/>
            <w:noWrap/>
            <w:vAlign w:val="center"/>
          </w:tcPr>
          <w:p w14:paraId="6CC3A158">
            <w:pPr>
              <w:widowControl/>
              <w:ind w:firstLine="400" w:firstLineChars="200"/>
              <w:jc w:val="left"/>
              <w:rPr>
                <w:rFonts w:ascii="宋体" w:hAnsi="宋体" w:cs="宋体"/>
                <w:kern w:val="0"/>
                <w:sz w:val="20"/>
                <w:szCs w:val="20"/>
              </w:rPr>
            </w:pPr>
            <w:r>
              <w:rPr>
                <w:rFonts w:hint="eastAsia" w:ascii="宋体" w:hAnsi="宋体" w:cs="宋体"/>
                <w:kern w:val="0"/>
                <w:sz w:val="20"/>
                <w:szCs w:val="20"/>
              </w:rPr>
              <w:t>（三）上级补助收入</w:t>
            </w:r>
          </w:p>
        </w:tc>
        <w:tc>
          <w:tcPr>
            <w:tcW w:w="3420" w:type="dxa"/>
            <w:shd w:val="clear" w:color="auto" w:fill="auto"/>
            <w:noWrap/>
            <w:vAlign w:val="center"/>
          </w:tcPr>
          <w:p w14:paraId="55626915">
            <w:pPr>
              <w:widowControl/>
              <w:jc w:val="left"/>
              <w:rPr>
                <w:rFonts w:ascii="宋体" w:hAnsi="宋体" w:cs="宋体"/>
                <w:kern w:val="0"/>
                <w:sz w:val="20"/>
                <w:szCs w:val="20"/>
              </w:rPr>
            </w:pPr>
            <w:r>
              <w:rPr>
                <w:rFonts w:hint="eastAsia" w:ascii="宋体" w:hAnsi="宋体" w:cs="宋体"/>
                <w:kern w:val="0"/>
                <w:sz w:val="20"/>
                <w:szCs w:val="20"/>
              </w:rPr>
              <w:t>　</w:t>
            </w:r>
          </w:p>
        </w:tc>
      </w:tr>
      <w:tr w14:paraId="21A46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754FF6C3">
            <w:pPr>
              <w:widowControl/>
              <w:jc w:val="center"/>
              <w:rPr>
                <w:rFonts w:ascii="宋体" w:hAnsi="宋体" w:cs="宋体"/>
                <w:kern w:val="0"/>
                <w:sz w:val="20"/>
                <w:szCs w:val="20"/>
              </w:rPr>
            </w:pPr>
            <w:r>
              <w:rPr>
                <w:rFonts w:hint="eastAsia" w:ascii="宋体" w:hAnsi="宋体" w:cs="宋体"/>
                <w:kern w:val="0"/>
                <w:sz w:val="20"/>
                <w:szCs w:val="20"/>
              </w:rPr>
              <w:t>5</w:t>
            </w:r>
          </w:p>
        </w:tc>
        <w:tc>
          <w:tcPr>
            <w:tcW w:w="4880" w:type="dxa"/>
            <w:shd w:val="clear" w:color="auto" w:fill="auto"/>
            <w:noWrap/>
            <w:vAlign w:val="center"/>
          </w:tcPr>
          <w:p w14:paraId="6558E80A">
            <w:pPr>
              <w:widowControl/>
              <w:ind w:firstLine="400" w:firstLineChars="200"/>
              <w:jc w:val="left"/>
              <w:rPr>
                <w:rFonts w:ascii="宋体" w:hAnsi="宋体" w:cs="宋体"/>
                <w:kern w:val="0"/>
                <w:sz w:val="20"/>
                <w:szCs w:val="20"/>
              </w:rPr>
            </w:pPr>
            <w:r>
              <w:rPr>
                <w:rFonts w:hint="eastAsia" w:ascii="宋体" w:hAnsi="宋体" w:cs="宋体"/>
                <w:kern w:val="0"/>
                <w:sz w:val="20"/>
                <w:szCs w:val="20"/>
              </w:rPr>
              <w:t>（四）附属单位上缴收入</w:t>
            </w:r>
          </w:p>
        </w:tc>
        <w:tc>
          <w:tcPr>
            <w:tcW w:w="3420" w:type="dxa"/>
            <w:shd w:val="clear" w:color="auto" w:fill="auto"/>
            <w:noWrap/>
            <w:vAlign w:val="center"/>
          </w:tcPr>
          <w:p w14:paraId="62A1E81F">
            <w:pPr>
              <w:widowControl/>
              <w:jc w:val="left"/>
              <w:rPr>
                <w:rFonts w:ascii="宋体" w:hAnsi="宋体" w:cs="宋体"/>
                <w:kern w:val="0"/>
                <w:sz w:val="20"/>
                <w:szCs w:val="20"/>
              </w:rPr>
            </w:pPr>
            <w:r>
              <w:rPr>
                <w:rFonts w:hint="eastAsia" w:ascii="宋体" w:hAnsi="宋体" w:cs="宋体"/>
                <w:kern w:val="0"/>
                <w:sz w:val="20"/>
                <w:szCs w:val="20"/>
              </w:rPr>
              <w:t>　</w:t>
            </w:r>
          </w:p>
        </w:tc>
      </w:tr>
      <w:tr w14:paraId="02FF8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10F9AC67">
            <w:pPr>
              <w:widowControl/>
              <w:jc w:val="center"/>
              <w:rPr>
                <w:rFonts w:ascii="宋体" w:hAnsi="宋体" w:cs="宋体"/>
                <w:kern w:val="0"/>
                <w:sz w:val="20"/>
                <w:szCs w:val="20"/>
              </w:rPr>
            </w:pPr>
            <w:r>
              <w:rPr>
                <w:rFonts w:hint="eastAsia" w:ascii="宋体" w:hAnsi="宋体" w:cs="宋体"/>
                <w:kern w:val="0"/>
                <w:sz w:val="20"/>
                <w:szCs w:val="20"/>
              </w:rPr>
              <w:t>6</w:t>
            </w:r>
          </w:p>
        </w:tc>
        <w:tc>
          <w:tcPr>
            <w:tcW w:w="4880" w:type="dxa"/>
            <w:shd w:val="clear" w:color="auto" w:fill="auto"/>
            <w:noWrap/>
            <w:vAlign w:val="center"/>
          </w:tcPr>
          <w:p w14:paraId="48E58D84">
            <w:pPr>
              <w:widowControl/>
              <w:ind w:firstLine="400" w:firstLineChars="200"/>
              <w:jc w:val="left"/>
              <w:rPr>
                <w:rFonts w:ascii="宋体" w:hAnsi="宋体" w:cs="宋体"/>
                <w:kern w:val="0"/>
                <w:sz w:val="20"/>
                <w:szCs w:val="20"/>
              </w:rPr>
            </w:pPr>
            <w:r>
              <w:rPr>
                <w:rFonts w:hint="eastAsia" w:ascii="宋体" w:hAnsi="宋体" w:cs="宋体"/>
                <w:kern w:val="0"/>
                <w:sz w:val="20"/>
                <w:szCs w:val="20"/>
              </w:rPr>
              <w:t>（五）经营收入</w:t>
            </w:r>
          </w:p>
        </w:tc>
        <w:tc>
          <w:tcPr>
            <w:tcW w:w="3420" w:type="dxa"/>
            <w:shd w:val="clear" w:color="auto" w:fill="auto"/>
            <w:noWrap/>
            <w:vAlign w:val="center"/>
          </w:tcPr>
          <w:p w14:paraId="1E567EBB">
            <w:pPr>
              <w:widowControl/>
              <w:jc w:val="left"/>
              <w:rPr>
                <w:rFonts w:ascii="宋体" w:hAnsi="宋体" w:cs="宋体"/>
                <w:kern w:val="0"/>
                <w:sz w:val="20"/>
                <w:szCs w:val="20"/>
              </w:rPr>
            </w:pPr>
            <w:r>
              <w:rPr>
                <w:rFonts w:hint="eastAsia" w:ascii="宋体" w:hAnsi="宋体" w:cs="宋体"/>
                <w:kern w:val="0"/>
                <w:sz w:val="20"/>
                <w:szCs w:val="20"/>
              </w:rPr>
              <w:t>　</w:t>
            </w:r>
          </w:p>
        </w:tc>
      </w:tr>
      <w:tr w14:paraId="1B8A5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311AF812">
            <w:pPr>
              <w:widowControl/>
              <w:jc w:val="center"/>
              <w:rPr>
                <w:rFonts w:ascii="宋体" w:hAnsi="宋体" w:cs="宋体"/>
                <w:kern w:val="0"/>
                <w:sz w:val="20"/>
                <w:szCs w:val="20"/>
              </w:rPr>
            </w:pPr>
            <w:r>
              <w:rPr>
                <w:rFonts w:hint="eastAsia" w:ascii="宋体" w:hAnsi="宋体" w:cs="宋体"/>
                <w:kern w:val="0"/>
                <w:sz w:val="20"/>
                <w:szCs w:val="20"/>
              </w:rPr>
              <w:t>7</w:t>
            </w:r>
          </w:p>
        </w:tc>
        <w:tc>
          <w:tcPr>
            <w:tcW w:w="4880" w:type="dxa"/>
            <w:shd w:val="clear" w:color="auto" w:fill="auto"/>
            <w:noWrap/>
            <w:vAlign w:val="center"/>
          </w:tcPr>
          <w:p w14:paraId="5C712422">
            <w:pPr>
              <w:widowControl/>
              <w:ind w:firstLine="400" w:firstLineChars="200"/>
              <w:jc w:val="left"/>
              <w:rPr>
                <w:rFonts w:ascii="宋体" w:hAnsi="宋体" w:cs="宋体"/>
                <w:kern w:val="0"/>
                <w:sz w:val="20"/>
                <w:szCs w:val="20"/>
              </w:rPr>
            </w:pPr>
            <w:r>
              <w:rPr>
                <w:rFonts w:hint="eastAsia" w:ascii="宋体" w:hAnsi="宋体" w:cs="宋体"/>
                <w:kern w:val="0"/>
                <w:sz w:val="20"/>
                <w:szCs w:val="20"/>
              </w:rPr>
              <w:t>（六）其他收入（8+9）</w:t>
            </w:r>
          </w:p>
        </w:tc>
        <w:tc>
          <w:tcPr>
            <w:tcW w:w="3420" w:type="dxa"/>
            <w:shd w:val="clear" w:color="auto" w:fill="auto"/>
            <w:noWrap/>
            <w:vAlign w:val="center"/>
          </w:tcPr>
          <w:p w14:paraId="79F29F5B">
            <w:pPr>
              <w:widowControl/>
              <w:jc w:val="left"/>
              <w:rPr>
                <w:rFonts w:ascii="宋体" w:hAnsi="宋体" w:cs="宋体"/>
                <w:kern w:val="0"/>
                <w:sz w:val="20"/>
                <w:szCs w:val="20"/>
              </w:rPr>
            </w:pPr>
            <w:r>
              <w:rPr>
                <w:rFonts w:hint="eastAsia" w:ascii="宋体" w:hAnsi="宋体" w:cs="宋体"/>
                <w:kern w:val="0"/>
                <w:sz w:val="20"/>
                <w:szCs w:val="20"/>
              </w:rPr>
              <w:t>　</w:t>
            </w:r>
          </w:p>
        </w:tc>
      </w:tr>
      <w:tr w14:paraId="27020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2D3DB422">
            <w:pPr>
              <w:widowControl/>
              <w:jc w:val="center"/>
              <w:rPr>
                <w:rFonts w:ascii="宋体" w:hAnsi="宋体" w:cs="宋体"/>
                <w:kern w:val="0"/>
                <w:sz w:val="20"/>
                <w:szCs w:val="20"/>
              </w:rPr>
            </w:pPr>
            <w:r>
              <w:rPr>
                <w:rFonts w:hint="eastAsia" w:ascii="宋体" w:hAnsi="宋体" w:cs="宋体"/>
                <w:kern w:val="0"/>
                <w:sz w:val="20"/>
                <w:szCs w:val="20"/>
              </w:rPr>
              <w:t>8</w:t>
            </w:r>
          </w:p>
        </w:tc>
        <w:tc>
          <w:tcPr>
            <w:tcW w:w="4880" w:type="dxa"/>
            <w:shd w:val="clear" w:color="auto" w:fill="auto"/>
            <w:noWrap/>
            <w:vAlign w:val="center"/>
          </w:tcPr>
          <w:p w14:paraId="45C6FEE4">
            <w:pPr>
              <w:widowControl/>
              <w:ind w:firstLine="1000" w:firstLineChars="500"/>
              <w:jc w:val="left"/>
              <w:rPr>
                <w:rFonts w:ascii="宋体" w:hAnsi="宋体" w:cs="宋体"/>
                <w:kern w:val="0"/>
                <w:sz w:val="20"/>
                <w:szCs w:val="20"/>
              </w:rPr>
            </w:pPr>
            <w:r>
              <w:rPr>
                <w:rFonts w:hint="eastAsia" w:ascii="宋体" w:hAnsi="宋体" w:cs="宋体"/>
                <w:kern w:val="0"/>
                <w:sz w:val="20"/>
                <w:szCs w:val="20"/>
              </w:rPr>
              <w:t>其中：投资收益</w:t>
            </w:r>
          </w:p>
        </w:tc>
        <w:tc>
          <w:tcPr>
            <w:tcW w:w="3420" w:type="dxa"/>
            <w:shd w:val="clear" w:color="auto" w:fill="auto"/>
            <w:noWrap/>
            <w:vAlign w:val="center"/>
          </w:tcPr>
          <w:p w14:paraId="4926D42F">
            <w:pPr>
              <w:widowControl/>
              <w:jc w:val="left"/>
              <w:rPr>
                <w:rFonts w:ascii="宋体" w:hAnsi="宋体" w:cs="宋体"/>
                <w:kern w:val="0"/>
                <w:sz w:val="20"/>
                <w:szCs w:val="20"/>
              </w:rPr>
            </w:pPr>
            <w:r>
              <w:rPr>
                <w:rFonts w:hint="eastAsia" w:ascii="宋体" w:hAnsi="宋体" w:cs="宋体"/>
                <w:kern w:val="0"/>
                <w:sz w:val="20"/>
                <w:szCs w:val="20"/>
              </w:rPr>
              <w:t>　</w:t>
            </w:r>
          </w:p>
        </w:tc>
      </w:tr>
      <w:tr w14:paraId="42D49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72F54BEA">
            <w:pPr>
              <w:widowControl/>
              <w:jc w:val="center"/>
              <w:rPr>
                <w:rFonts w:ascii="宋体" w:hAnsi="宋体" w:cs="宋体"/>
                <w:kern w:val="0"/>
                <w:sz w:val="20"/>
                <w:szCs w:val="20"/>
              </w:rPr>
            </w:pPr>
            <w:r>
              <w:rPr>
                <w:rFonts w:hint="eastAsia" w:ascii="宋体" w:hAnsi="宋体" w:cs="宋体"/>
                <w:kern w:val="0"/>
                <w:sz w:val="20"/>
                <w:szCs w:val="20"/>
              </w:rPr>
              <w:t>9</w:t>
            </w:r>
          </w:p>
        </w:tc>
        <w:tc>
          <w:tcPr>
            <w:tcW w:w="4880" w:type="dxa"/>
            <w:shd w:val="clear" w:color="auto" w:fill="auto"/>
            <w:noWrap/>
            <w:vAlign w:val="center"/>
          </w:tcPr>
          <w:p w14:paraId="762579BC">
            <w:pPr>
              <w:widowControl/>
              <w:ind w:firstLine="1600" w:firstLineChars="800"/>
              <w:jc w:val="left"/>
              <w:rPr>
                <w:rFonts w:ascii="宋体" w:hAnsi="宋体" w:cs="宋体"/>
                <w:kern w:val="0"/>
                <w:sz w:val="20"/>
                <w:szCs w:val="20"/>
              </w:rPr>
            </w:pPr>
            <w:r>
              <w:rPr>
                <w:rFonts w:hint="eastAsia" w:ascii="宋体" w:hAnsi="宋体" w:cs="宋体"/>
                <w:kern w:val="0"/>
                <w:sz w:val="20"/>
                <w:szCs w:val="20"/>
              </w:rPr>
              <w:t>其他</w:t>
            </w:r>
          </w:p>
        </w:tc>
        <w:tc>
          <w:tcPr>
            <w:tcW w:w="3420" w:type="dxa"/>
            <w:shd w:val="clear" w:color="auto" w:fill="auto"/>
            <w:noWrap/>
            <w:vAlign w:val="center"/>
          </w:tcPr>
          <w:p w14:paraId="3D3DC210">
            <w:pPr>
              <w:widowControl/>
              <w:jc w:val="left"/>
              <w:rPr>
                <w:rFonts w:ascii="宋体" w:hAnsi="宋体" w:cs="宋体"/>
                <w:kern w:val="0"/>
                <w:sz w:val="20"/>
                <w:szCs w:val="20"/>
              </w:rPr>
            </w:pPr>
            <w:r>
              <w:rPr>
                <w:rFonts w:hint="eastAsia" w:ascii="宋体" w:hAnsi="宋体" w:cs="宋体"/>
                <w:kern w:val="0"/>
                <w:sz w:val="20"/>
                <w:szCs w:val="20"/>
              </w:rPr>
              <w:t>　</w:t>
            </w:r>
          </w:p>
        </w:tc>
      </w:tr>
      <w:tr w14:paraId="00EED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2D01A1E0">
            <w:pPr>
              <w:widowControl/>
              <w:jc w:val="center"/>
              <w:rPr>
                <w:rFonts w:ascii="宋体" w:hAnsi="宋体" w:cs="宋体"/>
                <w:kern w:val="0"/>
                <w:sz w:val="20"/>
                <w:szCs w:val="20"/>
              </w:rPr>
            </w:pPr>
            <w:r>
              <w:rPr>
                <w:rFonts w:hint="eastAsia" w:ascii="宋体" w:hAnsi="宋体" w:cs="宋体"/>
                <w:kern w:val="0"/>
                <w:sz w:val="20"/>
                <w:szCs w:val="20"/>
              </w:rPr>
              <w:t>10</w:t>
            </w:r>
          </w:p>
        </w:tc>
        <w:tc>
          <w:tcPr>
            <w:tcW w:w="4880" w:type="dxa"/>
            <w:shd w:val="clear" w:color="auto" w:fill="auto"/>
            <w:noWrap/>
            <w:vAlign w:val="center"/>
          </w:tcPr>
          <w:p w14:paraId="26066951">
            <w:pPr>
              <w:widowControl/>
              <w:jc w:val="left"/>
              <w:rPr>
                <w:rFonts w:ascii="宋体" w:hAnsi="宋体" w:cs="宋体"/>
                <w:kern w:val="0"/>
                <w:sz w:val="20"/>
                <w:szCs w:val="20"/>
              </w:rPr>
            </w:pPr>
            <w:r>
              <w:rPr>
                <w:rFonts w:hint="eastAsia" w:ascii="宋体" w:hAnsi="宋体" w:cs="宋体"/>
                <w:kern w:val="0"/>
                <w:sz w:val="20"/>
                <w:szCs w:val="20"/>
              </w:rPr>
              <w:t>二、民间非营利组织收入(11+12+13+14+15+16+17)</w:t>
            </w:r>
          </w:p>
        </w:tc>
        <w:tc>
          <w:tcPr>
            <w:tcW w:w="3420" w:type="dxa"/>
            <w:shd w:val="clear" w:color="auto" w:fill="auto"/>
            <w:noWrap/>
            <w:vAlign w:val="center"/>
          </w:tcPr>
          <w:p w14:paraId="6A4B74F4">
            <w:pPr>
              <w:widowControl/>
              <w:jc w:val="left"/>
              <w:rPr>
                <w:rFonts w:ascii="宋体" w:hAnsi="宋体" w:cs="宋体"/>
                <w:kern w:val="0"/>
                <w:sz w:val="20"/>
                <w:szCs w:val="20"/>
              </w:rPr>
            </w:pPr>
            <w:r>
              <w:rPr>
                <w:rFonts w:hint="eastAsia" w:ascii="宋体" w:hAnsi="宋体" w:cs="宋体"/>
                <w:kern w:val="0"/>
                <w:sz w:val="20"/>
                <w:szCs w:val="20"/>
              </w:rPr>
              <w:t>　</w:t>
            </w:r>
          </w:p>
        </w:tc>
      </w:tr>
      <w:tr w14:paraId="0C5B0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54A64C61">
            <w:pPr>
              <w:widowControl/>
              <w:jc w:val="center"/>
              <w:rPr>
                <w:rFonts w:ascii="宋体" w:hAnsi="宋体" w:cs="宋体"/>
                <w:kern w:val="0"/>
                <w:sz w:val="20"/>
                <w:szCs w:val="20"/>
              </w:rPr>
            </w:pPr>
            <w:r>
              <w:rPr>
                <w:rFonts w:hint="eastAsia" w:ascii="宋体" w:hAnsi="宋体" w:cs="宋体"/>
                <w:kern w:val="0"/>
                <w:sz w:val="20"/>
                <w:szCs w:val="20"/>
              </w:rPr>
              <w:t>11</w:t>
            </w:r>
          </w:p>
        </w:tc>
        <w:tc>
          <w:tcPr>
            <w:tcW w:w="4880" w:type="dxa"/>
            <w:shd w:val="clear" w:color="auto" w:fill="auto"/>
            <w:noWrap/>
            <w:vAlign w:val="center"/>
          </w:tcPr>
          <w:p w14:paraId="5067CD72">
            <w:pPr>
              <w:widowControl/>
              <w:ind w:firstLine="400" w:firstLineChars="200"/>
              <w:jc w:val="left"/>
              <w:rPr>
                <w:rFonts w:ascii="宋体" w:hAnsi="宋体" w:cs="宋体"/>
                <w:kern w:val="0"/>
                <w:sz w:val="20"/>
                <w:szCs w:val="20"/>
              </w:rPr>
            </w:pPr>
            <w:r>
              <w:rPr>
                <w:rFonts w:hint="eastAsia" w:ascii="宋体" w:hAnsi="宋体" w:cs="宋体"/>
                <w:kern w:val="0"/>
                <w:sz w:val="20"/>
                <w:szCs w:val="20"/>
              </w:rPr>
              <w:t>（一）接受捐赠收入</w:t>
            </w:r>
          </w:p>
        </w:tc>
        <w:tc>
          <w:tcPr>
            <w:tcW w:w="3420" w:type="dxa"/>
            <w:shd w:val="clear" w:color="auto" w:fill="auto"/>
            <w:noWrap/>
            <w:vAlign w:val="center"/>
          </w:tcPr>
          <w:p w14:paraId="778ADB22">
            <w:pPr>
              <w:widowControl/>
              <w:jc w:val="left"/>
              <w:rPr>
                <w:rFonts w:ascii="宋体" w:hAnsi="宋体" w:cs="宋体"/>
                <w:kern w:val="0"/>
                <w:sz w:val="20"/>
                <w:szCs w:val="20"/>
              </w:rPr>
            </w:pPr>
            <w:r>
              <w:rPr>
                <w:rFonts w:hint="eastAsia" w:ascii="宋体" w:hAnsi="宋体" w:cs="宋体"/>
                <w:kern w:val="0"/>
                <w:sz w:val="20"/>
                <w:szCs w:val="20"/>
              </w:rPr>
              <w:t>　</w:t>
            </w:r>
          </w:p>
        </w:tc>
      </w:tr>
      <w:tr w14:paraId="7AF6B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4B217114">
            <w:pPr>
              <w:widowControl/>
              <w:jc w:val="center"/>
              <w:rPr>
                <w:rFonts w:ascii="宋体" w:hAnsi="宋体" w:cs="宋体"/>
                <w:kern w:val="0"/>
                <w:sz w:val="20"/>
                <w:szCs w:val="20"/>
              </w:rPr>
            </w:pPr>
            <w:r>
              <w:rPr>
                <w:rFonts w:hint="eastAsia" w:ascii="宋体" w:hAnsi="宋体" w:cs="宋体"/>
                <w:kern w:val="0"/>
                <w:sz w:val="20"/>
                <w:szCs w:val="20"/>
              </w:rPr>
              <w:t>12</w:t>
            </w:r>
          </w:p>
        </w:tc>
        <w:tc>
          <w:tcPr>
            <w:tcW w:w="4880" w:type="dxa"/>
            <w:shd w:val="clear" w:color="auto" w:fill="auto"/>
            <w:noWrap/>
            <w:vAlign w:val="center"/>
          </w:tcPr>
          <w:p w14:paraId="05D5F9C5">
            <w:pPr>
              <w:widowControl/>
              <w:ind w:firstLine="400" w:firstLineChars="200"/>
              <w:jc w:val="left"/>
              <w:rPr>
                <w:rFonts w:ascii="宋体" w:hAnsi="宋体" w:cs="宋体"/>
                <w:kern w:val="0"/>
                <w:sz w:val="20"/>
                <w:szCs w:val="20"/>
              </w:rPr>
            </w:pPr>
            <w:r>
              <w:rPr>
                <w:rFonts w:hint="eastAsia" w:ascii="宋体" w:hAnsi="宋体" w:cs="宋体"/>
                <w:kern w:val="0"/>
                <w:sz w:val="20"/>
                <w:szCs w:val="20"/>
              </w:rPr>
              <w:t>（二）会费收入</w:t>
            </w:r>
          </w:p>
        </w:tc>
        <w:tc>
          <w:tcPr>
            <w:tcW w:w="3420" w:type="dxa"/>
            <w:shd w:val="clear" w:color="auto" w:fill="auto"/>
            <w:noWrap/>
            <w:vAlign w:val="center"/>
          </w:tcPr>
          <w:p w14:paraId="789E8F90">
            <w:pPr>
              <w:widowControl/>
              <w:jc w:val="left"/>
              <w:rPr>
                <w:rFonts w:ascii="宋体" w:hAnsi="宋体" w:cs="宋体"/>
                <w:kern w:val="0"/>
                <w:sz w:val="20"/>
                <w:szCs w:val="20"/>
              </w:rPr>
            </w:pPr>
            <w:r>
              <w:rPr>
                <w:rFonts w:hint="eastAsia" w:ascii="宋体" w:hAnsi="宋体" w:cs="宋体"/>
                <w:kern w:val="0"/>
                <w:sz w:val="20"/>
                <w:szCs w:val="20"/>
              </w:rPr>
              <w:t>　</w:t>
            </w:r>
          </w:p>
        </w:tc>
      </w:tr>
      <w:tr w14:paraId="61C18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0924904C">
            <w:pPr>
              <w:widowControl/>
              <w:jc w:val="center"/>
              <w:rPr>
                <w:rFonts w:ascii="宋体" w:hAnsi="宋体" w:cs="宋体"/>
                <w:kern w:val="0"/>
                <w:sz w:val="20"/>
                <w:szCs w:val="20"/>
              </w:rPr>
            </w:pPr>
            <w:r>
              <w:rPr>
                <w:rFonts w:hint="eastAsia" w:ascii="宋体" w:hAnsi="宋体" w:cs="宋体"/>
                <w:kern w:val="0"/>
                <w:sz w:val="20"/>
                <w:szCs w:val="20"/>
              </w:rPr>
              <w:t>13</w:t>
            </w:r>
          </w:p>
        </w:tc>
        <w:tc>
          <w:tcPr>
            <w:tcW w:w="4880" w:type="dxa"/>
            <w:shd w:val="clear" w:color="auto" w:fill="auto"/>
            <w:noWrap/>
            <w:vAlign w:val="center"/>
          </w:tcPr>
          <w:p w14:paraId="1E26A0FC">
            <w:pPr>
              <w:widowControl/>
              <w:ind w:firstLine="400" w:firstLineChars="200"/>
              <w:jc w:val="left"/>
              <w:rPr>
                <w:rFonts w:ascii="宋体" w:hAnsi="宋体" w:cs="宋体"/>
                <w:kern w:val="0"/>
                <w:sz w:val="20"/>
                <w:szCs w:val="20"/>
              </w:rPr>
            </w:pPr>
            <w:r>
              <w:rPr>
                <w:rFonts w:hint="eastAsia" w:ascii="宋体" w:hAnsi="宋体" w:cs="宋体"/>
                <w:kern w:val="0"/>
                <w:sz w:val="20"/>
                <w:szCs w:val="20"/>
              </w:rPr>
              <w:t>（三）提供劳务收入</w:t>
            </w:r>
          </w:p>
        </w:tc>
        <w:tc>
          <w:tcPr>
            <w:tcW w:w="3420" w:type="dxa"/>
            <w:shd w:val="clear" w:color="auto" w:fill="auto"/>
            <w:noWrap/>
            <w:vAlign w:val="center"/>
          </w:tcPr>
          <w:p w14:paraId="4A42238F">
            <w:pPr>
              <w:widowControl/>
              <w:jc w:val="left"/>
              <w:rPr>
                <w:rFonts w:ascii="宋体" w:hAnsi="宋体" w:cs="宋体"/>
                <w:kern w:val="0"/>
                <w:sz w:val="20"/>
                <w:szCs w:val="20"/>
              </w:rPr>
            </w:pPr>
            <w:r>
              <w:rPr>
                <w:rFonts w:hint="eastAsia" w:ascii="宋体" w:hAnsi="宋体" w:cs="宋体"/>
                <w:kern w:val="0"/>
                <w:sz w:val="20"/>
                <w:szCs w:val="20"/>
              </w:rPr>
              <w:t>　</w:t>
            </w:r>
          </w:p>
        </w:tc>
      </w:tr>
      <w:tr w14:paraId="3C8B2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1D931D71">
            <w:pPr>
              <w:widowControl/>
              <w:jc w:val="center"/>
              <w:rPr>
                <w:rFonts w:ascii="宋体" w:hAnsi="宋体" w:cs="宋体"/>
                <w:kern w:val="0"/>
                <w:sz w:val="20"/>
                <w:szCs w:val="20"/>
              </w:rPr>
            </w:pPr>
            <w:r>
              <w:rPr>
                <w:rFonts w:hint="eastAsia" w:ascii="宋体" w:hAnsi="宋体" w:cs="宋体"/>
                <w:kern w:val="0"/>
                <w:sz w:val="20"/>
                <w:szCs w:val="20"/>
              </w:rPr>
              <w:t>14</w:t>
            </w:r>
          </w:p>
        </w:tc>
        <w:tc>
          <w:tcPr>
            <w:tcW w:w="4880" w:type="dxa"/>
            <w:shd w:val="clear" w:color="auto" w:fill="auto"/>
            <w:noWrap/>
            <w:vAlign w:val="center"/>
          </w:tcPr>
          <w:p w14:paraId="23FAA00F">
            <w:pPr>
              <w:widowControl/>
              <w:ind w:firstLine="400" w:firstLineChars="200"/>
              <w:jc w:val="left"/>
              <w:rPr>
                <w:rFonts w:ascii="宋体" w:hAnsi="宋体" w:cs="宋体"/>
                <w:kern w:val="0"/>
                <w:sz w:val="20"/>
                <w:szCs w:val="20"/>
              </w:rPr>
            </w:pPr>
            <w:r>
              <w:rPr>
                <w:rFonts w:hint="eastAsia" w:ascii="宋体" w:hAnsi="宋体" w:cs="宋体"/>
                <w:kern w:val="0"/>
                <w:sz w:val="20"/>
                <w:szCs w:val="20"/>
              </w:rPr>
              <w:t>（四）商品销售收入</w:t>
            </w:r>
          </w:p>
        </w:tc>
        <w:tc>
          <w:tcPr>
            <w:tcW w:w="3420" w:type="dxa"/>
            <w:shd w:val="clear" w:color="auto" w:fill="auto"/>
            <w:noWrap/>
            <w:vAlign w:val="center"/>
          </w:tcPr>
          <w:p w14:paraId="30EB5A5E">
            <w:pPr>
              <w:widowControl/>
              <w:jc w:val="left"/>
              <w:rPr>
                <w:rFonts w:ascii="宋体" w:hAnsi="宋体" w:cs="宋体"/>
                <w:kern w:val="0"/>
                <w:sz w:val="20"/>
                <w:szCs w:val="20"/>
              </w:rPr>
            </w:pPr>
            <w:r>
              <w:rPr>
                <w:rFonts w:hint="eastAsia" w:ascii="宋体" w:hAnsi="宋体" w:cs="宋体"/>
                <w:kern w:val="0"/>
                <w:sz w:val="20"/>
                <w:szCs w:val="20"/>
              </w:rPr>
              <w:t>　</w:t>
            </w:r>
          </w:p>
        </w:tc>
      </w:tr>
      <w:tr w14:paraId="0FEE2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70111110">
            <w:pPr>
              <w:widowControl/>
              <w:jc w:val="center"/>
              <w:rPr>
                <w:rFonts w:ascii="宋体" w:hAnsi="宋体" w:cs="宋体"/>
                <w:kern w:val="0"/>
                <w:sz w:val="20"/>
                <w:szCs w:val="20"/>
              </w:rPr>
            </w:pPr>
            <w:r>
              <w:rPr>
                <w:rFonts w:hint="eastAsia" w:ascii="宋体" w:hAnsi="宋体" w:cs="宋体"/>
                <w:kern w:val="0"/>
                <w:sz w:val="20"/>
                <w:szCs w:val="20"/>
              </w:rPr>
              <w:t>15</w:t>
            </w:r>
          </w:p>
        </w:tc>
        <w:tc>
          <w:tcPr>
            <w:tcW w:w="4880" w:type="dxa"/>
            <w:shd w:val="clear" w:color="auto" w:fill="auto"/>
            <w:noWrap/>
            <w:vAlign w:val="center"/>
          </w:tcPr>
          <w:p w14:paraId="18616571">
            <w:pPr>
              <w:widowControl/>
              <w:ind w:firstLine="400" w:firstLineChars="200"/>
              <w:jc w:val="left"/>
              <w:rPr>
                <w:rFonts w:ascii="宋体" w:hAnsi="宋体" w:cs="宋体"/>
                <w:kern w:val="0"/>
                <w:sz w:val="20"/>
                <w:szCs w:val="20"/>
              </w:rPr>
            </w:pPr>
            <w:r>
              <w:rPr>
                <w:rFonts w:hint="eastAsia" w:ascii="宋体" w:hAnsi="宋体" w:cs="宋体"/>
                <w:kern w:val="0"/>
                <w:sz w:val="20"/>
                <w:szCs w:val="20"/>
              </w:rPr>
              <w:t>（五）政府补助收入</w:t>
            </w:r>
          </w:p>
        </w:tc>
        <w:tc>
          <w:tcPr>
            <w:tcW w:w="3420" w:type="dxa"/>
            <w:shd w:val="clear" w:color="auto" w:fill="auto"/>
            <w:noWrap/>
            <w:vAlign w:val="center"/>
          </w:tcPr>
          <w:p w14:paraId="01C1FD48">
            <w:pPr>
              <w:widowControl/>
              <w:jc w:val="left"/>
              <w:rPr>
                <w:rFonts w:ascii="宋体" w:hAnsi="宋体" w:cs="宋体"/>
                <w:kern w:val="0"/>
                <w:sz w:val="20"/>
                <w:szCs w:val="20"/>
              </w:rPr>
            </w:pPr>
            <w:r>
              <w:rPr>
                <w:rFonts w:hint="eastAsia" w:ascii="宋体" w:hAnsi="宋体" w:cs="宋体"/>
                <w:kern w:val="0"/>
                <w:sz w:val="20"/>
                <w:szCs w:val="20"/>
              </w:rPr>
              <w:t>　</w:t>
            </w:r>
          </w:p>
        </w:tc>
      </w:tr>
      <w:tr w14:paraId="1DE20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6217DC38">
            <w:pPr>
              <w:widowControl/>
              <w:jc w:val="center"/>
              <w:rPr>
                <w:rFonts w:ascii="宋体" w:hAnsi="宋体" w:cs="宋体"/>
                <w:kern w:val="0"/>
                <w:sz w:val="20"/>
                <w:szCs w:val="20"/>
              </w:rPr>
            </w:pPr>
            <w:r>
              <w:rPr>
                <w:rFonts w:hint="eastAsia" w:ascii="宋体" w:hAnsi="宋体" w:cs="宋体"/>
                <w:kern w:val="0"/>
                <w:sz w:val="20"/>
                <w:szCs w:val="20"/>
              </w:rPr>
              <w:t>16</w:t>
            </w:r>
          </w:p>
        </w:tc>
        <w:tc>
          <w:tcPr>
            <w:tcW w:w="4880" w:type="dxa"/>
            <w:shd w:val="clear" w:color="auto" w:fill="auto"/>
            <w:noWrap/>
            <w:vAlign w:val="center"/>
          </w:tcPr>
          <w:p w14:paraId="4048E9A1">
            <w:pPr>
              <w:widowControl/>
              <w:ind w:firstLine="400" w:firstLineChars="200"/>
              <w:jc w:val="left"/>
              <w:rPr>
                <w:rFonts w:ascii="宋体" w:hAnsi="宋体" w:cs="宋体"/>
                <w:kern w:val="0"/>
                <w:sz w:val="20"/>
                <w:szCs w:val="20"/>
              </w:rPr>
            </w:pPr>
            <w:r>
              <w:rPr>
                <w:rFonts w:hint="eastAsia" w:ascii="宋体" w:hAnsi="宋体" w:cs="宋体"/>
                <w:kern w:val="0"/>
                <w:sz w:val="20"/>
                <w:szCs w:val="20"/>
              </w:rPr>
              <w:t>（六）投资收益</w:t>
            </w:r>
          </w:p>
        </w:tc>
        <w:tc>
          <w:tcPr>
            <w:tcW w:w="3420" w:type="dxa"/>
            <w:shd w:val="clear" w:color="auto" w:fill="auto"/>
            <w:noWrap/>
            <w:vAlign w:val="center"/>
          </w:tcPr>
          <w:p w14:paraId="29C6B59C">
            <w:pPr>
              <w:widowControl/>
              <w:jc w:val="left"/>
              <w:rPr>
                <w:rFonts w:ascii="宋体" w:hAnsi="宋体" w:cs="宋体"/>
                <w:kern w:val="0"/>
                <w:sz w:val="20"/>
                <w:szCs w:val="20"/>
              </w:rPr>
            </w:pPr>
            <w:r>
              <w:rPr>
                <w:rFonts w:hint="eastAsia" w:ascii="宋体" w:hAnsi="宋体" w:cs="宋体"/>
                <w:kern w:val="0"/>
                <w:sz w:val="20"/>
                <w:szCs w:val="20"/>
              </w:rPr>
              <w:t>　</w:t>
            </w:r>
          </w:p>
        </w:tc>
      </w:tr>
      <w:tr w14:paraId="13E0A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37FD958C">
            <w:pPr>
              <w:widowControl/>
              <w:jc w:val="center"/>
              <w:rPr>
                <w:rFonts w:ascii="宋体" w:hAnsi="宋体" w:cs="宋体"/>
                <w:kern w:val="0"/>
                <w:sz w:val="20"/>
                <w:szCs w:val="20"/>
              </w:rPr>
            </w:pPr>
            <w:r>
              <w:rPr>
                <w:rFonts w:hint="eastAsia" w:ascii="宋体" w:hAnsi="宋体" w:cs="宋体"/>
                <w:kern w:val="0"/>
                <w:sz w:val="20"/>
                <w:szCs w:val="20"/>
              </w:rPr>
              <w:t>17</w:t>
            </w:r>
          </w:p>
        </w:tc>
        <w:tc>
          <w:tcPr>
            <w:tcW w:w="4880" w:type="dxa"/>
            <w:shd w:val="clear" w:color="auto" w:fill="auto"/>
            <w:noWrap/>
            <w:vAlign w:val="center"/>
          </w:tcPr>
          <w:p w14:paraId="0EC6C201">
            <w:pPr>
              <w:widowControl/>
              <w:ind w:firstLine="400" w:firstLineChars="200"/>
              <w:jc w:val="left"/>
              <w:rPr>
                <w:rFonts w:ascii="宋体" w:hAnsi="宋体" w:cs="宋体"/>
                <w:kern w:val="0"/>
                <w:sz w:val="20"/>
                <w:szCs w:val="20"/>
              </w:rPr>
            </w:pPr>
            <w:r>
              <w:rPr>
                <w:rFonts w:hint="eastAsia" w:ascii="宋体" w:hAnsi="宋体" w:cs="宋体"/>
                <w:kern w:val="0"/>
                <w:sz w:val="20"/>
                <w:szCs w:val="20"/>
              </w:rPr>
              <w:t>（七）其他收入</w:t>
            </w:r>
          </w:p>
        </w:tc>
        <w:tc>
          <w:tcPr>
            <w:tcW w:w="3420" w:type="dxa"/>
            <w:shd w:val="clear" w:color="auto" w:fill="auto"/>
            <w:noWrap/>
            <w:vAlign w:val="center"/>
          </w:tcPr>
          <w:p w14:paraId="735E23B2">
            <w:pPr>
              <w:widowControl/>
              <w:jc w:val="left"/>
              <w:rPr>
                <w:rFonts w:ascii="宋体" w:hAnsi="宋体" w:cs="宋体"/>
                <w:kern w:val="0"/>
                <w:sz w:val="20"/>
                <w:szCs w:val="20"/>
              </w:rPr>
            </w:pPr>
            <w:r>
              <w:rPr>
                <w:rFonts w:hint="eastAsia" w:ascii="宋体" w:hAnsi="宋体" w:cs="宋体"/>
                <w:kern w:val="0"/>
                <w:sz w:val="20"/>
                <w:szCs w:val="20"/>
              </w:rPr>
              <w:t>　</w:t>
            </w:r>
          </w:p>
        </w:tc>
      </w:tr>
      <w:tr w14:paraId="06D35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3877F4D6">
            <w:pPr>
              <w:widowControl/>
              <w:jc w:val="center"/>
              <w:rPr>
                <w:rFonts w:ascii="宋体" w:hAnsi="宋体" w:cs="宋体"/>
                <w:kern w:val="0"/>
                <w:sz w:val="20"/>
                <w:szCs w:val="20"/>
              </w:rPr>
            </w:pPr>
            <w:r>
              <w:rPr>
                <w:rFonts w:hint="eastAsia" w:ascii="宋体" w:hAnsi="宋体" w:cs="宋体"/>
                <w:kern w:val="0"/>
                <w:sz w:val="20"/>
                <w:szCs w:val="20"/>
              </w:rPr>
              <w:t>18</w:t>
            </w:r>
          </w:p>
        </w:tc>
        <w:tc>
          <w:tcPr>
            <w:tcW w:w="4880" w:type="dxa"/>
            <w:shd w:val="clear" w:color="auto" w:fill="auto"/>
            <w:noWrap/>
            <w:vAlign w:val="center"/>
          </w:tcPr>
          <w:p w14:paraId="2A0BF4E8">
            <w:pPr>
              <w:widowControl/>
              <w:jc w:val="left"/>
              <w:rPr>
                <w:rFonts w:ascii="宋体" w:hAnsi="宋体" w:cs="宋体"/>
                <w:kern w:val="0"/>
                <w:sz w:val="20"/>
                <w:szCs w:val="20"/>
              </w:rPr>
            </w:pPr>
            <w:r>
              <w:rPr>
                <w:rFonts w:hint="eastAsia" w:ascii="宋体" w:hAnsi="宋体" w:cs="宋体"/>
                <w:kern w:val="0"/>
                <w:sz w:val="20"/>
                <w:szCs w:val="20"/>
              </w:rPr>
              <w:t>三、事业单位支出（19+20+21+22+23）</w:t>
            </w:r>
          </w:p>
        </w:tc>
        <w:tc>
          <w:tcPr>
            <w:tcW w:w="3420" w:type="dxa"/>
            <w:shd w:val="clear" w:color="auto" w:fill="auto"/>
            <w:noWrap/>
            <w:vAlign w:val="center"/>
          </w:tcPr>
          <w:p w14:paraId="77002721">
            <w:pPr>
              <w:widowControl/>
              <w:jc w:val="left"/>
              <w:rPr>
                <w:rFonts w:ascii="宋体" w:hAnsi="宋体" w:cs="宋体"/>
                <w:kern w:val="0"/>
                <w:sz w:val="20"/>
                <w:szCs w:val="20"/>
              </w:rPr>
            </w:pPr>
            <w:r>
              <w:rPr>
                <w:rFonts w:hint="eastAsia" w:ascii="宋体" w:hAnsi="宋体" w:cs="宋体"/>
                <w:kern w:val="0"/>
                <w:sz w:val="20"/>
                <w:szCs w:val="20"/>
              </w:rPr>
              <w:t>　</w:t>
            </w:r>
          </w:p>
        </w:tc>
      </w:tr>
      <w:tr w14:paraId="40CAB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06D5B71C">
            <w:pPr>
              <w:widowControl/>
              <w:jc w:val="center"/>
              <w:rPr>
                <w:rFonts w:ascii="宋体" w:hAnsi="宋体" w:cs="宋体"/>
                <w:kern w:val="0"/>
                <w:sz w:val="20"/>
                <w:szCs w:val="20"/>
              </w:rPr>
            </w:pPr>
            <w:r>
              <w:rPr>
                <w:rFonts w:hint="eastAsia" w:ascii="宋体" w:hAnsi="宋体" w:cs="宋体"/>
                <w:kern w:val="0"/>
                <w:sz w:val="20"/>
                <w:szCs w:val="20"/>
              </w:rPr>
              <w:t>19</w:t>
            </w:r>
          </w:p>
        </w:tc>
        <w:tc>
          <w:tcPr>
            <w:tcW w:w="4880" w:type="dxa"/>
            <w:shd w:val="clear" w:color="auto" w:fill="auto"/>
            <w:noWrap/>
            <w:vAlign w:val="center"/>
          </w:tcPr>
          <w:p w14:paraId="3CAFDD21">
            <w:pPr>
              <w:widowControl/>
              <w:ind w:firstLine="400" w:firstLineChars="200"/>
              <w:jc w:val="left"/>
              <w:rPr>
                <w:rFonts w:ascii="宋体" w:hAnsi="宋体" w:cs="宋体"/>
                <w:kern w:val="0"/>
                <w:sz w:val="20"/>
                <w:szCs w:val="20"/>
              </w:rPr>
            </w:pPr>
            <w:r>
              <w:rPr>
                <w:rFonts w:hint="eastAsia" w:ascii="宋体" w:hAnsi="宋体" w:cs="宋体"/>
                <w:kern w:val="0"/>
                <w:sz w:val="20"/>
                <w:szCs w:val="20"/>
              </w:rPr>
              <w:t>（一）事业支出</w:t>
            </w:r>
          </w:p>
        </w:tc>
        <w:tc>
          <w:tcPr>
            <w:tcW w:w="3420" w:type="dxa"/>
            <w:shd w:val="clear" w:color="auto" w:fill="auto"/>
            <w:noWrap/>
            <w:vAlign w:val="center"/>
          </w:tcPr>
          <w:p w14:paraId="5E4D0E91">
            <w:pPr>
              <w:widowControl/>
              <w:jc w:val="left"/>
              <w:rPr>
                <w:rFonts w:ascii="宋体" w:hAnsi="宋体" w:cs="宋体"/>
                <w:kern w:val="0"/>
                <w:sz w:val="20"/>
                <w:szCs w:val="20"/>
              </w:rPr>
            </w:pPr>
            <w:r>
              <w:rPr>
                <w:rFonts w:hint="eastAsia" w:ascii="宋体" w:hAnsi="宋体" w:cs="宋体"/>
                <w:kern w:val="0"/>
                <w:sz w:val="20"/>
                <w:szCs w:val="20"/>
              </w:rPr>
              <w:t>　</w:t>
            </w:r>
          </w:p>
        </w:tc>
      </w:tr>
      <w:tr w14:paraId="3B242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64797A70">
            <w:pPr>
              <w:widowControl/>
              <w:jc w:val="center"/>
              <w:rPr>
                <w:rFonts w:ascii="宋体" w:hAnsi="宋体" w:cs="宋体"/>
                <w:kern w:val="0"/>
                <w:sz w:val="20"/>
                <w:szCs w:val="20"/>
              </w:rPr>
            </w:pPr>
            <w:r>
              <w:rPr>
                <w:rFonts w:hint="eastAsia" w:ascii="宋体" w:hAnsi="宋体" w:cs="宋体"/>
                <w:kern w:val="0"/>
                <w:sz w:val="20"/>
                <w:szCs w:val="20"/>
              </w:rPr>
              <w:t>20</w:t>
            </w:r>
          </w:p>
        </w:tc>
        <w:tc>
          <w:tcPr>
            <w:tcW w:w="4880" w:type="dxa"/>
            <w:shd w:val="clear" w:color="auto" w:fill="auto"/>
            <w:noWrap/>
            <w:vAlign w:val="center"/>
          </w:tcPr>
          <w:p w14:paraId="100705A1">
            <w:pPr>
              <w:widowControl/>
              <w:ind w:firstLine="400" w:firstLineChars="200"/>
              <w:jc w:val="left"/>
              <w:rPr>
                <w:rFonts w:ascii="宋体" w:hAnsi="宋体" w:cs="宋体"/>
                <w:kern w:val="0"/>
                <w:sz w:val="20"/>
                <w:szCs w:val="20"/>
              </w:rPr>
            </w:pPr>
            <w:r>
              <w:rPr>
                <w:rFonts w:hint="eastAsia" w:ascii="宋体" w:hAnsi="宋体" w:cs="宋体"/>
                <w:kern w:val="0"/>
                <w:sz w:val="20"/>
                <w:szCs w:val="20"/>
              </w:rPr>
              <w:t>（二）上缴上级支出</w:t>
            </w:r>
          </w:p>
        </w:tc>
        <w:tc>
          <w:tcPr>
            <w:tcW w:w="3420" w:type="dxa"/>
            <w:shd w:val="clear" w:color="auto" w:fill="auto"/>
            <w:noWrap/>
            <w:vAlign w:val="center"/>
          </w:tcPr>
          <w:p w14:paraId="4E9DB203">
            <w:pPr>
              <w:widowControl/>
              <w:jc w:val="left"/>
              <w:rPr>
                <w:rFonts w:ascii="宋体" w:hAnsi="宋体" w:cs="宋体"/>
                <w:kern w:val="0"/>
                <w:sz w:val="20"/>
                <w:szCs w:val="20"/>
              </w:rPr>
            </w:pPr>
            <w:r>
              <w:rPr>
                <w:rFonts w:hint="eastAsia" w:ascii="宋体" w:hAnsi="宋体" w:cs="宋体"/>
                <w:kern w:val="0"/>
                <w:sz w:val="20"/>
                <w:szCs w:val="20"/>
              </w:rPr>
              <w:t>　</w:t>
            </w:r>
          </w:p>
        </w:tc>
      </w:tr>
      <w:tr w14:paraId="566DB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2070AF26">
            <w:pPr>
              <w:widowControl/>
              <w:jc w:val="center"/>
              <w:rPr>
                <w:rFonts w:ascii="宋体" w:hAnsi="宋体" w:cs="宋体"/>
                <w:kern w:val="0"/>
                <w:sz w:val="20"/>
                <w:szCs w:val="20"/>
              </w:rPr>
            </w:pPr>
            <w:r>
              <w:rPr>
                <w:rFonts w:hint="eastAsia" w:ascii="宋体" w:hAnsi="宋体" w:cs="宋体"/>
                <w:kern w:val="0"/>
                <w:sz w:val="20"/>
                <w:szCs w:val="20"/>
              </w:rPr>
              <w:t>21</w:t>
            </w:r>
          </w:p>
        </w:tc>
        <w:tc>
          <w:tcPr>
            <w:tcW w:w="4880" w:type="dxa"/>
            <w:shd w:val="clear" w:color="auto" w:fill="auto"/>
            <w:noWrap/>
            <w:vAlign w:val="center"/>
          </w:tcPr>
          <w:p w14:paraId="34820AAD">
            <w:pPr>
              <w:widowControl/>
              <w:ind w:firstLine="400" w:firstLineChars="200"/>
              <w:jc w:val="left"/>
              <w:rPr>
                <w:rFonts w:ascii="宋体" w:hAnsi="宋体" w:cs="宋体"/>
                <w:kern w:val="0"/>
                <w:sz w:val="20"/>
                <w:szCs w:val="20"/>
              </w:rPr>
            </w:pPr>
            <w:r>
              <w:rPr>
                <w:rFonts w:hint="eastAsia" w:ascii="宋体" w:hAnsi="宋体" w:cs="宋体"/>
                <w:kern w:val="0"/>
                <w:sz w:val="20"/>
                <w:szCs w:val="20"/>
              </w:rPr>
              <w:t>（三）对附属单位补助支出</w:t>
            </w:r>
          </w:p>
        </w:tc>
        <w:tc>
          <w:tcPr>
            <w:tcW w:w="3420" w:type="dxa"/>
            <w:shd w:val="clear" w:color="auto" w:fill="auto"/>
            <w:noWrap/>
            <w:vAlign w:val="center"/>
          </w:tcPr>
          <w:p w14:paraId="0A08411F">
            <w:pPr>
              <w:widowControl/>
              <w:jc w:val="left"/>
              <w:rPr>
                <w:rFonts w:ascii="宋体" w:hAnsi="宋体" w:cs="宋体"/>
                <w:kern w:val="0"/>
                <w:sz w:val="20"/>
                <w:szCs w:val="20"/>
              </w:rPr>
            </w:pPr>
            <w:r>
              <w:rPr>
                <w:rFonts w:hint="eastAsia" w:ascii="宋体" w:hAnsi="宋体" w:cs="宋体"/>
                <w:kern w:val="0"/>
                <w:sz w:val="20"/>
                <w:szCs w:val="20"/>
              </w:rPr>
              <w:t>　</w:t>
            </w:r>
          </w:p>
        </w:tc>
      </w:tr>
      <w:tr w14:paraId="4071B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059CF229">
            <w:pPr>
              <w:widowControl/>
              <w:jc w:val="center"/>
              <w:rPr>
                <w:rFonts w:ascii="宋体" w:hAnsi="宋体" w:cs="宋体"/>
                <w:kern w:val="0"/>
                <w:sz w:val="20"/>
                <w:szCs w:val="20"/>
              </w:rPr>
            </w:pPr>
            <w:r>
              <w:rPr>
                <w:rFonts w:hint="eastAsia" w:ascii="宋体" w:hAnsi="宋体" w:cs="宋体"/>
                <w:kern w:val="0"/>
                <w:sz w:val="20"/>
                <w:szCs w:val="20"/>
              </w:rPr>
              <w:t>22</w:t>
            </w:r>
          </w:p>
        </w:tc>
        <w:tc>
          <w:tcPr>
            <w:tcW w:w="4880" w:type="dxa"/>
            <w:shd w:val="clear" w:color="auto" w:fill="auto"/>
            <w:noWrap/>
            <w:vAlign w:val="center"/>
          </w:tcPr>
          <w:p w14:paraId="412DD666">
            <w:pPr>
              <w:widowControl/>
              <w:ind w:firstLine="400" w:firstLineChars="200"/>
              <w:jc w:val="left"/>
              <w:rPr>
                <w:rFonts w:ascii="宋体" w:hAnsi="宋体" w:cs="宋体"/>
                <w:kern w:val="0"/>
                <w:sz w:val="20"/>
                <w:szCs w:val="20"/>
              </w:rPr>
            </w:pPr>
            <w:r>
              <w:rPr>
                <w:rFonts w:hint="eastAsia" w:ascii="宋体" w:hAnsi="宋体" w:cs="宋体"/>
                <w:kern w:val="0"/>
                <w:sz w:val="20"/>
                <w:szCs w:val="20"/>
              </w:rPr>
              <w:t>（四）经营支出</w:t>
            </w:r>
          </w:p>
        </w:tc>
        <w:tc>
          <w:tcPr>
            <w:tcW w:w="3420" w:type="dxa"/>
            <w:shd w:val="clear" w:color="auto" w:fill="auto"/>
            <w:noWrap/>
            <w:vAlign w:val="center"/>
          </w:tcPr>
          <w:p w14:paraId="246D4BBA">
            <w:pPr>
              <w:widowControl/>
              <w:jc w:val="left"/>
              <w:rPr>
                <w:rFonts w:ascii="宋体" w:hAnsi="宋体" w:cs="宋体"/>
                <w:kern w:val="0"/>
                <w:sz w:val="20"/>
                <w:szCs w:val="20"/>
              </w:rPr>
            </w:pPr>
            <w:r>
              <w:rPr>
                <w:rFonts w:hint="eastAsia" w:ascii="宋体" w:hAnsi="宋体" w:cs="宋体"/>
                <w:kern w:val="0"/>
                <w:sz w:val="20"/>
                <w:szCs w:val="20"/>
              </w:rPr>
              <w:t>　</w:t>
            </w:r>
          </w:p>
        </w:tc>
      </w:tr>
      <w:tr w14:paraId="4A9C8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76BB72E8">
            <w:pPr>
              <w:widowControl/>
              <w:jc w:val="center"/>
              <w:rPr>
                <w:rFonts w:ascii="宋体" w:hAnsi="宋体" w:cs="宋体"/>
                <w:kern w:val="0"/>
                <w:sz w:val="20"/>
                <w:szCs w:val="20"/>
              </w:rPr>
            </w:pPr>
            <w:r>
              <w:rPr>
                <w:rFonts w:hint="eastAsia" w:ascii="宋体" w:hAnsi="宋体" w:cs="宋体"/>
                <w:kern w:val="0"/>
                <w:sz w:val="20"/>
                <w:szCs w:val="20"/>
              </w:rPr>
              <w:t>23</w:t>
            </w:r>
          </w:p>
        </w:tc>
        <w:tc>
          <w:tcPr>
            <w:tcW w:w="4880" w:type="dxa"/>
            <w:shd w:val="clear" w:color="auto" w:fill="auto"/>
            <w:noWrap/>
            <w:vAlign w:val="center"/>
          </w:tcPr>
          <w:p w14:paraId="0F0B7A1B">
            <w:pPr>
              <w:widowControl/>
              <w:ind w:firstLine="400" w:firstLineChars="200"/>
              <w:jc w:val="left"/>
              <w:rPr>
                <w:rFonts w:ascii="宋体" w:hAnsi="宋体" w:cs="宋体"/>
                <w:kern w:val="0"/>
                <w:sz w:val="20"/>
                <w:szCs w:val="20"/>
              </w:rPr>
            </w:pPr>
            <w:r>
              <w:rPr>
                <w:rFonts w:hint="eastAsia" w:ascii="宋体" w:hAnsi="宋体" w:cs="宋体"/>
                <w:kern w:val="0"/>
                <w:sz w:val="20"/>
                <w:szCs w:val="20"/>
              </w:rPr>
              <w:t>（五）其他支出</w:t>
            </w:r>
          </w:p>
        </w:tc>
        <w:tc>
          <w:tcPr>
            <w:tcW w:w="3420" w:type="dxa"/>
            <w:shd w:val="clear" w:color="auto" w:fill="auto"/>
            <w:noWrap/>
            <w:vAlign w:val="center"/>
          </w:tcPr>
          <w:p w14:paraId="18C6AB6F">
            <w:pPr>
              <w:widowControl/>
              <w:jc w:val="left"/>
              <w:rPr>
                <w:rFonts w:ascii="宋体" w:hAnsi="宋体" w:cs="宋体"/>
                <w:kern w:val="0"/>
                <w:sz w:val="20"/>
                <w:szCs w:val="20"/>
              </w:rPr>
            </w:pPr>
            <w:r>
              <w:rPr>
                <w:rFonts w:hint="eastAsia" w:ascii="宋体" w:hAnsi="宋体" w:cs="宋体"/>
                <w:kern w:val="0"/>
                <w:sz w:val="20"/>
                <w:szCs w:val="20"/>
              </w:rPr>
              <w:t>　</w:t>
            </w:r>
          </w:p>
        </w:tc>
      </w:tr>
      <w:tr w14:paraId="63971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7C737D77">
            <w:pPr>
              <w:widowControl/>
              <w:jc w:val="center"/>
              <w:rPr>
                <w:rFonts w:ascii="宋体" w:hAnsi="宋体" w:cs="宋体"/>
                <w:kern w:val="0"/>
                <w:sz w:val="20"/>
                <w:szCs w:val="20"/>
              </w:rPr>
            </w:pPr>
            <w:r>
              <w:rPr>
                <w:rFonts w:hint="eastAsia" w:ascii="宋体" w:hAnsi="宋体" w:cs="宋体"/>
                <w:kern w:val="0"/>
                <w:sz w:val="20"/>
                <w:szCs w:val="20"/>
              </w:rPr>
              <w:t>24</w:t>
            </w:r>
          </w:p>
        </w:tc>
        <w:tc>
          <w:tcPr>
            <w:tcW w:w="4880" w:type="dxa"/>
            <w:shd w:val="clear" w:color="auto" w:fill="auto"/>
            <w:noWrap/>
            <w:vAlign w:val="center"/>
          </w:tcPr>
          <w:p w14:paraId="3C91A7EE">
            <w:pPr>
              <w:widowControl/>
              <w:jc w:val="left"/>
              <w:rPr>
                <w:rFonts w:ascii="宋体" w:hAnsi="宋体" w:cs="宋体"/>
                <w:kern w:val="0"/>
                <w:sz w:val="20"/>
                <w:szCs w:val="20"/>
              </w:rPr>
            </w:pPr>
            <w:r>
              <w:rPr>
                <w:rFonts w:hint="eastAsia" w:ascii="宋体" w:hAnsi="宋体" w:cs="宋体"/>
                <w:kern w:val="0"/>
                <w:sz w:val="20"/>
                <w:szCs w:val="20"/>
              </w:rPr>
              <w:t>四、民间非营利组织支出（25+26+27+28）</w:t>
            </w:r>
          </w:p>
        </w:tc>
        <w:tc>
          <w:tcPr>
            <w:tcW w:w="3420" w:type="dxa"/>
            <w:shd w:val="clear" w:color="auto" w:fill="auto"/>
            <w:noWrap/>
            <w:vAlign w:val="center"/>
          </w:tcPr>
          <w:p w14:paraId="4FCD8108">
            <w:pPr>
              <w:widowControl/>
              <w:jc w:val="left"/>
              <w:rPr>
                <w:rFonts w:ascii="宋体" w:hAnsi="宋体" w:cs="宋体"/>
                <w:kern w:val="0"/>
                <w:sz w:val="20"/>
                <w:szCs w:val="20"/>
              </w:rPr>
            </w:pPr>
            <w:r>
              <w:rPr>
                <w:rFonts w:hint="eastAsia" w:ascii="宋体" w:hAnsi="宋体" w:cs="宋体"/>
                <w:kern w:val="0"/>
                <w:sz w:val="20"/>
                <w:szCs w:val="20"/>
              </w:rPr>
              <w:t>　</w:t>
            </w:r>
          </w:p>
        </w:tc>
      </w:tr>
      <w:tr w14:paraId="68AB0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322C99F6">
            <w:pPr>
              <w:widowControl/>
              <w:jc w:val="center"/>
              <w:rPr>
                <w:rFonts w:ascii="宋体" w:hAnsi="宋体" w:cs="宋体"/>
                <w:kern w:val="0"/>
                <w:sz w:val="20"/>
                <w:szCs w:val="20"/>
              </w:rPr>
            </w:pPr>
            <w:r>
              <w:rPr>
                <w:rFonts w:hint="eastAsia" w:ascii="宋体" w:hAnsi="宋体" w:cs="宋体"/>
                <w:kern w:val="0"/>
                <w:sz w:val="20"/>
                <w:szCs w:val="20"/>
              </w:rPr>
              <w:t>25</w:t>
            </w:r>
          </w:p>
        </w:tc>
        <w:tc>
          <w:tcPr>
            <w:tcW w:w="4880" w:type="dxa"/>
            <w:shd w:val="clear" w:color="auto" w:fill="auto"/>
            <w:noWrap/>
            <w:vAlign w:val="center"/>
          </w:tcPr>
          <w:p w14:paraId="12AC1B97">
            <w:pPr>
              <w:widowControl/>
              <w:ind w:firstLine="400" w:firstLineChars="200"/>
              <w:jc w:val="left"/>
              <w:rPr>
                <w:rFonts w:ascii="宋体" w:hAnsi="宋体" w:cs="宋体"/>
                <w:kern w:val="0"/>
                <w:sz w:val="20"/>
                <w:szCs w:val="20"/>
              </w:rPr>
            </w:pPr>
            <w:r>
              <w:rPr>
                <w:rFonts w:hint="eastAsia" w:ascii="宋体" w:hAnsi="宋体" w:cs="宋体"/>
                <w:kern w:val="0"/>
                <w:sz w:val="20"/>
                <w:szCs w:val="20"/>
              </w:rPr>
              <w:t>（一）业务活动成本</w:t>
            </w:r>
          </w:p>
        </w:tc>
        <w:tc>
          <w:tcPr>
            <w:tcW w:w="3420" w:type="dxa"/>
            <w:shd w:val="clear" w:color="auto" w:fill="auto"/>
            <w:noWrap/>
            <w:vAlign w:val="center"/>
          </w:tcPr>
          <w:p w14:paraId="60C05976">
            <w:pPr>
              <w:widowControl/>
              <w:jc w:val="left"/>
              <w:rPr>
                <w:rFonts w:ascii="宋体" w:hAnsi="宋体" w:cs="宋体"/>
                <w:kern w:val="0"/>
                <w:sz w:val="20"/>
                <w:szCs w:val="20"/>
              </w:rPr>
            </w:pPr>
            <w:r>
              <w:rPr>
                <w:rFonts w:hint="eastAsia" w:ascii="宋体" w:hAnsi="宋体" w:cs="宋体"/>
                <w:kern w:val="0"/>
                <w:sz w:val="20"/>
                <w:szCs w:val="20"/>
              </w:rPr>
              <w:t>　</w:t>
            </w:r>
          </w:p>
        </w:tc>
      </w:tr>
      <w:tr w14:paraId="6D1B4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5FD2BD79">
            <w:pPr>
              <w:widowControl/>
              <w:jc w:val="center"/>
              <w:rPr>
                <w:rFonts w:ascii="宋体" w:hAnsi="宋体" w:cs="宋体"/>
                <w:kern w:val="0"/>
                <w:sz w:val="20"/>
                <w:szCs w:val="20"/>
              </w:rPr>
            </w:pPr>
            <w:r>
              <w:rPr>
                <w:rFonts w:hint="eastAsia" w:ascii="宋体" w:hAnsi="宋体" w:cs="宋体"/>
                <w:kern w:val="0"/>
                <w:sz w:val="20"/>
                <w:szCs w:val="20"/>
              </w:rPr>
              <w:t>26</w:t>
            </w:r>
          </w:p>
        </w:tc>
        <w:tc>
          <w:tcPr>
            <w:tcW w:w="4880" w:type="dxa"/>
            <w:shd w:val="clear" w:color="auto" w:fill="auto"/>
            <w:noWrap/>
            <w:vAlign w:val="center"/>
          </w:tcPr>
          <w:p w14:paraId="4CF8B9D8">
            <w:pPr>
              <w:widowControl/>
              <w:ind w:firstLine="400" w:firstLineChars="200"/>
              <w:jc w:val="left"/>
              <w:rPr>
                <w:rFonts w:ascii="宋体" w:hAnsi="宋体" w:cs="宋体"/>
                <w:kern w:val="0"/>
                <w:sz w:val="20"/>
                <w:szCs w:val="20"/>
              </w:rPr>
            </w:pPr>
            <w:r>
              <w:rPr>
                <w:rFonts w:hint="eastAsia" w:ascii="宋体" w:hAnsi="宋体" w:cs="宋体"/>
                <w:kern w:val="0"/>
                <w:sz w:val="20"/>
                <w:szCs w:val="20"/>
              </w:rPr>
              <w:t>（二）管理费用</w:t>
            </w:r>
          </w:p>
        </w:tc>
        <w:tc>
          <w:tcPr>
            <w:tcW w:w="3420" w:type="dxa"/>
            <w:shd w:val="clear" w:color="auto" w:fill="auto"/>
            <w:noWrap/>
            <w:vAlign w:val="center"/>
          </w:tcPr>
          <w:p w14:paraId="4FD7D54D">
            <w:pPr>
              <w:widowControl/>
              <w:jc w:val="left"/>
              <w:rPr>
                <w:rFonts w:ascii="宋体" w:hAnsi="宋体" w:cs="宋体"/>
                <w:kern w:val="0"/>
                <w:sz w:val="20"/>
                <w:szCs w:val="20"/>
              </w:rPr>
            </w:pPr>
            <w:r>
              <w:rPr>
                <w:rFonts w:hint="eastAsia" w:ascii="宋体" w:hAnsi="宋体" w:cs="宋体"/>
                <w:kern w:val="0"/>
                <w:sz w:val="20"/>
                <w:szCs w:val="20"/>
              </w:rPr>
              <w:t>　</w:t>
            </w:r>
          </w:p>
        </w:tc>
      </w:tr>
      <w:tr w14:paraId="2EB72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60F157CA">
            <w:pPr>
              <w:widowControl/>
              <w:jc w:val="center"/>
              <w:rPr>
                <w:rFonts w:ascii="宋体" w:hAnsi="宋体" w:cs="宋体"/>
                <w:kern w:val="0"/>
                <w:sz w:val="20"/>
                <w:szCs w:val="20"/>
              </w:rPr>
            </w:pPr>
            <w:r>
              <w:rPr>
                <w:rFonts w:hint="eastAsia" w:ascii="宋体" w:hAnsi="宋体" w:cs="宋体"/>
                <w:kern w:val="0"/>
                <w:sz w:val="20"/>
                <w:szCs w:val="20"/>
              </w:rPr>
              <w:t>27</w:t>
            </w:r>
          </w:p>
        </w:tc>
        <w:tc>
          <w:tcPr>
            <w:tcW w:w="4880" w:type="dxa"/>
            <w:shd w:val="clear" w:color="auto" w:fill="auto"/>
            <w:noWrap/>
            <w:vAlign w:val="center"/>
          </w:tcPr>
          <w:p w14:paraId="05D46F5F">
            <w:pPr>
              <w:widowControl/>
              <w:ind w:firstLine="400" w:firstLineChars="200"/>
              <w:jc w:val="left"/>
              <w:rPr>
                <w:rFonts w:ascii="宋体" w:hAnsi="宋体" w:cs="宋体"/>
                <w:kern w:val="0"/>
                <w:sz w:val="20"/>
                <w:szCs w:val="20"/>
              </w:rPr>
            </w:pPr>
            <w:r>
              <w:rPr>
                <w:rFonts w:hint="eastAsia" w:ascii="宋体" w:hAnsi="宋体" w:cs="宋体"/>
                <w:kern w:val="0"/>
                <w:sz w:val="20"/>
                <w:szCs w:val="20"/>
              </w:rPr>
              <w:t>（三）筹资费用</w:t>
            </w:r>
          </w:p>
        </w:tc>
        <w:tc>
          <w:tcPr>
            <w:tcW w:w="3420" w:type="dxa"/>
            <w:shd w:val="clear" w:color="auto" w:fill="auto"/>
            <w:noWrap/>
            <w:vAlign w:val="center"/>
          </w:tcPr>
          <w:p w14:paraId="5CDA71EA">
            <w:pPr>
              <w:widowControl/>
              <w:jc w:val="left"/>
              <w:rPr>
                <w:rFonts w:ascii="宋体" w:hAnsi="宋体" w:cs="宋体"/>
                <w:kern w:val="0"/>
                <w:sz w:val="20"/>
                <w:szCs w:val="20"/>
              </w:rPr>
            </w:pPr>
            <w:r>
              <w:rPr>
                <w:rFonts w:hint="eastAsia" w:ascii="宋体" w:hAnsi="宋体" w:cs="宋体"/>
                <w:kern w:val="0"/>
                <w:sz w:val="20"/>
                <w:szCs w:val="20"/>
              </w:rPr>
              <w:t>　</w:t>
            </w:r>
          </w:p>
        </w:tc>
      </w:tr>
      <w:tr w14:paraId="255E9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63AFBE4D">
            <w:pPr>
              <w:widowControl/>
              <w:jc w:val="center"/>
              <w:rPr>
                <w:rFonts w:ascii="宋体" w:hAnsi="宋体" w:cs="宋体"/>
                <w:kern w:val="0"/>
                <w:sz w:val="20"/>
                <w:szCs w:val="20"/>
              </w:rPr>
            </w:pPr>
            <w:r>
              <w:rPr>
                <w:rFonts w:hint="eastAsia" w:ascii="宋体" w:hAnsi="宋体" w:cs="宋体"/>
                <w:kern w:val="0"/>
                <w:sz w:val="20"/>
                <w:szCs w:val="20"/>
              </w:rPr>
              <w:t>28</w:t>
            </w:r>
          </w:p>
        </w:tc>
        <w:tc>
          <w:tcPr>
            <w:tcW w:w="4880" w:type="dxa"/>
            <w:shd w:val="clear" w:color="auto" w:fill="auto"/>
            <w:noWrap/>
            <w:vAlign w:val="center"/>
          </w:tcPr>
          <w:p w14:paraId="3538BD2D">
            <w:pPr>
              <w:widowControl/>
              <w:ind w:firstLine="400" w:firstLineChars="200"/>
              <w:jc w:val="left"/>
              <w:rPr>
                <w:rFonts w:ascii="宋体" w:hAnsi="宋体" w:cs="宋体"/>
                <w:kern w:val="0"/>
                <w:sz w:val="20"/>
                <w:szCs w:val="20"/>
              </w:rPr>
            </w:pPr>
            <w:r>
              <w:rPr>
                <w:rFonts w:hint="eastAsia" w:ascii="宋体" w:hAnsi="宋体" w:cs="宋体"/>
                <w:kern w:val="0"/>
                <w:sz w:val="20"/>
                <w:szCs w:val="20"/>
              </w:rPr>
              <w:t>（四）其他费用</w:t>
            </w:r>
          </w:p>
        </w:tc>
        <w:tc>
          <w:tcPr>
            <w:tcW w:w="3420" w:type="dxa"/>
            <w:shd w:val="clear" w:color="auto" w:fill="auto"/>
            <w:noWrap/>
            <w:vAlign w:val="center"/>
          </w:tcPr>
          <w:p w14:paraId="689FB74F">
            <w:pPr>
              <w:widowControl/>
              <w:jc w:val="left"/>
              <w:rPr>
                <w:rFonts w:ascii="宋体" w:hAnsi="宋体" w:cs="宋体"/>
                <w:kern w:val="0"/>
                <w:sz w:val="20"/>
                <w:szCs w:val="20"/>
              </w:rPr>
            </w:pPr>
            <w:r>
              <w:rPr>
                <w:rFonts w:hint="eastAsia" w:ascii="宋体" w:hAnsi="宋体" w:cs="宋体"/>
                <w:kern w:val="0"/>
                <w:sz w:val="20"/>
                <w:szCs w:val="20"/>
              </w:rPr>
              <w:t>　</w:t>
            </w:r>
          </w:p>
        </w:tc>
      </w:tr>
    </w:tbl>
    <w:p w14:paraId="42F93163">
      <w:pPr>
        <w:tabs>
          <w:tab w:val="left" w:pos="2820"/>
        </w:tabs>
        <w:sectPr>
          <w:pgSz w:w="11906" w:h="16838"/>
          <w:pgMar w:top="1985" w:right="1418" w:bottom="1928" w:left="1418" w:header="851" w:footer="992" w:gutter="113"/>
          <w:cols w:space="425" w:num="1"/>
          <w:titlePg/>
          <w:docGrid w:linePitch="312" w:charSpace="0"/>
        </w:sectPr>
      </w:pPr>
      <w:r>
        <w:tab/>
      </w:r>
    </w:p>
    <w:p w14:paraId="086E17E7">
      <w:pPr>
        <w:pStyle w:val="10"/>
        <w:spacing w:before="240" w:after="360"/>
        <w:rPr>
          <w:rFonts w:hint="eastAsia" w:asciiTheme="majorEastAsia" w:hAnsiTheme="majorEastAsia" w:eastAsiaTheme="majorEastAsia" w:cstheme="majorEastAsia"/>
          <w:b/>
          <w:bCs/>
          <w:color w:val="000000"/>
          <w:lang w:eastAsia="zh-CN"/>
        </w:rPr>
      </w:pPr>
      <w:bookmarkStart w:id="1" w:name="_Toc499456566"/>
      <w:r>
        <w:rPr>
          <w:rFonts w:hint="eastAsia" w:asciiTheme="majorEastAsia" w:hAnsiTheme="majorEastAsia" w:eastAsiaTheme="majorEastAsia" w:cstheme="majorEastAsia"/>
          <w:b/>
          <w:bCs/>
          <w:color w:val="000000"/>
        </w:rPr>
        <w:t>A103000</w:t>
      </w:r>
      <w:r>
        <w:rPr>
          <w:rFonts w:hint="eastAsia" w:asciiTheme="majorEastAsia" w:hAnsiTheme="majorEastAsia" w:eastAsiaTheme="majorEastAsia" w:cstheme="majorEastAsia"/>
          <w:b/>
          <w:bCs/>
          <w:color w:val="000000"/>
        </w:rPr>
        <w:tab/>
      </w:r>
      <w:r>
        <w:rPr>
          <w:rFonts w:hint="eastAsia" w:asciiTheme="majorEastAsia" w:hAnsiTheme="majorEastAsia" w:eastAsiaTheme="majorEastAsia" w:cstheme="majorEastAsia"/>
          <w:b/>
          <w:bCs/>
          <w:color w:val="000000"/>
        </w:rPr>
        <w:t>《事业单位、民间非营利组织收入、支出明细表》填报说明</w:t>
      </w:r>
      <w:bookmarkEnd w:id="1"/>
      <w:r>
        <w:rPr>
          <w:rFonts w:hint="eastAsia" w:asciiTheme="majorEastAsia" w:hAnsiTheme="majorEastAsia" w:eastAsiaTheme="majorEastAsia" w:cstheme="majorEastAsia"/>
          <w:b/>
          <w:bCs/>
          <w:color w:val="000000"/>
          <w:lang w:eastAsia="zh-CN"/>
        </w:rPr>
        <w:t>（</w:t>
      </w:r>
      <w:r>
        <w:rPr>
          <w:rFonts w:hint="eastAsia" w:asciiTheme="majorEastAsia" w:hAnsiTheme="majorEastAsia" w:eastAsiaTheme="majorEastAsia" w:cstheme="majorEastAsia"/>
          <w:b/>
          <w:bCs/>
          <w:color w:val="000000"/>
          <w:lang w:val="en-US" w:eastAsia="zh-CN"/>
        </w:rPr>
        <w:t>旧</w:t>
      </w:r>
      <w:r>
        <w:rPr>
          <w:rFonts w:hint="eastAsia" w:asciiTheme="majorEastAsia" w:hAnsiTheme="majorEastAsia" w:eastAsiaTheme="majorEastAsia" w:cstheme="majorEastAsia"/>
          <w:b/>
          <w:bCs/>
          <w:color w:val="000000"/>
          <w:lang w:eastAsia="zh-CN"/>
        </w:rPr>
        <w:t>）</w:t>
      </w:r>
    </w:p>
    <w:p w14:paraId="138EDF69">
      <w:pPr>
        <w:pStyle w:val="9"/>
      </w:pPr>
      <w:r>
        <w:rPr>
          <w:rFonts w:hint="eastAsia"/>
        </w:rPr>
        <w:t>本表适用于实行事业单位会计准则的事业单位以及执行民间非营利组织会计制度的社会团体、民办非企业单位、非营利性组织等查账征收居民纳税人填报。纳税人应根据事业单位会计准则、民间非营利组织会计制度的规定，填报“事业单位收入”“民间非营利组织收入”“事业单位支出”“民间非营利组织支出”等。</w:t>
      </w:r>
    </w:p>
    <w:p w14:paraId="70C9782D">
      <w:pPr>
        <w:pStyle w:val="11"/>
        <w:ind w:firstLine="482"/>
      </w:pPr>
      <w:r>
        <w:rPr>
          <w:rFonts w:hint="eastAsia"/>
        </w:rPr>
        <w:t>一、有关项目填报说明</w:t>
      </w:r>
    </w:p>
    <w:p w14:paraId="30517E97">
      <w:pPr>
        <w:pStyle w:val="12"/>
      </w:pPr>
      <w:r>
        <w:rPr>
          <w:rFonts w:hint="eastAsia"/>
        </w:rPr>
        <w:t>（一）事业单位填报说明</w:t>
      </w:r>
    </w:p>
    <w:p w14:paraId="65AAC161">
      <w:pPr>
        <w:pStyle w:val="9"/>
      </w:pPr>
      <w:r>
        <w:rPr>
          <w:rFonts w:hint="eastAsia"/>
        </w:rPr>
        <w:t>第1行至第9行由执行事业单位会计准则的纳税人填报。</w:t>
      </w:r>
    </w:p>
    <w:p w14:paraId="30ACB891">
      <w:pPr>
        <w:pStyle w:val="9"/>
      </w:pPr>
      <w:r>
        <w:rPr>
          <w:rFonts w:hint="eastAsia"/>
        </w:rPr>
        <w:t>1.第1行“事业单位收入”：填报纳税人取得的所有收入的金额（包括不征税收入和免税收入），按照会计核算口径填报。</w:t>
      </w:r>
    </w:p>
    <w:p w14:paraId="1D52AC97">
      <w:pPr>
        <w:pStyle w:val="9"/>
      </w:pPr>
      <w:r>
        <w:rPr>
          <w:rFonts w:hint="eastAsia"/>
        </w:rPr>
        <w:t>2.第2行“财政补助收入”：填报纳税人直接从同级财政部门取得的各类财政拨款，包括基本支出补助和项目支出补助。</w:t>
      </w:r>
    </w:p>
    <w:p w14:paraId="775E48A2">
      <w:pPr>
        <w:pStyle w:val="9"/>
      </w:pPr>
      <w:r>
        <w:rPr>
          <w:rFonts w:hint="eastAsia"/>
        </w:rPr>
        <w:t>3.第3行“事业收入”：填报纳税人通过开展专业业务活动及辅助活动所取得的收入。</w:t>
      </w:r>
    </w:p>
    <w:p w14:paraId="3E6A9C2D">
      <w:pPr>
        <w:pStyle w:val="9"/>
      </w:pPr>
      <w:r>
        <w:rPr>
          <w:rFonts w:hint="eastAsia"/>
        </w:rPr>
        <w:t>4.第4行“上级补助收入”：填报纳税人从主管部门和上级单位取得的非财政补助收入。</w:t>
      </w:r>
    </w:p>
    <w:p w14:paraId="4EAF1A95">
      <w:pPr>
        <w:pStyle w:val="9"/>
      </w:pPr>
      <w:r>
        <w:rPr>
          <w:rFonts w:hint="eastAsia"/>
        </w:rPr>
        <w:t>5.第5行“附属单位上缴收入”：填报纳税人附属独立核算单位按有关规定上缴的收入。包括附属事业单位上缴的收入和附属企业上缴的利润等。</w:t>
      </w:r>
    </w:p>
    <w:p w14:paraId="734BA961">
      <w:pPr>
        <w:pStyle w:val="9"/>
      </w:pPr>
      <w:r>
        <w:rPr>
          <w:rFonts w:hint="eastAsia"/>
        </w:rPr>
        <w:t>6.第6行“经营收入”：填报纳税人开展专业业务活动及其辅助活动之外开展非独立核算经营活动取得的收入。</w:t>
      </w:r>
    </w:p>
    <w:p w14:paraId="51647941">
      <w:pPr>
        <w:pStyle w:val="9"/>
      </w:pPr>
      <w:r>
        <w:rPr>
          <w:rFonts w:hint="eastAsia"/>
        </w:rPr>
        <w:t>7.第7行“其他收入”：填报纳税人取得的除本表第2行至第6行项目以外的收入，包括投资收益、银行存款利息收入、租金收入、捐赠收入、现金盘盈收入、存货盘盈收入、收回已核销应收及预付款项、无法偿付的应付及预收款项等。</w:t>
      </w:r>
    </w:p>
    <w:p w14:paraId="317CF0F0">
      <w:pPr>
        <w:pStyle w:val="9"/>
      </w:pPr>
      <w:r>
        <w:rPr>
          <w:rFonts w:hint="eastAsia"/>
        </w:rPr>
        <w:t>8.第8行“其中：投资收益”：填报在“其他收入”科目中核算的各项短期投资、长期债券投资、长期股权投资取得的投资收益。</w:t>
      </w:r>
    </w:p>
    <w:p w14:paraId="1BF31BB9">
      <w:pPr>
        <w:pStyle w:val="9"/>
      </w:pPr>
      <w:r>
        <w:rPr>
          <w:rFonts w:hint="eastAsia"/>
        </w:rPr>
        <w:t>9.第9行“其他”：填报在“其他收入”科目中核算的除投资收益以外的收入。</w:t>
      </w:r>
    </w:p>
    <w:p w14:paraId="615D2C26">
      <w:pPr>
        <w:pStyle w:val="12"/>
      </w:pPr>
      <w:r>
        <w:rPr>
          <w:rFonts w:hint="eastAsia"/>
        </w:rPr>
        <w:t>（二）民间非营利组织填报说明</w:t>
      </w:r>
    </w:p>
    <w:p w14:paraId="0BC4D9C7">
      <w:pPr>
        <w:pStyle w:val="9"/>
      </w:pPr>
      <w:r>
        <w:rPr>
          <w:rFonts w:hint="eastAsia"/>
        </w:rPr>
        <w:t>第10行至第17行由执行民间非营利组织会计制度的纳税人填报。</w:t>
      </w:r>
    </w:p>
    <w:p w14:paraId="0AA069FC">
      <w:pPr>
        <w:pStyle w:val="9"/>
      </w:pPr>
      <w:r>
        <w:rPr>
          <w:rFonts w:hint="eastAsia"/>
        </w:rPr>
        <w:t>10.第10行“民间非营利组织收入”：填报纳税人开展业务活动取得的收入，应当包括接受捐赠收入、会费收入、提供劳务收入、政府补助收入、投资收益、商品销售收入等主要业务活动收入和其他收入等。</w:t>
      </w:r>
    </w:p>
    <w:p w14:paraId="0AB19569">
      <w:pPr>
        <w:pStyle w:val="9"/>
      </w:pPr>
      <w:r>
        <w:rPr>
          <w:rFonts w:hint="eastAsia"/>
        </w:rPr>
        <w:t>11.第11行“接受捐赠收入”：填报纳税人接受其他单位或者个人捐赠所取得的收入。</w:t>
      </w:r>
    </w:p>
    <w:p w14:paraId="4E619C0A">
      <w:pPr>
        <w:pStyle w:val="9"/>
      </w:pPr>
      <w:r>
        <w:rPr>
          <w:rFonts w:hint="eastAsia"/>
        </w:rPr>
        <w:t>12.第12行“会费收入”：填报纳税人根据章程等规定向会员收取的会费收入。</w:t>
      </w:r>
    </w:p>
    <w:p w14:paraId="2F347B55">
      <w:pPr>
        <w:pStyle w:val="9"/>
      </w:pPr>
      <w:r>
        <w:rPr>
          <w:rFonts w:hint="eastAsia"/>
        </w:rPr>
        <w:t>13.第13行“提供劳务收入”：填报纳税人根据章程等规定向其服务对象提供服务取得的收入，包括学费收入、医疗费收入、培训收入等。</w:t>
      </w:r>
    </w:p>
    <w:p w14:paraId="62677DF2">
      <w:pPr>
        <w:pStyle w:val="9"/>
      </w:pPr>
      <w:r>
        <w:rPr>
          <w:rFonts w:hint="eastAsia"/>
        </w:rPr>
        <w:t>14.第14行“商品销售收入”：填报纳税人销售商品（如出版物、药品等）所形成的收入。</w:t>
      </w:r>
    </w:p>
    <w:p w14:paraId="763743EA">
      <w:pPr>
        <w:pStyle w:val="9"/>
      </w:pPr>
      <w:r>
        <w:rPr>
          <w:rFonts w:hint="eastAsia"/>
        </w:rPr>
        <w:t>15.第15行“政府补助收入”：填报纳税人接受政府拨款或者政府机构给予的补助而取得的收入。</w:t>
      </w:r>
    </w:p>
    <w:p w14:paraId="01FAD441">
      <w:pPr>
        <w:pStyle w:val="9"/>
      </w:pPr>
      <w:r>
        <w:rPr>
          <w:rFonts w:hint="eastAsia"/>
        </w:rPr>
        <w:t>16.第16行“投资收益”：填报纳税人因对外投资取得的投资净收益。</w:t>
      </w:r>
    </w:p>
    <w:p w14:paraId="746EEC5E">
      <w:pPr>
        <w:pStyle w:val="9"/>
      </w:pPr>
      <w:r>
        <w:rPr>
          <w:rFonts w:hint="eastAsia"/>
        </w:rPr>
        <w:t>17.第17行“其他收入”：填报纳税人除上述主要业务活动收入以外的其他收入，如固定资产处置净收入、无形资产处置净收入等。</w:t>
      </w:r>
    </w:p>
    <w:p w14:paraId="357B9B99">
      <w:pPr>
        <w:pStyle w:val="9"/>
      </w:pPr>
      <w:r>
        <w:rPr>
          <w:rFonts w:hint="eastAsia"/>
        </w:rPr>
        <w:t>第18行至第23行由执行事业单位会计准则的纳税人填报。</w:t>
      </w:r>
    </w:p>
    <w:p w14:paraId="08D6FDF5">
      <w:pPr>
        <w:pStyle w:val="9"/>
      </w:pPr>
      <w:r>
        <w:rPr>
          <w:rFonts w:hint="eastAsia"/>
        </w:rPr>
        <w:t>18.第18行“事业单位支出”：填报纳税人发生的所有支出总额（含不征税收入形成的支出），按照会计核算口径填报。</w:t>
      </w:r>
    </w:p>
    <w:p w14:paraId="1A1F0510">
      <w:pPr>
        <w:pStyle w:val="9"/>
      </w:pPr>
      <w:r>
        <w:rPr>
          <w:rFonts w:hint="eastAsia"/>
        </w:rPr>
        <w:t>19.第19行“事业支出”：填报纳税人开展专业业务活动及其辅助活动发生的支出，包括工资、补助工资、职工福利费、社会保障费、助学金，公务费、业务费、设备购置费、修缮费和其他费用。</w:t>
      </w:r>
    </w:p>
    <w:p w14:paraId="17FD3FFE">
      <w:pPr>
        <w:pStyle w:val="9"/>
      </w:pPr>
      <w:r>
        <w:rPr>
          <w:rFonts w:hint="eastAsia"/>
        </w:rPr>
        <w:t>20.第20行“上缴上级支出”：填报纳税人按照财政部门和主管部门的规定上缴上级单位的支出。</w:t>
      </w:r>
    </w:p>
    <w:p w14:paraId="26B3A42B">
      <w:pPr>
        <w:pStyle w:val="9"/>
      </w:pPr>
      <w:r>
        <w:rPr>
          <w:rFonts w:hint="eastAsia"/>
        </w:rPr>
        <w:t>21.第21行“对附属单位补助支出”：填报纳税人用财政补助收入之外的收入对附属单位补助发生的支出。</w:t>
      </w:r>
    </w:p>
    <w:p w14:paraId="3A17B3B9">
      <w:pPr>
        <w:pStyle w:val="9"/>
      </w:pPr>
      <w:r>
        <w:rPr>
          <w:rFonts w:hint="eastAsia"/>
        </w:rPr>
        <w:t>22.第22行“经营支出”：填报纳税人在专业业务活动及其辅助活动之外开展非独立核算经营活动发生的支出。</w:t>
      </w:r>
    </w:p>
    <w:p w14:paraId="4B100DCC">
      <w:pPr>
        <w:pStyle w:val="9"/>
      </w:pPr>
      <w:r>
        <w:rPr>
          <w:rFonts w:hint="eastAsia"/>
        </w:rPr>
        <w:t>23.第23行“其他支出”：填报纳税人除本表第19行至第22行项目以外的支出，包括利息支出、捐赠支出、现金盘亏损失、资产处置损失、接受捐赠（调入）非流动资产发生的税费支出等。</w:t>
      </w:r>
    </w:p>
    <w:p w14:paraId="59450A1F">
      <w:pPr>
        <w:pStyle w:val="9"/>
      </w:pPr>
      <w:r>
        <w:rPr>
          <w:rFonts w:hint="eastAsia"/>
        </w:rPr>
        <w:t>第24行至第28行由执行民间非营利组织会计制度的纳税人填报。</w:t>
      </w:r>
    </w:p>
    <w:p w14:paraId="3A08FEFC">
      <w:pPr>
        <w:pStyle w:val="9"/>
      </w:pPr>
      <w:r>
        <w:rPr>
          <w:rFonts w:hint="eastAsia"/>
        </w:rPr>
        <w:t>24.第24行“民间非营利组织支出”：填报纳税人发生的所有支出总额。按照会计核算口径填报。</w:t>
      </w:r>
    </w:p>
    <w:p w14:paraId="083095D9">
      <w:pPr>
        <w:pStyle w:val="9"/>
      </w:pPr>
      <w:r>
        <w:rPr>
          <w:rFonts w:hint="eastAsia"/>
        </w:rPr>
        <w:t>25.第25行“业务活动成本”：填报民间非营利组织为了实现其业务活动目标、开展某项目活动或者提供劳务所发生的费用。</w:t>
      </w:r>
    </w:p>
    <w:p w14:paraId="61788045">
      <w:pPr>
        <w:pStyle w:val="9"/>
      </w:pPr>
      <w:r>
        <w:rPr>
          <w:rFonts w:hint="eastAsia"/>
        </w:rPr>
        <w:t>26.第26行“管理费用”：填报民间非营利组织为组织和管理其业务活动所发生的各项费用，包括民间非营利组织董事会（或者理事会或者类似权力机构）经费和行政管理人员的工资、奖金、津贴、福利费、住房公积金、住房补贴、社会保障费、离退休人员工资与补助，以及办公费、水电费、邮电费、物业管理费、差旅费、折旧费、修理费、无形资产摊销费、存货盘亏损失、资产减值损失、因预计负债所产生的损失、聘请中介机构费和应偿还的受赠资产等。</w:t>
      </w:r>
    </w:p>
    <w:p w14:paraId="40DE588D">
      <w:pPr>
        <w:pStyle w:val="9"/>
      </w:pPr>
      <w:r>
        <w:rPr>
          <w:rFonts w:hint="eastAsia"/>
        </w:rPr>
        <w:t>27.第27行“筹资费用”：填报民间非营利组织为筹集业务活动所需资金而发生的费用，包括民间非营利组织获得捐赠资产而发生的费用以及应当计入当期费用的借款费用、汇兑损失（减汇兑收益）等。民间非营利组织为了获得捐赠资产而发生的费用包括举办募款活动费，准备、印刷和发放募款宣传资料费以及其他与募款或者争取捐赠有关的费用。</w:t>
      </w:r>
    </w:p>
    <w:p w14:paraId="6D122D4F">
      <w:pPr>
        <w:pStyle w:val="9"/>
        <w:rPr>
          <w:b/>
        </w:rPr>
      </w:pPr>
      <w:r>
        <w:rPr>
          <w:rFonts w:hint="eastAsia"/>
        </w:rPr>
        <w:t>28.第28行“其他费用”：填报民间非营利组织发生的、无法归属到上述业务活动成本、管理费用或者筹资费用中的费用，包括固定资产处置净损失、无形资产处置净损失等。</w:t>
      </w:r>
    </w:p>
    <w:p w14:paraId="724CA117">
      <w:pPr>
        <w:pStyle w:val="11"/>
        <w:ind w:firstLine="482"/>
      </w:pPr>
      <w:r>
        <w:rPr>
          <w:rFonts w:hint="eastAsia"/>
        </w:rPr>
        <w:t>二、表内、表间关系</w:t>
      </w:r>
    </w:p>
    <w:p w14:paraId="4CCEF510">
      <w:pPr>
        <w:pStyle w:val="12"/>
      </w:pPr>
      <w:r>
        <w:rPr>
          <w:rFonts w:hint="eastAsia"/>
        </w:rPr>
        <w:t>（一）表内关系</w:t>
      </w:r>
    </w:p>
    <w:p w14:paraId="0A0346F8">
      <w:pPr>
        <w:pStyle w:val="9"/>
      </w:pPr>
      <w:r>
        <w:rPr>
          <w:rFonts w:hint="eastAsia"/>
        </w:rPr>
        <w:t>1.第1行＝第2+3+…+7行。</w:t>
      </w:r>
    </w:p>
    <w:p w14:paraId="1E2E7090">
      <w:pPr>
        <w:pStyle w:val="9"/>
      </w:pPr>
      <w:r>
        <w:rPr>
          <w:rFonts w:hint="eastAsia"/>
        </w:rPr>
        <w:t>2.第7行＝第8+9行。</w:t>
      </w:r>
    </w:p>
    <w:p w14:paraId="68B191D2">
      <w:pPr>
        <w:pStyle w:val="9"/>
      </w:pPr>
      <w:r>
        <w:rPr>
          <w:rFonts w:hint="eastAsia"/>
        </w:rPr>
        <w:t>3.第10行＝第11+12+…+17行。</w:t>
      </w:r>
    </w:p>
    <w:p w14:paraId="2E1DAB53">
      <w:pPr>
        <w:pStyle w:val="9"/>
      </w:pPr>
      <w:r>
        <w:rPr>
          <w:rFonts w:hint="eastAsia"/>
        </w:rPr>
        <w:t>4.第18行＝第19+20+21+22+23行。</w:t>
      </w:r>
    </w:p>
    <w:p w14:paraId="1779917A">
      <w:pPr>
        <w:pStyle w:val="9"/>
      </w:pPr>
      <w:r>
        <w:rPr>
          <w:rFonts w:hint="eastAsia"/>
        </w:rPr>
        <w:t>5.第24行＝第25+26+27+28行。</w:t>
      </w:r>
    </w:p>
    <w:p w14:paraId="395529DA">
      <w:pPr>
        <w:pStyle w:val="12"/>
      </w:pPr>
      <w:r>
        <w:rPr>
          <w:rFonts w:hint="eastAsia"/>
        </w:rPr>
        <w:t>（二）表间关系</w:t>
      </w:r>
    </w:p>
    <w:p w14:paraId="09406D43">
      <w:pPr>
        <w:pStyle w:val="9"/>
        <w:rPr>
          <w:color w:val="000000"/>
        </w:rPr>
      </w:pPr>
      <w:r>
        <w:rPr>
          <w:rFonts w:hint="eastAsia"/>
          <w:color w:val="000000"/>
        </w:rPr>
        <w:t>1.第2+3+4+5+6行或第11+12+13+14+15行＝表A100000第1行。</w:t>
      </w:r>
    </w:p>
    <w:p w14:paraId="23C6EEEF">
      <w:pPr>
        <w:pStyle w:val="9"/>
        <w:rPr>
          <w:color w:val="000000"/>
        </w:rPr>
      </w:pPr>
      <w:r>
        <w:rPr>
          <w:rFonts w:hint="eastAsia"/>
          <w:color w:val="000000"/>
        </w:rPr>
        <w:t>2.第8行或第16行＝表A100000第9行。</w:t>
      </w:r>
    </w:p>
    <w:p w14:paraId="2ECB9FF1">
      <w:pPr>
        <w:pStyle w:val="9"/>
        <w:rPr>
          <w:color w:val="000000"/>
        </w:rPr>
      </w:pPr>
      <w:r>
        <w:rPr>
          <w:rFonts w:hint="eastAsia"/>
          <w:color w:val="000000"/>
        </w:rPr>
        <w:t>3.第9行或第17行＝表A100000第11行。</w:t>
      </w:r>
    </w:p>
    <w:p w14:paraId="1758B81C">
      <w:pPr>
        <w:pStyle w:val="9"/>
        <w:rPr>
          <w:color w:val="000000"/>
        </w:rPr>
      </w:pPr>
      <w:r>
        <w:rPr>
          <w:rFonts w:hint="eastAsia"/>
          <w:color w:val="000000"/>
        </w:rPr>
        <w:t>4.第19+20+21+22行或第25+26+27行＝表A100000第2行。</w:t>
      </w:r>
    </w:p>
    <w:p w14:paraId="6FD83FA6">
      <w:pPr>
        <w:pStyle w:val="9"/>
        <w:rPr>
          <w:color w:val="000000"/>
        </w:rPr>
      </w:pPr>
      <w:r>
        <w:rPr>
          <w:rFonts w:hint="eastAsia"/>
          <w:color w:val="000000"/>
        </w:rPr>
        <w:t>5.第23行或第28行＝表A100000第12行。</w:t>
      </w:r>
    </w:p>
    <w:p w14:paraId="6484459F">
      <w:pPr>
        <w:pStyle w:val="9"/>
        <w:rPr>
          <w:color w:val="000000"/>
        </w:rPr>
      </w:pPr>
    </w:p>
    <w:p w14:paraId="7BE5EF3F">
      <w:pPr>
        <w:pStyle w:val="9"/>
        <w:rPr>
          <w:color w:val="000000"/>
        </w:rPr>
      </w:pPr>
    </w:p>
    <w:p w14:paraId="18D4B6AF">
      <w:pPr>
        <w:pStyle w:val="13"/>
        <w:tabs>
          <w:tab w:val="clear" w:pos="4200"/>
        </w:tabs>
        <w:spacing w:before="120" w:after="120"/>
        <w:rPr>
          <w:rFonts w:hint="eastAsia" w:ascii="宋体" w:hAnsi="宋体" w:eastAsia="宋体" w:cs="宋体"/>
          <w:color w:val="auto"/>
        </w:rPr>
      </w:pPr>
      <w:bookmarkStart w:id="2" w:name="_Toc176972050"/>
      <w:bookmarkStart w:id="3" w:name="_Toc1090346832"/>
      <w:bookmarkStart w:id="4" w:name="_Toc1210697552"/>
      <w:r>
        <w:rPr>
          <w:rFonts w:hint="eastAsia" w:ascii="宋体" w:hAnsi="宋体" w:eastAsia="宋体" w:cs="宋体"/>
          <w:color w:val="auto"/>
        </w:rPr>
        <w:t>A103000</w:t>
      </w:r>
      <w:r>
        <w:rPr>
          <w:rFonts w:hint="eastAsia" w:ascii="宋体" w:hAnsi="宋体" w:eastAsia="宋体" w:cs="宋体"/>
          <w:color w:val="auto"/>
        </w:rPr>
        <w:tab/>
      </w:r>
      <w:r>
        <w:rPr>
          <w:rFonts w:hint="eastAsia" w:ascii="宋体" w:hAnsi="宋体" w:eastAsia="宋体" w:cs="宋体"/>
          <w:color w:val="auto"/>
        </w:rPr>
        <w:t>《事业单位、民间非营利组织收入、支出明细表》填报</w:t>
      </w:r>
    </w:p>
    <w:p w14:paraId="3FD89953">
      <w:pPr>
        <w:pStyle w:val="13"/>
        <w:tabs>
          <w:tab w:val="clear" w:pos="4200"/>
        </w:tabs>
        <w:spacing w:before="120" w:after="120"/>
        <w:rPr>
          <w:rFonts w:hint="eastAsia" w:ascii="宋体" w:hAnsi="宋体" w:eastAsia="宋体" w:cs="宋体"/>
          <w:color w:val="auto"/>
          <w:lang w:eastAsia="zh-CN"/>
        </w:rPr>
      </w:pPr>
      <w:r>
        <w:rPr>
          <w:rFonts w:hint="eastAsia" w:ascii="宋体" w:hAnsi="宋体" w:eastAsia="宋体" w:cs="宋体"/>
          <w:color w:val="auto"/>
        </w:rPr>
        <w:t>说明</w:t>
      </w:r>
      <w:bookmarkEnd w:id="2"/>
      <w:bookmarkEnd w:id="3"/>
      <w:bookmarkEnd w:id="4"/>
      <w:r>
        <w:rPr>
          <w:rFonts w:hint="eastAsia" w:ascii="宋体" w:hAnsi="宋体" w:eastAsia="宋体" w:cs="宋体"/>
          <w:color w:val="auto"/>
          <w:lang w:eastAsia="zh-CN"/>
        </w:rPr>
        <w:t>（</w:t>
      </w:r>
      <w:r>
        <w:rPr>
          <w:rFonts w:hint="eastAsia" w:ascii="宋体" w:hAnsi="宋体" w:eastAsia="宋体" w:cs="宋体"/>
          <w:color w:val="auto"/>
          <w:lang w:val="en-US" w:eastAsia="zh-CN"/>
        </w:rPr>
        <w:t>2024新</w:t>
      </w:r>
      <w:bookmarkStart w:id="5" w:name="_GoBack"/>
      <w:bookmarkEnd w:id="5"/>
      <w:r>
        <w:rPr>
          <w:rFonts w:hint="eastAsia" w:ascii="宋体" w:hAnsi="宋体" w:eastAsia="宋体" w:cs="宋体"/>
          <w:color w:val="auto"/>
          <w:lang w:eastAsia="zh-CN"/>
        </w:rPr>
        <w:t>）</w:t>
      </w:r>
    </w:p>
    <w:p w14:paraId="0E9327E2">
      <w:pPr>
        <w:pStyle w:val="9"/>
        <w:ind w:firstLine="480"/>
        <w:rPr>
          <w:rFonts w:hint="eastAsia"/>
          <w:color w:val="auto"/>
        </w:rPr>
      </w:pPr>
      <w:r>
        <w:rPr>
          <w:rFonts w:hint="eastAsia"/>
          <w:color w:val="auto"/>
        </w:rPr>
        <w:t>本表适用于实行事业单位会计准则的事业单位以及执行民间非营利组织会计制度的社会团体、民办非企业单位、非营利性组织等查账征收居民纳税人填报。纳税人应根据事业单位会计准则、民间非营利组织会计制度的规定，填报“事业单位收入”“民间非营利组织收入”“事业单位支出”“民间非营利组织支出”等。</w:t>
      </w:r>
    </w:p>
    <w:p w14:paraId="23B48CAE">
      <w:pPr>
        <w:pStyle w:val="11"/>
        <w:ind w:firstLine="482"/>
        <w:rPr>
          <w:rFonts w:hint="eastAsia"/>
          <w:color w:val="auto"/>
        </w:rPr>
      </w:pPr>
      <w:r>
        <w:rPr>
          <w:rFonts w:hint="eastAsia"/>
          <w:color w:val="auto"/>
        </w:rPr>
        <w:t>一、有关项目填报说明</w:t>
      </w:r>
    </w:p>
    <w:p w14:paraId="3455439E">
      <w:pPr>
        <w:pStyle w:val="12"/>
        <w:rPr>
          <w:rFonts w:hint="eastAsia"/>
          <w:color w:val="auto"/>
        </w:rPr>
      </w:pPr>
      <w:r>
        <w:rPr>
          <w:rFonts w:hint="eastAsia"/>
          <w:color w:val="auto"/>
        </w:rPr>
        <w:t>（一）事业单位填报说明</w:t>
      </w:r>
    </w:p>
    <w:p w14:paraId="06A8EACD">
      <w:pPr>
        <w:pStyle w:val="9"/>
        <w:ind w:firstLine="480"/>
        <w:rPr>
          <w:rFonts w:hint="eastAsia"/>
          <w:color w:val="auto"/>
        </w:rPr>
      </w:pPr>
      <w:r>
        <w:rPr>
          <w:rFonts w:hint="eastAsia"/>
          <w:color w:val="auto"/>
        </w:rPr>
        <w:t>第1行至第9行由执行事业单位会计准则的纳税人填报。</w:t>
      </w:r>
    </w:p>
    <w:p w14:paraId="118B732F">
      <w:pPr>
        <w:pStyle w:val="9"/>
        <w:ind w:firstLine="480"/>
        <w:rPr>
          <w:rFonts w:hint="eastAsia"/>
          <w:color w:val="auto"/>
        </w:rPr>
      </w:pPr>
      <w:r>
        <w:rPr>
          <w:rFonts w:hint="eastAsia"/>
          <w:color w:val="auto"/>
        </w:rPr>
        <w:t>1.第1行“事业单位收入”：填报纳税人取得的所有收入的金额（包括不征税收入和免税收入），按照会计核算口径填报。</w:t>
      </w:r>
    </w:p>
    <w:p w14:paraId="1FCE94D5">
      <w:pPr>
        <w:pStyle w:val="9"/>
        <w:ind w:firstLine="480"/>
        <w:rPr>
          <w:rFonts w:hint="eastAsia"/>
          <w:color w:val="auto"/>
        </w:rPr>
      </w:pPr>
      <w:r>
        <w:rPr>
          <w:rFonts w:hint="eastAsia"/>
          <w:color w:val="auto"/>
        </w:rPr>
        <w:t>2.第2行“财政补助收入”：填报纳税人直接从同级财政部门取得的各类财政拨款，包括基本支出补助和项目支出补助。</w:t>
      </w:r>
    </w:p>
    <w:p w14:paraId="104BB837">
      <w:pPr>
        <w:pStyle w:val="9"/>
        <w:ind w:firstLine="480"/>
        <w:rPr>
          <w:rFonts w:hint="eastAsia"/>
          <w:color w:val="auto"/>
        </w:rPr>
      </w:pPr>
      <w:r>
        <w:rPr>
          <w:rFonts w:hint="eastAsia"/>
          <w:color w:val="auto"/>
        </w:rPr>
        <w:t>3.第3行“事业收入”：填报纳税人通过开展专业业务活动及辅助活动所取得的收入。</w:t>
      </w:r>
    </w:p>
    <w:p w14:paraId="3D1BFED6">
      <w:pPr>
        <w:pStyle w:val="9"/>
        <w:ind w:firstLine="480"/>
        <w:rPr>
          <w:rFonts w:hint="eastAsia"/>
          <w:color w:val="auto"/>
        </w:rPr>
      </w:pPr>
      <w:r>
        <w:rPr>
          <w:rFonts w:hint="eastAsia"/>
          <w:color w:val="auto"/>
        </w:rPr>
        <w:t>4.第4行“上级补助收入”：填报纳税人从主管部门和上级单位取得的非财政补助收入。</w:t>
      </w:r>
    </w:p>
    <w:p w14:paraId="68CEE948">
      <w:pPr>
        <w:pStyle w:val="9"/>
        <w:ind w:firstLine="480"/>
        <w:rPr>
          <w:rFonts w:hint="eastAsia"/>
          <w:color w:val="auto"/>
        </w:rPr>
      </w:pPr>
      <w:r>
        <w:rPr>
          <w:rFonts w:hint="eastAsia"/>
          <w:color w:val="auto"/>
        </w:rPr>
        <w:t>5.第5行“附属单位上缴收入”：填报纳税人附属独立核算单位按有关规定上缴的收入。包括附属事业单位上缴的收入和附属企业上缴的利润等。</w:t>
      </w:r>
    </w:p>
    <w:p w14:paraId="74B69F02">
      <w:pPr>
        <w:pStyle w:val="9"/>
        <w:ind w:firstLine="480"/>
        <w:rPr>
          <w:rFonts w:hint="eastAsia"/>
          <w:color w:val="auto"/>
        </w:rPr>
      </w:pPr>
      <w:r>
        <w:rPr>
          <w:rFonts w:hint="eastAsia"/>
          <w:color w:val="auto"/>
        </w:rPr>
        <w:t>6.第6行“经营收入”：填报纳税人开展专业业务活动及其辅助活动之外开展非独立核算经营活动取得的收入。</w:t>
      </w:r>
    </w:p>
    <w:p w14:paraId="726C20A2">
      <w:pPr>
        <w:pStyle w:val="9"/>
        <w:ind w:firstLine="480"/>
        <w:rPr>
          <w:rFonts w:hint="eastAsia" w:eastAsia="宋体"/>
          <w:color w:val="auto"/>
          <w:lang w:val="en-US" w:eastAsia="zh-CN"/>
        </w:rPr>
      </w:pPr>
      <w:r>
        <w:rPr>
          <w:rFonts w:hint="eastAsia"/>
          <w:color w:val="auto"/>
        </w:rPr>
        <w:t>7.第7行“其他收入”：填报纳税人取得的除本表第2行至第6行项目以外的收入，包括投资收益、银行存款利息收入、租金收入、捐赠收入、现金盘盈收入、存货盘盈收入、收回已核销应收及预付款项、无法偿付的应付及预收款项等。</w:t>
      </w:r>
    </w:p>
    <w:p w14:paraId="63D0D2FC">
      <w:pPr>
        <w:pStyle w:val="9"/>
        <w:ind w:firstLine="480"/>
        <w:rPr>
          <w:rFonts w:hint="eastAsia"/>
          <w:color w:val="auto"/>
        </w:rPr>
      </w:pPr>
      <w:r>
        <w:rPr>
          <w:rFonts w:hint="eastAsia"/>
          <w:color w:val="auto"/>
        </w:rPr>
        <w:t>8.第8行“其中：投资收益”：填报在“其他收入”科目中核算的各项短期投资、长期债券投资、长期股权投资取得的投资收益。</w:t>
      </w:r>
    </w:p>
    <w:p w14:paraId="677851B6">
      <w:pPr>
        <w:pStyle w:val="9"/>
        <w:ind w:firstLine="480"/>
        <w:rPr>
          <w:rFonts w:hint="eastAsia"/>
          <w:color w:val="auto"/>
        </w:rPr>
      </w:pPr>
      <w:r>
        <w:rPr>
          <w:rFonts w:hint="eastAsia"/>
          <w:color w:val="auto"/>
        </w:rPr>
        <w:t>9.第9行“其他”：填报在“其他收入”科目中核算的除投资收益以外的收入。</w:t>
      </w:r>
    </w:p>
    <w:p w14:paraId="31B1A04E">
      <w:pPr>
        <w:pStyle w:val="12"/>
        <w:rPr>
          <w:rFonts w:hint="eastAsia"/>
          <w:color w:val="auto"/>
        </w:rPr>
      </w:pPr>
      <w:r>
        <w:rPr>
          <w:rFonts w:hint="eastAsia"/>
          <w:color w:val="auto"/>
        </w:rPr>
        <w:t>（二）民间非营利组织填报说明</w:t>
      </w:r>
    </w:p>
    <w:p w14:paraId="463F2B7D">
      <w:pPr>
        <w:pStyle w:val="9"/>
        <w:ind w:firstLine="480"/>
        <w:rPr>
          <w:rFonts w:hint="eastAsia"/>
          <w:color w:val="auto"/>
        </w:rPr>
      </w:pPr>
      <w:r>
        <w:rPr>
          <w:rFonts w:hint="eastAsia"/>
          <w:color w:val="auto"/>
        </w:rPr>
        <w:t>第10行至第17行由执行民间非营利组织会计制度的纳税人填报。</w:t>
      </w:r>
    </w:p>
    <w:p w14:paraId="2AFEC693">
      <w:pPr>
        <w:pStyle w:val="9"/>
        <w:ind w:firstLine="480"/>
        <w:rPr>
          <w:rFonts w:hint="eastAsia"/>
          <w:color w:val="auto"/>
        </w:rPr>
      </w:pPr>
      <w:r>
        <w:rPr>
          <w:rFonts w:hint="eastAsia"/>
          <w:color w:val="auto"/>
        </w:rPr>
        <w:t>10.第10行“民间非营利组织收入”：填报纳税人开展业务活动取得的收入，应当包括接受捐赠收入、会费收入、提供劳务收入、政府补助收入、投资收益、商品销售收入等主要业务活动收入和其他收入等。</w:t>
      </w:r>
    </w:p>
    <w:p w14:paraId="57D0EB35">
      <w:pPr>
        <w:pStyle w:val="9"/>
        <w:ind w:firstLine="480"/>
        <w:rPr>
          <w:rFonts w:hint="eastAsia"/>
          <w:color w:val="auto"/>
        </w:rPr>
      </w:pPr>
      <w:r>
        <w:rPr>
          <w:rFonts w:hint="eastAsia"/>
          <w:color w:val="auto"/>
        </w:rPr>
        <w:t>11.第11行“接受捐赠收入”：填报纳税人接受其他单位或者个人捐赠所取得的收入。</w:t>
      </w:r>
    </w:p>
    <w:p w14:paraId="71A6F9DD">
      <w:pPr>
        <w:pStyle w:val="9"/>
        <w:ind w:firstLine="480"/>
        <w:rPr>
          <w:rFonts w:hint="eastAsia"/>
          <w:color w:val="auto"/>
        </w:rPr>
      </w:pPr>
      <w:r>
        <w:rPr>
          <w:rFonts w:hint="eastAsia"/>
          <w:color w:val="auto"/>
        </w:rPr>
        <w:t>12.第12行“会费收入”：填报纳税人根据章程等规定向会员收取的会费收入。</w:t>
      </w:r>
    </w:p>
    <w:p w14:paraId="0629D0FD">
      <w:pPr>
        <w:pStyle w:val="9"/>
        <w:ind w:firstLine="480"/>
        <w:rPr>
          <w:rFonts w:hint="eastAsia"/>
          <w:color w:val="auto"/>
        </w:rPr>
      </w:pPr>
      <w:r>
        <w:rPr>
          <w:rFonts w:hint="eastAsia"/>
          <w:color w:val="auto"/>
        </w:rPr>
        <w:t>13.第13行“提供劳务收入”：填报纳税人根据章程等规定向其服务对象提供服务取得的收入，包括学费收入、医疗费收入、培训收入等。</w:t>
      </w:r>
    </w:p>
    <w:p w14:paraId="4CA9E50B">
      <w:pPr>
        <w:pStyle w:val="9"/>
        <w:ind w:firstLine="480"/>
        <w:rPr>
          <w:rFonts w:hint="eastAsia"/>
          <w:color w:val="auto"/>
        </w:rPr>
      </w:pPr>
      <w:r>
        <w:rPr>
          <w:rFonts w:hint="eastAsia"/>
          <w:color w:val="auto"/>
        </w:rPr>
        <w:t>14.第14行“商品销售收入”：填报纳税人销售商品（如出版物、药品等）所形成的收入。</w:t>
      </w:r>
    </w:p>
    <w:p w14:paraId="79EC4A08">
      <w:pPr>
        <w:pStyle w:val="9"/>
        <w:ind w:firstLine="480"/>
        <w:rPr>
          <w:rFonts w:hint="eastAsia"/>
          <w:color w:val="auto"/>
        </w:rPr>
      </w:pPr>
      <w:r>
        <w:rPr>
          <w:rFonts w:hint="eastAsia"/>
          <w:color w:val="auto"/>
        </w:rPr>
        <w:t>15.第15行“政府补助收入”：填报纳税人接受政府拨款或者政府机构给予的补助而取得的收入。</w:t>
      </w:r>
    </w:p>
    <w:p w14:paraId="0123055B">
      <w:pPr>
        <w:pStyle w:val="9"/>
        <w:ind w:firstLine="480"/>
        <w:rPr>
          <w:rFonts w:hint="eastAsia"/>
          <w:color w:val="auto"/>
        </w:rPr>
      </w:pPr>
      <w:r>
        <w:rPr>
          <w:rFonts w:hint="eastAsia"/>
          <w:color w:val="auto"/>
        </w:rPr>
        <w:t>16.第16行“投资收益”：填报纳税人因对外投资取得的投资净收益。</w:t>
      </w:r>
    </w:p>
    <w:p w14:paraId="2D2F266C">
      <w:pPr>
        <w:pStyle w:val="9"/>
        <w:ind w:firstLine="480"/>
        <w:rPr>
          <w:rFonts w:hint="eastAsia"/>
          <w:color w:val="auto"/>
        </w:rPr>
      </w:pPr>
      <w:r>
        <w:rPr>
          <w:rFonts w:hint="eastAsia"/>
          <w:color w:val="auto"/>
        </w:rPr>
        <w:t>17.第17行“其他收入”：填报纳税人除上述主要业务活动收入以外的其他收入，如固定资产处置净收入、无形资产处置净收入等。</w:t>
      </w:r>
    </w:p>
    <w:p w14:paraId="0C1F7DD3">
      <w:pPr>
        <w:pStyle w:val="9"/>
        <w:ind w:firstLine="480"/>
        <w:rPr>
          <w:rFonts w:hint="eastAsia"/>
          <w:color w:val="auto"/>
        </w:rPr>
      </w:pPr>
      <w:r>
        <w:rPr>
          <w:rFonts w:hint="eastAsia"/>
          <w:color w:val="auto"/>
        </w:rPr>
        <w:t>第18行至第23行由执行事业单位会计准则的纳税人填报。</w:t>
      </w:r>
    </w:p>
    <w:p w14:paraId="55FBFA33">
      <w:pPr>
        <w:pStyle w:val="9"/>
        <w:ind w:firstLine="480"/>
        <w:rPr>
          <w:rFonts w:hint="eastAsia"/>
          <w:color w:val="auto"/>
        </w:rPr>
      </w:pPr>
      <w:r>
        <w:rPr>
          <w:rFonts w:hint="eastAsia"/>
          <w:color w:val="auto"/>
        </w:rPr>
        <w:t>18.第18行“事业单位支出”：填报纳税人发生的所有支出总额（含不征税收入形成的支出），按照会计核算口径填报。</w:t>
      </w:r>
    </w:p>
    <w:p w14:paraId="296439D4">
      <w:pPr>
        <w:pStyle w:val="9"/>
        <w:ind w:firstLine="480"/>
        <w:rPr>
          <w:rFonts w:hint="eastAsia"/>
          <w:color w:val="auto"/>
        </w:rPr>
      </w:pPr>
      <w:r>
        <w:rPr>
          <w:rFonts w:hint="eastAsia"/>
          <w:color w:val="auto"/>
        </w:rPr>
        <w:t>19.第19行“事业支出”：填报纳税人开展专业业务活动及其辅助活动发生的支出，包括工资、补助工资、职工福利费、社会保障费、助学金，公务费、业务费、设备购置费、修缮费和其他费用。</w:t>
      </w:r>
    </w:p>
    <w:p w14:paraId="187313E2">
      <w:pPr>
        <w:pStyle w:val="9"/>
        <w:ind w:firstLine="480"/>
        <w:rPr>
          <w:rFonts w:hint="eastAsia"/>
          <w:color w:val="auto"/>
        </w:rPr>
      </w:pPr>
      <w:r>
        <w:rPr>
          <w:rFonts w:hint="eastAsia"/>
          <w:color w:val="auto"/>
        </w:rPr>
        <w:t>20.第20行“上缴上级支出”：填报纳税人按照财政部门和主管部门的规定上缴上级单位的支出。</w:t>
      </w:r>
    </w:p>
    <w:p w14:paraId="39C2A137">
      <w:pPr>
        <w:pStyle w:val="9"/>
        <w:ind w:firstLine="480"/>
        <w:rPr>
          <w:rFonts w:hint="eastAsia"/>
          <w:color w:val="auto"/>
        </w:rPr>
      </w:pPr>
      <w:r>
        <w:rPr>
          <w:rFonts w:hint="eastAsia"/>
          <w:color w:val="auto"/>
        </w:rPr>
        <w:t>21.第21行“对附属单位补助支出”：填报纳税人用财政补助收入之外的收入对附属单位补助发生的支出。</w:t>
      </w:r>
    </w:p>
    <w:p w14:paraId="475260E2">
      <w:pPr>
        <w:pStyle w:val="9"/>
        <w:ind w:firstLine="480"/>
        <w:rPr>
          <w:rFonts w:hint="eastAsia"/>
          <w:color w:val="auto"/>
        </w:rPr>
      </w:pPr>
      <w:r>
        <w:rPr>
          <w:rFonts w:hint="eastAsia"/>
          <w:color w:val="auto"/>
        </w:rPr>
        <w:t>22.第22行“经营支出”：填报纳税人在专业业务活动及其辅助活动之外开展非独立核算经营活动发生的支出。</w:t>
      </w:r>
    </w:p>
    <w:p w14:paraId="105E7C84">
      <w:pPr>
        <w:pStyle w:val="9"/>
        <w:ind w:firstLine="480"/>
        <w:rPr>
          <w:rFonts w:hint="eastAsia"/>
          <w:color w:val="auto"/>
        </w:rPr>
      </w:pPr>
      <w:r>
        <w:rPr>
          <w:rFonts w:hint="eastAsia"/>
          <w:color w:val="auto"/>
        </w:rPr>
        <w:t>23.第23行“其他支出”：填报纳税人除本表第19行至第22行项目以外的支出，包括利息支出、捐赠支出、现金盘亏损失、资产处置损失、接受捐赠（调入）非流动资产发生的税费支出等。</w:t>
      </w:r>
    </w:p>
    <w:p w14:paraId="3D0F4430">
      <w:pPr>
        <w:pStyle w:val="9"/>
        <w:ind w:firstLine="480"/>
        <w:rPr>
          <w:rFonts w:hint="eastAsia"/>
          <w:color w:val="auto"/>
        </w:rPr>
      </w:pPr>
      <w:r>
        <w:rPr>
          <w:rFonts w:hint="eastAsia"/>
          <w:color w:val="auto"/>
        </w:rPr>
        <w:t>第24行至第28行由执行民间非营利组织会计制度的纳税人填报。</w:t>
      </w:r>
    </w:p>
    <w:p w14:paraId="73B914B8">
      <w:pPr>
        <w:pStyle w:val="9"/>
        <w:ind w:firstLine="480"/>
        <w:rPr>
          <w:rFonts w:hint="eastAsia"/>
          <w:color w:val="auto"/>
        </w:rPr>
      </w:pPr>
      <w:r>
        <w:rPr>
          <w:rFonts w:hint="eastAsia"/>
          <w:color w:val="auto"/>
        </w:rPr>
        <w:t>24.第24行“民间非营利组织支出”：填报纳税人发生的所有支出总额。按照会计核算口径填报。</w:t>
      </w:r>
    </w:p>
    <w:p w14:paraId="63C43FC0">
      <w:pPr>
        <w:pStyle w:val="9"/>
        <w:ind w:firstLine="480"/>
        <w:rPr>
          <w:rFonts w:hint="eastAsia"/>
          <w:color w:val="auto"/>
        </w:rPr>
      </w:pPr>
      <w:r>
        <w:rPr>
          <w:rFonts w:hint="eastAsia"/>
          <w:color w:val="auto"/>
        </w:rPr>
        <w:t>25.第25行“业务活动成本”：填报民间非营利组织为了实现其业务活动目标、开展某项目活动或者提供劳务所发生的费用。</w:t>
      </w:r>
    </w:p>
    <w:p w14:paraId="76FAE2BA">
      <w:pPr>
        <w:pStyle w:val="9"/>
        <w:ind w:firstLine="480"/>
        <w:rPr>
          <w:rFonts w:hint="eastAsia"/>
          <w:color w:val="auto"/>
        </w:rPr>
      </w:pPr>
      <w:r>
        <w:rPr>
          <w:rFonts w:hint="eastAsia"/>
          <w:color w:val="auto"/>
        </w:rPr>
        <w:t>26.第26行“管理费用”：填报民间非营利组织为组织和管理其业务活动所发生的各项费用，包括民间非营利组织董事会（或者理事会或者类似权力机构）经费和行政管理人员的工资、奖金、津贴、福利费、住房公积金、住房补贴、社会保障费、离退休人员工资与补助，以及办公费、水电费、邮电费、物业管理费、差旅费、折旧费、修理费、无形资产摊销费、存货盘亏损失、资产减值损失、因预计负债所产生的损失、聘请中介机构费和应偿还的受赠资产等。</w:t>
      </w:r>
    </w:p>
    <w:p w14:paraId="453F1611">
      <w:pPr>
        <w:pStyle w:val="9"/>
        <w:ind w:firstLine="480"/>
        <w:rPr>
          <w:rFonts w:hint="eastAsia"/>
          <w:color w:val="auto"/>
        </w:rPr>
      </w:pPr>
      <w:r>
        <w:rPr>
          <w:rFonts w:hint="eastAsia"/>
          <w:color w:val="auto"/>
        </w:rPr>
        <w:t>27.第27行“筹资费用”：填报民间非营利组织为筹集业务活动所需资金而发生的费用，包括民间非营利组织获得捐赠资产而发生的费用以及应当计入当期费用的借款费用、汇兑损失（减汇兑收益）等。民间非营利组织为了获得捐赠资产而发生的费用包括举办募款活动费，准备、印刷和发放募款宣传资料费以及其他与募款或者争取捐赠有关的费用。</w:t>
      </w:r>
    </w:p>
    <w:p w14:paraId="0D1B1968">
      <w:pPr>
        <w:pStyle w:val="9"/>
        <w:ind w:firstLine="480"/>
        <w:rPr>
          <w:rFonts w:hint="eastAsia"/>
          <w:b/>
          <w:color w:val="auto"/>
        </w:rPr>
      </w:pPr>
      <w:r>
        <w:rPr>
          <w:rFonts w:hint="eastAsia"/>
          <w:color w:val="auto"/>
        </w:rPr>
        <w:t>28.第28行“其他费用”：填报民间非营利组织发生的、无法归属到上述业务活动成本、管理费用或者筹资费用中的费用，包括固定资产处置净损失、无形资产处置净损失等。</w:t>
      </w:r>
    </w:p>
    <w:p w14:paraId="4FD47009">
      <w:pPr>
        <w:pStyle w:val="11"/>
        <w:ind w:firstLine="482"/>
        <w:rPr>
          <w:rFonts w:hint="eastAsia"/>
          <w:color w:val="auto"/>
        </w:rPr>
      </w:pPr>
      <w:r>
        <w:rPr>
          <w:rFonts w:hint="eastAsia"/>
          <w:color w:val="auto"/>
        </w:rPr>
        <w:t>二、表内、表间关系</w:t>
      </w:r>
    </w:p>
    <w:p w14:paraId="050F5827">
      <w:pPr>
        <w:pStyle w:val="12"/>
        <w:rPr>
          <w:rFonts w:hint="eastAsia"/>
          <w:color w:val="auto"/>
        </w:rPr>
      </w:pPr>
      <w:r>
        <w:rPr>
          <w:rFonts w:hint="eastAsia"/>
          <w:color w:val="auto"/>
        </w:rPr>
        <w:t>（一）表内关系</w:t>
      </w:r>
    </w:p>
    <w:p w14:paraId="3AC5539D">
      <w:pPr>
        <w:pStyle w:val="9"/>
        <w:ind w:firstLine="480"/>
        <w:rPr>
          <w:rFonts w:hint="eastAsia"/>
          <w:color w:val="auto"/>
        </w:rPr>
      </w:pPr>
      <w:r>
        <w:rPr>
          <w:rFonts w:hint="eastAsia"/>
          <w:color w:val="auto"/>
        </w:rPr>
        <w:t>1.第1行＝第2＋3＋…＋7行。</w:t>
      </w:r>
    </w:p>
    <w:p w14:paraId="1E0AC71B">
      <w:pPr>
        <w:pStyle w:val="9"/>
        <w:ind w:firstLine="480"/>
        <w:rPr>
          <w:rFonts w:hint="eastAsia"/>
          <w:color w:val="auto"/>
        </w:rPr>
      </w:pPr>
      <w:r>
        <w:rPr>
          <w:rFonts w:hint="eastAsia"/>
          <w:color w:val="auto"/>
        </w:rPr>
        <w:t>2.第7行＝第8＋9行。</w:t>
      </w:r>
    </w:p>
    <w:p w14:paraId="63672CBF">
      <w:pPr>
        <w:pStyle w:val="9"/>
        <w:ind w:firstLine="480"/>
        <w:rPr>
          <w:rFonts w:hint="eastAsia"/>
          <w:color w:val="auto"/>
        </w:rPr>
      </w:pPr>
      <w:r>
        <w:rPr>
          <w:rFonts w:hint="eastAsia"/>
          <w:color w:val="auto"/>
        </w:rPr>
        <w:t>3.第10行＝第11＋12＋…＋17行。</w:t>
      </w:r>
    </w:p>
    <w:p w14:paraId="02A60872">
      <w:pPr>
        <w:pStyle w:val="9"/>
        <w:ind w:firstLine="480"/>
        <w:rPr>
          <w:rFonts w:hint="eastAsia"/>
          <w:color w:val="auto"/>
        </w:rPr>
      </w:pPr>
      <w:r>
        <w:rPr>
          <w:rFonts w:hint="eastAsia"/>
          <w:color w:val="auto"/>
        </w:rPr>
        <w:t>4.第18行＝第19＋20＋21＋22＋23行。</w:t>
      </w:r>
    </w:p>
    <w:p w14:paraId="112FB743">
      <w:pPr>
        <w:pStyle w:val="9"/>
        <w:ind w:firstLine="480"/>
        <w:rPr>
          <w:rFonts w:hint="eastAsia"/>
          <w:color w:val="auto"/>
        </w:rPr>
      </w:pPr>
      <w:r>
        <w:rPr>
          <w:rFonts w:hint="eastAsia"/>
          <w:color w:val="auto"/>
        </w:rPr>
        <w:t>5.第24行＝第25＋26＋27＋28行。</w:t>
      </w:r>
    </w:p>
    <w:p w14:paraId="6A576983">
      <w:pPr>
        <w:pStyle w:val="12"/>
        <w:rPr>
          <w:rFonts w:hint="eastAsia"/>
          <w:color w:val="auto"/>
        </w:rPr>
      </w:pPr>
      <w:r>
        <w:rPr>
          <w:rFonts w:hint="eastAsia"/>
          <w:color w:val="auto"/>
        </w:rPr>
        <w:t>（二）表间关系</w:t>
      </w:r>
    </w:p>
    <w:p w14:paraId="6FA0ED95">
      <w:pPr>
        <w:pStyle w:val="9"/>
        <w:ind w:firstLine="480"/>
        <w:rPr>
          <w:rFonts w:hint="eastAsia"/>
          <w:color w:val="auto"/>
        </w:rPr>
      </w:pPr>
      <w:r>
        <w:rPr>
          <w:rFonts w:hint="eastAsia"/>
          <w:color w:val="auto"/>
        </w:rPr>
        <w:t>1.第2＋3＋4＋5＋6行或第11＋12＋13＋14＋15行＝表A100000第1行。</w:t>
      </w:r>
    </w:p>
    <w:p w14:paraId="19A626F0">
      <w:pPr>
        <w:pStyle w:val="9"/>
        <w:ind w:firstLine="480"/>
        <w:rPr>
          <w:rFonts w:hint="eastAsia"/>
          <w:color w:val="auto"/>
        </w:rPr>
      </w:pPr>
      <w:r>
        <w:rPr>
          <w:rFonts w:hint="eastAsia"/>
          <w:color w:val="auto"/>
        </w:rPr>
        <w:t>2.第8行或第16行＝表A100000第9行。</w:t>
      </w:r>
    </w:p>
    <w:p w14:paraId="4603048C">
      <w:pPr>
        <w:pStyle w:val="9"/>
        <w:ind w:firstLine="480"/>
        <w:rPr>
          <w:rFonts w:hint="eastAsia"/>
          <w:color w:val="auto"/>
          <w:highlight w:val="none"/>
        </w:rPr>
      </w:pPr>
      <w:r>
        <w:rPr>
          <w:rFonts w:hint="eastAsia"/>
          <w:color w:val="auto"/>
        </w:rPr>
        <w:t>3.第9行或第17行＝表A100000</w:t>
      </w:r>
      <w:r>
        <w:rPr>
          <w:rFonts w:hint="eastAsia"/>
          <w:color w:val="auto"/>
          <w:highlight w:val="none"/>
        </w:rPr>
        <w:t>第16行。</w:t>
      </w:r>
    </w:p>
    <w:p w14:paraId="21B95A1A">
      <w:pPr>
        <w:pStyle w:val="9"/>
        <w:ind w:firstLine="480"/>
        <w:rPr>
          <w:rFonts w:hint="eastAsia"/>
          <w:color w:val="auto"/>
          <w:highlight w:val="none"/>
        </w:rPr>
      </w:pPr>
      <w:r>
        <w:rPr>
          <w:rFonts w:hint="eastAsia"/>
          <w:color w:val="auto"/>
          <w:highlight w:val="none"/>
        </w:rPr>
        <w:t>4.第19＋20＋21＋22行或第25＋26＋27行＝表A100000第2行。</w:t>
      </w:r>
    </w:p>
    <w:p w14:paraId="6CD74B78">
      <w:pPr>
        <w:pStyle w:val="9"/>
        <w:ind w:firstLine="480"/>
        <w:rPr>
          <w:rFonts w:hint="eastAsia"/>
          <w:color w:val="auto"/>
          <w:highlight w:val="none"/>
        </w:rPr>
        <w:sectPr>
          <w:footerReference r:id="rId4" w:type="first"/>
          <w:footerReference r:id="rId3" w:type="default"/>
          <w:pgSz w:w="11906" w:h="16838"/>
          <w:pgMar w:top="1440" w:right="1800" w:bottom="1440" w:left="1800" w:header="851" w:footer="992" w:gutter="113"/>
          <w:pgNumType w:fmt="decimal" w:start="30"/>
          <w:cols w:space="720" w:num="1"/>
          <w:titlePg/>
          <w:docGrid w:linePitch="312" w:charSpace="0"/>
        </w:sectPr>
      </w:pPr>
      <w:r>
        <w:rPr>
          <w:rFonts w:hint="eastAsia"/>
          <w:color w:val="auto"/>
          <w:highlight w:val="none"/>
        </w:rPr>
        <w:t>5.第23行或第28行＝表A100000第17行。</w:t>
      </w:r>
    </w:p>
    <w:p w14:paraId="004B12B8">
      <w:pPr>
        <w:pStyle w:val="9"/>
        <w:rPr>
          <w:color w:val="000000"/>
        </w:rPr>
        <w:sectPr>
          <w:pgSz w:w="11906" w:h="16838"/>
          <w:pgMar w:top="1985" w:right="1418" w:bottom="1928" w:left="1418" w:header="851" w:footer="992" w:gutter="113"/>
          <w:cols w:space="425" w:num="1"/>
          <w:docGrid w:linePitch="312" w:charSpace="0"/>
        </w:sectPr>
      </w:pPr>
    </w:p>
    <w:p w14:paraId="46F036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C6D0A">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C00B7D">
                          <w:pPr>
                            <w:pStyle w:val="4"/>
                            <w:jc w:val="center"/>
                          </w:pPr>
                          <w:r>
                            <w:fldChar w:fldCharType="begin"/>
                          </w:r>
                          <w:r>
                            <w:instrText xml:space="preserve">PAGE   \* MERGEFORMAT</w:instrText>
                          </w:r>
                          <w:r>
                            <w:fldChar w:fldCharType="separate"/>
                          </w:r>
                          <w:r>
                            <w:rPr>
                              <w:lang w:val="zh-CN"/>
                            </w:rPr>
                            <w:t>2</w:t>
                          </w:r>
                          <w:r>
                            <w:fldChar w:fldCharType="end"/>
                          </w:r>
                        </w:p>
                        <w:p w14:paraId="0A74A2D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14:paraId="77C00B7D">
                    <w:pPr>
                      <w:pStyle w:val="4"/>
                      <w:jc w:val="center"/>
                    </w:pPr>
                    <w:r>
                      <w:fldChar w:fldCharType="begin"/>
                    </w:r>
                    <w:r>
                      <w:instrText xml:space="preserve">PAGE   \* MERGEFORMAT</w:instrText>
                    </w:r>
                    <w:r>
                      <w:fldChar w:fldCharType="separate"/>
                    </w:r>
                    <w:r>
                      <w:rPr>
                        <w:lang w:val="zh-CN"/>
                      </w:rPr>
                      <w:t>2</w:t>
                    </w:r>
                    <w:r>
                      <w:fldChar w:fldCharType="end"/>
                    </w:r>
                  </w:p>
                  <w:p w14:paraId="0A74A2DE"/>
                </w:txbxContent>
              </v:textbox>
            </v:shape>
          </w:pict>
        </mc:Fallback>
      </mc:AlternateContent>
    </w:r>
  </w:p>
  <w:p w14:paraId="77C7434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F8F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5E26D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14:paraId="715E26D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19A05F73"/>
    <w:rsid w:val="19A05F73"/>
    <w:rsid w:val="4CFC467E"/>
    <w:rsid w:val="5610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8">
    <w:name w:val="SBBT1"/>
    <w:basedOn w:val="9"/>
    <w:qFormat/>
    <w:uiPriority w:val="0"/>
    <w:pPr>
      <w:tabs>
        <w:tab w:val="center" w:pos="4678"/>
      </w:tabs>
      <w:ind w:firstLine="0" w:firstLineChars="0"/>
      <w:jc w:val="left"/>
      <w:outlineLvl w:val="0"/>
    </w:pPr>
    <w:rPr>
      <w:rFonts w:cs="宋体"/>
      <w:b/>
      <w:bCs/>
      <w:kern w:val="0"/>
      <w:sz w:val="28"/>
      <w:szCs w:val="28"/>
    </w:rPr>
  </w:style>
  <w:style w:type="paragraph" w:customStyle="1" w:styleId="9">
    <w:name w:val="SBBZW"/>
    <w:basedOn w:val="1"/>
    <w:qFormat/>
    <w:uiPriority w:val="0"/>
    <w:pPr>
      <w:spacing w:line="360" w:lineRule="auto"/>
      <w:ind w:firstLine="480" w:firstLineChars="200"/>
    </w:pPr>
    <w:rPr>
      <w:rFonts w:ascii="宋体" w:hAnsi="宋体"/>
      <w:sz w:val="24"/>
    </w:rPr>
  </w:style>
  <w:style w:type="paragraph" w:customStyle="1" w:styleId="10">
    <w:name w:val="SBBL1"/>
    <w:basedOn w:val="3"/>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1">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2">
    <w:name w:val="SBBL3"/>
    <w:basedOn w:val="1"/>
    <w:qFormat/>
    <w:uiPriority w:val="0"/>
    <w:pPr>
      <w:spacing w:line="360" w:lineRule="auto"/>
      <w:ind w:firstLine="480" w:firstLineChars="200"/>
      <w:outlineLvl w:val="2"/>
    </w:pPr>
    <w:rPr>
      <w:rFonts w:ascii="黑体" w:hAnsi="黑体" w:eastAsia="黑体" w:cs="Calibri"/>
      <w:sz w:val="24"/>
    </w:rPr>
  </w:style>
  <w:style w:type="paragraph" w:customStyle="1" w:styleId="13">
    <w:name w:val="说明1级"/>
    <w:basedOn w:val="1"/>
    <w:qFormat/>
    <w:uiPriority w:val="0"/>
    <w:pPr>
      <w:tabs>
        <w:tab w:val="center" w:pos="4200"/>
      </w:tabs>
      <w:spacing w:before="50" w:beforeLines="50" w:after="50" w:afterLines="50" w:line="360" w:lineRule="auto"/>
      <w:jc w:val="center"/>
      <w:outlineLvl w:val="0"/>
    </w:pPr>
    <w:rPr>
      <w:rFonts w:ascii="Times New Roman" w:hAnsi="Times New Roman" w:eastAsia="CESI宋体-GB2312" w:cs="Times New Roman"/>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2513</Words>
  <Characters>2797</Characters>
  <Lines>0</Lines>
  <Paragraphs>0</Paragraphs>
  <TotalTime>0</TotalTime>
  <ScaleCrop>false</ScaleCrop>
  <LinksUpToDate>false</LinksUpToDate>
  <CharactersWithSpaces>2840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2024-08-10T11:33:00Z</dcterms:created>
  <dc:creator>www.shuiwu114.com</dc:creator>
  <cp:lastModifiedBy>www.shuiwu114.com</cp:lastModifiedBy>
  <dcterms:modified xsi:type="dcterms:W3CDTF">2025-01-21T15:03:42Z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7BA0174354564C38B26F9CC31E9F3E71_11</vt:lpwstr>
  </property>
  <property fmtid="{D5CDD505-2E9C-101B-9397-08002B2CF9AE}" pid="4" name="KSOTemplateDocerSaveRecord">
    <vt:lpwstr>eyJoZGlkIjoiMDY0MGNkMTU3OWQzNDA3NjVmODJmMjIxMTIxOTBhNjUiLCJ1c2VySWQiOiIxMDczMTkyOTA3In0=</vt:lpwstr>
  </property>
</Properties>
</file>