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83825">
      <w:pPr>
        <w:pStyle w:val="6"/>
      </w:pPr>
      <w:bookmarkStart w:id="0" w:name="_Toc499456575"/>
      <w:r>
        <w:rPr>
          <w:rFonts w:hint="eastAsia"/>
        </w:rPr>
        <w:t>A105030</w:t>
      </w:r>
      <w:r>
        <w:tab/>
      </w:r>
      <w:r>
        <w:rPr>
          <w:rFonts w:hint="eastAsia"/>
          <w:lang w:val="en-US" w:eastAsia="zh-CN"/>
        </w:rPr>
        <w:t xml:space="preserve">                                   </w:t>
      </w:r>
      <w:bookmarkStart w:id="2" w:name="_GoBack"/>
      <w:bookmarkEnd w:id="2"/>
      <w:r>
        <w:rPr>
          <w:rFonts w:hint="eastAsia"/>
        </w:rPr>
        <w:t>投资收益纳税调整明细表</w:t>
      </w:r>
      <w:bookmarkEnd w:id="0"/>
    </w:p>
    <w:tbl>
      <w:tblPr>
        <w:tblStyle w:val="3"/>
        <w:tblW w:w="1409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0"/>
        <w:gridCol w:w="2720"/>
        <w:gridCol w:w="940"/>
        <w:gridCol w:w="940"/>
        <w:gridCol w:w="940"/>
        <w:gridCol w:w="940"/>
        <w:gridCol w:w="940"/>
        <w:gridCol w:w="940"/>
        <w:gridCol w:w="940"/>
        <w:gridCol w:w="1068"/>
        <w:gridCol w:w="940"/>
        <w:gridCol w:w="1045"/>
        <w:gridCol w:w="1100"/>
      </w:tblGrid>
      <w:tr w14:paraId="3CDADA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vMerge w:val="restart"/>
            <w:shd w:val="clear" w:color="auto" w:fill="auto"/>
            <w:noWrap w:val="0"/>
            <w:vAlign w:val="center"/>
          </w:tcPr>
          <w:p w14:paraId="4335FEAF">
            <w:pPr>
              <w:widowControl/>
              <w:jc w:val="center"/>
              <w:rPr>
                <w:rFonts w:ascii="宋体" w:hAnsi="宋体" w:cs="宋体"/>
                <w:kern w:val="0"/>
                <w:sz w:val="20"/>
                <w:szCs w:val="20"/>
              </w:rPr>
            </w:pPr>
            <w:r>
              <w:rPr>
                <w:rFonts w:hint="eastAsia" w:ascii="宋体" w:hAnsi="宋体" w:cs="宋体"/>
                <w:kern w:val="0"/>
                <w:sz w:val="20"/>
                <w:szCs w:val="20"/>
              </w:rPr>
              <w:t>行次</w:t>
            </w:r>
          </w:p>
        </w:tc>
        <w:tc>
          <w:tcPr>
            <w:tcW w:w="2720" w:type="dxa"/>
            <w:vMerge w:val="restart"/>
            <w:shd w:val="clear" w:color="auto" w:fill="auto"/>
            <w:noWrap w:val="0"/>
            <w:vAlign w:val="center"/>
          </w:tcPr>
          <w:p w14:paraId="1EBFFE00">
            <w:pPr>
              <w:widowControl/>
              <w:jc w:val="center"/>
              <w:rPr>
                <w:rFonts w:ascii="宋体" w:hAnsi="宋体" w:cs="宋体"/>
                <w:kern w:val="0"/>
                <w:sz w:val="20"/>
                <w:szCs w:val="20"/>
              </w:rPr>
            </w:pPr>
            <w:r>
              <w:rPr>
                <w:rFonts w:hint="eastAsia" w:ascii="宋体" w:hAnsi="宋体" w:cs="宋体"/>
                <w:kern w:val="0"/>
                <w:sz w:val="20"/>
                <w:szCs w:val="20"/>
              </w:rPr>
              <w:t>项        目</w:t>
            </w:r>
          </w:p>
        </w:tc>
        <w:tc>
          <w:tcPr>
            <w:tcW w:w="2820" w:type="dxa"/>
            <w:gridSpan w:val="3"/>
            <w:shd w:val="clear" w:color="auto" w:fill="auto"/>
            <w:noWrap/>
            <w:vAlign w:val="center"/>
          </w:tcPr>
          <w:p w14:paraId="33368669">
            <w:pPr>
              <w:widowControl/>
              <w:jc w:val="center"/>
              <w:rPr>
                <w:rFonts w:ascii="宋体" w:hAnsi="宋体" w:cs="宋体"/>
                <w:kern w:val="0"/>
                <w:sz w:val="20"/>
                <w:szCs w:val="20"/>
              </w:rPr>
            </w:pPr>
            <w:r>
              <w:rPr>
                <w:rFonts w:hint="eastAsia" w:ascii="宋体" w:hAnsi="宋体" w:cs="宋体"/>
                <w:kern w:val="0"/>
                <w:sz w:val="20"/>
                <w:szCs w:val="20"/>
              </w:rPr>
              <w:t>持有收益</w:t>
            </w:r>
          </w:p>
        </w:tc>
        <w:tc>
          <w:tcPr>
            <w:tcW w:w="6813" w:type="dxa"/>
            <w:gridSpan w:val="7"/>
            <w:shd w:val="clear" w:color="auto" w:fill="auto"/>
            <w:noWrap/>
            <w:vAlign w:val="center"/>
          </w:tcPr>
          <w:p w14:paraId="0B3243D5">
            <w:pPr>
              <w:widowControl/>
              <w:jc w:val="center"/>
              <w:rPr>
                <w:rFonts w:ascii="宋体" w:hAnsi="宋体" w:cs="宋体"/>
                <w:kern w:val="0"/>
                <w:sz w:val="20"/>
                <w:szCs w:val="20"/>
              </w:rPr>
            </w:pPr>
            <w:r>
              <w:rPr>
                <w:rFonts w:hint="eastAsia" w:ascii="宋体" w:hAnsi="宋体" w:cs="宋体"/>
                <w:kern w:val="0"/>
                <w:sz w:val="20"/>
                <w:szCs w:val="20"/>
              </w:rPr>
              <w:t>处置收益</w:t>
            </w:r>
          </w:p>
        </w:tc>
        <w:tc>
          <w:tcPr>
            <w:tcW w:w="1100" w:type="dxa"/>
            <w:vMerge w:val="restart"/>
            <w:shd w:val="clear" w:color="auto" w:fill="auto"/>
            <w:noWrap w:val="0"/>
            <w:vAlign w:val="center"/>
          </w:tcPr>
          <w:p w14:paraId="77358E9E">
            <w:pPr>
              <w:widowControl/>
              <w:jc w:val="center"/>
              <w:rPr>
                <w:rFonts w:ascii="宋体" w:hAnsi="宋体" w:cs="宋体"/>
                <w:kern w:val="0"/>
                <w:sz w:val="20"/>
                <w:szCs w:val="20"/>
              </w:rPr>
            </w:pPr>
            <w:r>
              <w:rPr>
                <w:rFonts w:hint="eastAsia" w:ascii="宋体" w:hAnsi="宋体" w:cs="宋体"/>
                <w:kern w:val="0"/>
                <w:sz w:val="20"/>
                <w:szCs w:val="20"/>
              </w:rPr>
              <w:t>纳税调整金额</w:t>
            </w:r>
          </w:p>
        </w:tc>
      </w:tr>
      <w:tr w14:paraId="713671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640" w:type="dxa"/>
            <w:vMerge w:val="continue"/>
            <w:shd w:val="clear" w:color="auto" w:fill="auto"/>
            <w:noWrap w:val="0"/>
            <w:vAlign w:val="center"/>
          </w:tcPr>
          <w:p w14:paraId="18A8F0B1">
            <w:pPr>
              <w:widowControl/>
              <w:jc w:val="left"/>
              <w:rPr>
                <w:rFonts w:ascii="宋体" w:hAnsi="宋体" w:cs="宋体"/>
                <w:kern w:val="0"/>
                <w:sz w:val="20"/>
                <w:szCs w:val="20"/>
              </w:rPr>
            </w:pPr>
          </w:p>
        </w:tc>
        <w:tc>
          <w:tcPr>
            <w:tcW w:w="2720" w:type="dxa"/>
            <w:vMerge w:val="continue"/>
            <w:shd w:val="clear" w:color="auto" w:fill="auto"/>
            <w:noWrap w:val="0"/>
            <w:vAlign w:val="center"/>
          </w:tcPr>
          <w:p w14:paraId="420B181D">
            <w:pPr>
              <w:widowControl/>
              <w:jc w:val="left"/>
              <w:rPr>
                <w:rFonts w:ascii="宋体" w:hAnsi="宋体" w:cs="宋体"/>
                <w:kern w:val="0"/>
                <w:sz w:val="20"/>
                <w:szCs w:val="20"/>
              </w:rPr>
            </w:pPr>
          </w:p>
        </w:tc>
        <w:tc>
          <w:tcPr>
            <w:tcW w:w="940" w:type="dxa"/>
            <w:shd w:val="clear" w:color="auto" w:fill="auto"/>
            <w:noWrap w:val="0"/>
            <w:vAlign w:val="center"/>
          </w:tcPr>
          <w:p w14:paraId="69EC8B23">
            <w:pPr>
              <w:widowControl/>
              <w:jc w:val="center"/>
              <w:rPr>
                <w:rFonts w:ascii="宋体" w:hAnsi="宋体" w:cs="宋体"/>
                <w:kern w:val="0"/>
                <w:sz w:val="20"/>
                <w:szCs w:val="20"/>
              </w:rPr>
            </w:pPr>
            <w:r>
              <w:rPr>
                <w:rFonts w:hint="eastAsia" w:ascii="宋体" w:hAnsi="宋体" w:cs="宋体"/>
                <w:kern w:val="0"/>
                <w:sz w:val="20"/>
                <w:szCs w:val="20"/>
              </w:rPr>
              <w:t>账载金额</w:t>
            </w:r>
          </w:p>
        </w:tc>
        <w:tc>
          <w:tcPr>
            <w:tcW w:w="940" w:type="dxa"/>
            <w:shd w:val="clear" w:color="auto" w:fill="auto"/>
            <w:noWrap w:val="0"/>
            <w:vAlign w:val="center"/>
          </w:tcPr>
          <w:p w14:paraId="384FD39B">
            <w:pPr>
              <w:widowControl/>
              <w:jc w:val="center"/>
              <w:rPr>
                <w:rFonts w:ascii="宋体" w:hAnsi="宋体" w:cs="宋体"/>
                <w:kern w:val="0"/>
                <w:sz w:val="20"/>
                <w:szCs w:val="20"/>
              </w:rPr>
            </w:pPr>
            <w:r>
              <w:rPr>
                <w:rFonts w:hint="eastAsia" w:ascii="宋体" w:hAnsi="宋体" w:cs="宋体"/>
                <w:kern w:val="0"/>
                <w:sz w:val="20"/>
                <w:szCs w:val="20"/>
              </w:rPr>
              <w:t>税收金额</w:t>
            </w:r>
          </w:p>
        </w:tc>
        <w:tc>
          <w:tcPr>
            <w:tcW w:w="940" w:type="dxa"/>
            <w:shd w:val="clear" w:color="auto" w:fill="auto"/>
            <w:noWrap w:val="0"/>
            <w:vAlign w:val="center"/>
          </w:tcPr>
          <w:p w14:paraId="641D521D">
            <w:pPr>
              <w:widowControl/>
              <w:jc w:val="center"/>
              <w:rPr>
                <w:rFonts w:ascii="宋体" w:hAnsi="宋体" w:cs="宋体"/>
                <w:kern w:val="0"/>
                <w:sz w:val="20"/>
                <w:szCs w:val="20"/>
              </w:rPr>
            </w:pPr>
            <w:r>
              <w:rPr>
                <w:rFonts w:hint="eastAsia" w:ascii="宋体" w:hAnsi="宋体" w:cs="宋体"/>
                <w:kern w:val="0"/>
                <w:sz w:val="20"/>
                <w:szCs w:val="20"/>
              </w:rPr>
              <w:t>纳税调整金额</w:t>
            </w:r>
          </w:p>
        </w:tc>
        <w:tc>
          <w:tcPr>
            <w:tcW w:w="940" w:type="dxa"/>
            <w:shd w:val="clear" w:color="auto" w:fill="auto"/>
            <w:noWrap w:val="0"/>
            <w:vAlign w:val="center"/>
          </w:tcPr>
          <w:p w14:paraId="790B2B0B">
            <w:pPr>
              <w:widowControl/>
              <w:jc w:val="center"/>
              <w:rPr>
                <w:rFonts w:ascii="宋体" w:hAnsi="宋体" w:cs="宋体"/>
                <w:kern w:val="0"/>
                <w:sz w:val="20"/>
                <w:szCs w:val="20"/>
              </w:rPr>
            </w:pPr>
            <w:r>
              <w:rPr>
                <w:rFonts w:hint="eastAsia" w:ascii="宋体" w:hAnsi="宋体" w:cs="宋体"/>
                <w:kern w:val="0"/>
                <w:sz w:val="20"/>
                <w:szCs w:val="20"/>
              </w:rPr>
              <w:t>会计确认的处置收入</w:t>
            </w:r>
          </w:p>
        </w:tc>
        <w:tc>
          <w:tcPr>
            <w:tcW w:w="940" w:type="dxa"/>
            <w:shd w:val="clear" w:color="auto" w:fill="auto"/>
            <w:noWrap w:val="0"/>
            <w:vAlign w:val="center"/>
          </w:tcPr>
          <w:p w14:paraId="464465A4">
            <w:pPr>
              <w:widowControl/>
              <w:jc w:val="center"/>
              <w:rPr>
                <w:rFonts w:ascii="宋体" w:hAnsi="宋体" w:cs="宋体"/>
                <w:kern w:val="0"/>
                <w:sz w:val="20"/>
                <w:szCs w:val="20"/>
              </w:rPr>
            </w:pPr>
            <w:r>
              <w:rPr>
                <w:rFonts w:hint="eastAsia" w:ascii="宋体" w:hAnsi="宋体" w:cs="宋体"/>
                <w:kern w:val="0"/>
                <w:sz w:val="20"/>
                <w:szCs w:val="20"/>
              </w:rPr>
              <w:t>税收计算的处置收入</w:t>
            </w:r>
          </w:p>
        </w:tc>
        <w:tc>
          <w:tcPr>
            <w:tcW w:w="940" w:type="dxa"/>
            <w:shd w:val="clear" w:color="auto" w:fill="auto"/>
            <w:noWrap w:val="0"/>
            <w:vAlign w:val="center"/>
          </w:tcPr>
          <w:p w14:paraId="46F3A644">
            <w:pPr>
              <w:widowControl/>
              <w:jc w:val="center"/>
              <w:rPr>
                <w:rFonts w:ascii="宋体" w:hAnsi="宋体" w:cs="宋体"/>
                <w:kern w:val="0"/>
                <w:sz w:val="20"/>
                <w:szCs w:val="20"/>
              </w:rPr>
            </w:pPr>
            <w:r>
              <w:rPr>
                <w:rFonts w:hint="eastAsia" w:ascii="宋体" w:hAnsi="宋体" w:cs="宋体"/>
                <w:kern w:val="0"/>
                <w:sz w:val="20"/>
                <w:szCs w:val="20"/>
              </w:rPr>
              <w:t>处置投资的账面价值</w:t>
            </w:r>
          </w:p>
        </w:tc>
        <w:tc>
          <w:tcPr>
            <w:tcW w:w="940" w:type="dxa"/>
            <w:shd w:val="clear" w:color="auto" w:fill="auto"/>
            <w:noWrap w:val="0"/>
            <w:vAlign w:val="center"/>
          </w:tcPr>
          <w:p w14:paraId="675CDE64">
            <w:pPr>
              <w:widowControl/>
              <w:jc w:val="center"/>
              <w:rPr>
                <w:rFonts w:ascii="宋体" w:hAnsi="宋体" w:cs="宋体"/>
                <w:kern w:val="0"/>
                <w:sz w:val="20"/>
                <w:szCs w:val="20"/>
              </w:rPr>
            </w:pPr>
            <w:r>
              <w:rPr>
                <w:rFonts w:hint="eastAsia" w:ascii="宋体" w:hAnsi="宋体" w:cs="宋体"/>
                <w:kern w:val="0"/>
                <w:sz w:val="20"/>
                <w:szCs w:val="20"/>
              </w:rPr>
              <w:t>处置投资的计税基础</w:t>
            </w:r>
          </w:p>
        </w:tc>
        <w:tc>
          <w:tcPr>
            <w:tcW w:w="1068" w:type="dxa"/>
            <w:shd w:val="clear" w:color="auto" w:fill="auto"/>
            <w:noWrap w:val="0"/>
            <w:vAlign w:val="center"/>
          </w:tcPr>
          <w:p w14:paraId="6B86399A">
            <w:pPr>
              <w:widowControl/>
              <w:jc w:val="center"/>
              <w:rPr>
                <w:rFonts w:ascii="宋体" w:hAnsi="宋体" w:cs="宋体"/>
                <w:kern w:val="0"/>
                <w:sz w:val="20"/>
                <w:szCs w:val="20"/>
              </w:rPr>
            </w:pPr>
            <w:r>
              <w:rPr>
                <w:rFonts w:hint="eastAsia" w:ascii="宋体" w:hAnsi="宋体" w:cs="宋体"/>
                <w:kern w:val="0"/>
                <w:sz w:val="20"/>
                <w:szCs w:val="20"/>
              </w:rPr>
              <w:t>会计确认的处置所得或损失</w:t>
            </w:r>
          </w:p>
        </w:tc>
        <w:tc>
          <w:tcPr>
            <w:tcW w:w="940" w:type="dxa"/>
            <w:shd w:val="clear" w:color="auto" w:fill="auto"/>
            <w:noWrap w:val="0"/>
            <w:vAlign w:val="center"/>
          </w:tcPr>
          <w:p w14:paraId="16BE8AFB">
            <w:pPr>
              <w:widowControl/>
              <w:jc w:val="center"/>
              <w:rPr>
                <w:rFonts w:ascii="宋体" w:hAnsi="宋体" w:cs="宋体"/>
                <w:kern w:val="0"/>
                <w:sz w:val="20"/>
                <w:szCs w:val="20"/>
              </w:rPr>
            </w:pPr>
            <w:r>
              <w:rPr>
                <w:rFonts w:hint="eastAsia" w:ascii="宋体" w:hAnsi="宋体" w:cs="宋体"/>
                <w:kern w:val="0"/>
                <w:sz w:val="20"/>
                <w:szCs w:val="20"/>
              </w:rPr>
              <w:t>税收计算的处置所得</w:t>
            </w:r>
          </w:p>
        </w:tc>
        <w:tc>
          <w:tcPr>
            <w:tcW w:w="1045" w:type="dxa"/>
            <w:shd w:val="clear" w:color="auto" w:fill="auto"/>
            <w:noWrap w:val="0"/>
            <w:vAlign w:val="center"/>
          </w:tcPr>
          <w:p w14:paraId="418EF4FA">
            <w:pPr>
              <w:widowControl/>
              <w:jc w:val="center"/>
              <w:rPr>
                <w:rFonts w:ascii="宋体" w:hAnsi="宋体" w:cs="宋体"/>
                <w:kern w:val="0"/>
                <w:sz w:val="20"/>
                <w:szCs w:val="20"/>
              </w:rPr>
            </w:pPr>
            <w:r>
              <w:rPr>
                <w:rFonts w:hint="eastAsia" w:ascii="宋体" w:hAnsi="宋体" w:cs="宋体"/>
                <w:kern w:val="0"/>
                <w:sz w:val="20"/>
                <w:szCs w:val="20"/>
              </w:rPr>
              <w:t>纳税调整金额</w:t>
            </w:r>
          </w:p>
        </w:tc>
        <w:tc>
          <w:tcPr>
            <w:tcW w:w="1100" w:type="dxa"/>
            <w:vMerge w:val="continue"/>
            <w:noWrap w:val="0"/>
            <w:vAlign w:val="center"/>
          </w:tcPr>
          <w:p w14:paraId="70C5250F">
            <w:pPr>
              <w:widowControl/>
              <w:jc w:val="left"/>
              <w:rPr>
                <w:rFonts w:ascii="宋体" w:hAnsi="宋体" w:cs="宋体"/>
                <w:kern w:val="0"/>
                <w:sz w:val="20"/>
                <w:szCs w:val="20"/>
              </w:rPr>
            </w:pPr>
          </w:p>
        </w:tc>
      </w:tr>
      <w:tr w14:paraId="29DC11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vMerge w:val="continue"/>
            <w:shd w:val="clear" w:color="auto" w:fill="auto"/>
            <w:noWrap w:val="0"/>
            <w:vAlign w:val="center"/>
          </w:tcPr>
          <w:p w14:paraId="33EFF92F">
            <w:pPr>
              <w:widowControl/>
              <w:jc w:val="left"/>
              <w:rPr>
                <w:rFonts w:ascii="宋体" w:hAnsi="宋体" w:cs="宋体"/>
                <w:kern w:val="0"/>
                <w:sz w:val="20"/>
                <w:szCs w:val="20"/>
              </w:rPr>
            </w:pPr>
          </w:p>
        </w:tc>
        <w:tc>
          <w:tcPr>
            <w:tcW w:w="2720" w:type="dxa"/>
            <w:vMerge w:val="continue"/>
            <w:shd w:val="clear" w:color="auto" w:fill="auto"/>
            <w:noWrap w:val="0"/>
            <w:vAlign w:val="center"/>
          </w:tcPr>
          <w:p w14:paraId="0C3361F0">
            <w:pPr>
              <w:widowControl/>
              <w:jc w:val="left"/>
              <w:rPr>
                <w:rFonts w:ascii="宋体" w:hAnsi="宋体" w:cs="宋体"/>
                <w:kern w:val="0"/>
                <w:sz w:val="20"/>
                <w:szCs w:val="20"/>
              </w:rPr>
            </w:pPr>
          </w:p>
        </w:tc>
        <w:tc>
          <w:tcPr>
            <w:tcW w:w="940" w:type="dxa"/>
            <w:shd w:val="clear" w:color="auto" w:fill="auto"/>
            <w:noWrap/>
            <w:vAlign w:val="center"/>
          </w:tcPr>
          <w:p w14:paraId="7ABEFEB4">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shd w:val="clear" w:color="auto" w:fill="auto"/>
            <w:noWrap/>
            <w:vAlign w:val="center"/>
          </w:tcPr>
          <w:p w14:paraId="153344F3">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shd w:val="clear" w:color="auto" w:fill="auto"/>
            <w:noWrap/>
            <w:vAlign w:val="center"/>
          </w:tcPr>
          <w:p w14:paraId="6AAE99EB">
            <w:pPr>
              <w:widowControl/>
              <w:jc w:val="center"/>
              <w:rPr>
                <w:rFonts w:ascii="宋体" w:hAnsi="宋体" w:cs="宋体"/>
                <w:kern w:val="0"/>
                <w:sz w:val="20"/>
                <w:szCs w:val="20"/>
              </w:rPr>
            </w:pPr>
            <w:r>
              <w:rPr>
                <w:rFonts w:hint="eastAsia" w:ascii="宋体" w:hAnsi="宋体" w:cs="宋体"/>
                <w:kern w:val="0"/>
                <w:sz w:val="20"/>
                <w:szCs w:val="20"/>
              </w:rPr>
              <w:t>3（2-1）</w:t>
            </w:r>
          </w:p>
        </w:tc>
        <w:tc>
          <w:tcPr>
            <w:tcW w:w="940" w:type="dxa"/>
            <w:shd w:val="clear" w:color="auto" w:fill="auto"/>
            <w:noWrap/>
            <w:vAlign w:val="center"/>
          </w:tcPr>
          <w:p w14:paraId="6D42792A">
            <w:pPr>
              <w:widowControl/>
              <w:jc w:val="center"/>
              <w:rPr>
                <w:rFonts w:ascii="宋体" w:hAnsi="宋体" w:cs="宋体"/>
                <w:kern w:val="0"/>
                <w:sz w:val="20"/>
                <w:szCs w:val="20"/>
              </w:rPr>
            </w:pPr>
            <w:r>
              <w:rPr>
                <w:rFonts w:hint="eastAsia" w:ascii="宋体" w:hAnsi="宋体" w:cs="宋体"/>
                <w:kern w:val="0"/>
                <w:sz w:val="20"/>
                <w:szCs w:val="20"/>
              </w:rPr>
              <w:t>4</w:t>
            </w:r>
          </w:p>
        </w:tc>
        <w:tc>
          <w:tcPr>
            <w:tcW w:w="940" w:type="dxa"/>
            <w:shd w:val="clear" w:color="auto" w:fill="auto"/>
            <w:noWrap/>
            <w:vAlign w:val="center"/>
          </w:tcPr>
          <w:p w14:paraId="3145C35C">
            <w:pPr>
              <w:widowControl/>
              <w:jc w:val="center"/>
              <w:rPr>
                <w:rFonts w:ascii="宋体" w:hAnsi="宋体" w:cs="宋体"/>
                <w:kern w:val="0"/>
                <w:sz w:val="20"/>
                <w:szCs w:val="20"/>
              </w:rPr>
            </w:pPr>
            <w:r>
              <w:rPr>
                <w:rFonts w:hint="eastAsia" w:ascii="宋体" w:hAnsi="宋体" w:cs="宋体"/>
                <w:kern w:val="0"/>
                <w:sz w:val="20"/>
                <w:szCs w:val="20"/>
              </w:rPr>
              <w:t>5</w:t>
            </w:r>
          </w:p>
        </w:tc>
        <w:tc>
          <w:tcPr>
            <w:tcW w:w="940" w:type="dxa"/>
            <w:shd w:val="clear" w:color="auto" w:fill="auto"/>
            <w:noWrap/>
            <w:vAlign w:val="center"/>
          </w:tcPr>
          <w:p w14:paraId="7D1DEA60">
            <w:pPr>
              <w:widowControl/>
              <w:jc w:val="center"/>
              <w:rPr>
                <w:rFonts w:ascii="宋体" w:hAnsi="宋体" w:cs="宋体"/>
                <w:kern w:val="0"/>
                <w:sz w:val="20"/>
                <w:szCs w:val="20"/>
              </w:rPr>
            </w:pPr>
            <w:r>
              <w:rPr>
                <w:rFonts w:hint="eastAsia" w:ascii="宋体" w:hAnsi="宋体" w:cs="宋体"/>
                <w:kern w:val="0"/>
                <w:sz w:val="20"/>
                <w:szCs w:val="20"/>
              </w:rPr>
              <w:t>6</w:t>
            </w:r>
          </w:p>
        </w:tc>
        <w:tc>
          <w:tcPr>
            <w:tcW w:w="940" w:type="dxa"/>
            <w:shd w:val="clear" w:color="auto" w:fill="auto"/>
            <w:noWrap/>
            <w:vAlign w:val="center"/>
          </w:tcPr>
          <w:p w14:paraId="0B59390A">
            <w:pPr>
              <w:widowControl/>
              <w:jc w:val="center"/>
              <w:rPr>
                <w:rFonts w:ascii="宋体" w:hAnsi="宋体" w:cs="宋体"/>
                <w:kern w:val="0"/>
                <w:sz w:val="20"/>
                <w:szCs w:val="20"/>
              </w:rPr>
            </w:pPr>
            <w:r>
              <w:rPr>
                <w:rFonts w:hint="eastAsia" w:ascii="宋体" w:hAnsi="宋体" w:cs="宋体"/>
                <w:kern w:val="0"/>
                <w:sz w:val="20"/>
                <w:szCs w:val="20"/>
              </w:rPr>
              <w:t>7</w:t>
            </w:r>
          </w:p>
        </w:tc>
        <w:tc>
          <w:tcPr>
            <w:tcW w:w="1068" w:type="dxa"/>
            <w:shd w:val="clear" w:color="auto" w:fill="auto"/>
            <w:noWrap w:val="0"/>
            <w:vAlign w:val="center"/>
          </w:tcPr>
          <w:p w14:paraId="4F7A91B5">
            <w:pPr>
              <w:widowControl/>
              <w:jc w:val="center"/>
              <w:rPr>
                <w:rFonts w:ascii="宋体" w:hAnsi="宋体" w:cs="宋体"/>
                <w:kern w:val="0"/>
                <w:sz w:val="20"/>
                <w:szCs w:val="20"/>
              </w:rPr>
            </w:pPr>
            <w:r>
              <w:rPr>
                <w:rFonts w:hint="eastAsia" w:ascii="宋体" w:hAnsi="宋体" w:cs="宋体"/>
                <w:kern w:val="0"/>
                <w:sz w:val="20"/>
                <w:szCs w:val="20"/>
              </w:rPr>
              <w:t>8（4-6）</w:t>
            </w:r>
          </w:p>
        </w:tc>
        <w:tc>
          <w:tcPr>
            <w:tcW w:w="940" w:type="dxa"/>
            <w:shd w:val="clear" w:color="auto" w:fill="auto"/>
            <w:noWrap w:val="0"/>
            <w:vAlign w:val="center"/>
          </w:tcPr>
          <w:p w14:paraId="35607CA5">
            <w:pPr>
              <w:widowControl/>
              <w:jc w:val="center"/>
              <w:rPr>
                <w:rFonts w:ascii="宋体" w:hAnsi="宋体" w:cs="宋体"/>
                <w:kern w:val="0"/>
                <w:sz w:val="20"/>
                <w:szCs w:val="20"/>
              </w:rPr>
            </w:pPr>
            <w:r>
              <w:rPr>
                <w:rFonts w:hint="eastAsia" w:ascii="宋体" w:hAnsi="宋体" w:cs="宋体"/>
                <w:kern w:val="0"/>
                <w:sz w:val="20"/>
                <w:szCs w:val="20"/>
              </w:rPr>
              <w:t>9（5-7）</w:t>
            </w:r>
          </w:p>
        </w:tc>
        <w:tc>
          <w:tcPr>
            <w:tcW w:w="1045" w:type="dxa"/>
            <w:shd w:val="clear" w:color="auto" w:fill="auto"/>
            <w:noWrap w:val="0"/>
            <w:vAlign w:val="center"/>
          </w:tcPr>
          <w:p w14:paraId="5E0C72FD">
            <w:pPr>
              <w:widowControl/>
              <w:jc w:val="center"/>
              <w:rPr>
                <w:rFonts w:ascii="宋体" w:hAnsi="宋体" w:cs="宋体"/>
                <w:kern w:val="0"/>
                <w:sz w:val="20"/>
                <w:szCs w:val="20"/>
              </w:rPr>
            </w:pPr>
            <w:r>
              <w:rPr>
                <w:rFonts w:hint="eastAsia" w:ascii="宋体" w:hAnsi="宋体" w:cs="宋体"/>
                <w:kern w:val="0"/>
                <w:sz w:val="20"/>
                <w:szCs w:val="20"/>
              </w:rPr>
              <w:t>10（9-8）</w:t>
            </w:r>
          </w:p>
        </w:tc>
        <w:tc>
          <w:tcPr>
            <w:tcW w:w="1100" w:type="dxa"/>
            <w:shd w:val="clear" w:color="auto" w:fill="auto"/>
            <w:noWrap/>
            <w:vAlign w:val="center"/>
          </w:tcPr>
          <w:p w14:paraId="3C98A90E">
            <w:pPr>
              <w:widowControl/>
              <w:jc w:val="center"/>
              <w:rPr>
                <w:rFonts w:ascii="宋体" w:hAnsi="宋体" w:cs="宋体"/>
                <w:kern w:val="0"/>
                <w:sz w:val="20"/>
                <w:szCs w:val="20"/>
              </w:rPr>
            </w:pPr>
            <w:r>
              <w:rPr>
                <w:rFonts w:hint="eastAsia" w:ascii="宋体" w:hAnsi="宋体" w:cs="宋体"/>
                <w:kern w:val="0"/>
                <w:sz w:val="20"/>
                <w:szCs w:val="20"/>
              </w:rPr>
              <w:t>11（3+10）</w:t>
            </w:r>
          </w:p>
        </w:tc>
      </w:tr>
      <w:tr w14:paraId="6C2023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shd w:val="clear" w:color="auto" w:fill="auto"/>
            <w:noWrap/>
            <w:vAlign w:val="center"/>
          </w:tcPr>
          <w:p w14:paraId="3940AF8B">
            <w:pPr>
              <w:widowControl/>
              <w:jc w:val="center"/>
              <w:rPr>
                <w:rFonts w:ascii="宋体" w:hAnsi="宋体" w:cs="宋体"/>
                <w:kern w:val="0"/>
                <w:sz w:val="20"/>
                <w:szCs w:val="20"/>
              </w:rPr>
            </w:pPr>
            <w:r>
              <w:rPr>
                <w:rFonts w:hint="eastAsia" w:ascii="宋体" w:hAnsi="宋体" w:cs="宋体"/>
                <w:kern w:val="0"/>
                <w:sz w:val="20"/>
                <w:szCs w:val="20"/>
              </w:rPr>
              <w:t>1</w:t>
            </w:r>
          </w:p>
        </w:tc>
        <w:tc>
          <w:tcPr>
            <w:tcW w:w="2720" w:type="dxa"/>
            <w:shd w:val="clear" w:color="auto" w:fill="auto"/>
            <w:noWrap/>
            <w:vAlign w:val="center"/>
          </w:tcPr>
          <w:p w14:paraId="0C85A71C">
            <w:pPr>
              <w:widowControl/>
              <w:jc w:val="left"/>
              <w:rPr>
                <w:rFonts w:ascii="宋体" w:hAnsi="宋体" w:cs="宋体"/>
                <w:kern w:val="0"/>
                <w:sz w:val="20"/>
                <w:szCs w:val="20"/>
              </w:rPr>
            </w:pPr>
            <w:r>
              <w:rPr>
                <w:rFonts w:hint="eastAsia" w:ascii="宋体" w:hAnsi="宋体" w:cs="宋体"/>
                <w:kern w:val="0"/>
                <w:sz w:val="20"/>
                <w:szCs w:val="20"/>
              </w:rPr>
              <w:t xml:space="preserve">一、交易性金融资产     </w:t>
            </w:r>
          </w:p>
        </w:tc>
        <w:tc>
          <w:tcPr>
            <w:tcW w:w="940" w:type="dxa"/>
            <w:shd w:val="clear" w:color="auto" w:fill="auto"/>
            <w:noWrap/>
            <w:vAlign w:val="center"/>
          </w:tcPr>
          <w:p w14:paraId="64B27384">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003490BA">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3BEBFC08">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06193415">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25F5E41E">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14D66F69">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6D1A867F">
            <w:pPr>
              <w:widowControl/>
              <w:jc w:val="left"/>
              <w:rPr>
                <w:rFonts w:ascii="宋体" w:hAnsi="宋体" w:cs="宋体"/>
                <w:kern w:val="0"/>
                <w:sz w:val="20"/>
                <w:szCs w:val="20"/>
              </w:rPr>
            </w:pPr>
            <w:r>
              <w:rPr>
                <w:rFonts w:hint="eastAsia" w:ascii="宋体" w:hAnsi="宋体" w:cs="宋体"/>
                <w:kern w:val="0"/>
                <w:sz w:val="20"/>
                <w:szCs w:val="20"/>
              </w:rPr>
              <w:t>　</w:t>
            </w:r>
          </w:p>
        </w:tc>
        <w:tc>
          <w:tcPr>
            <w:tcW w:w="1068" w:type="dxa"/>
            <w:shd w:val="clear" w:color="auto" w:fill="auto"/>
            <w:noWrap/>
            <w:vAlign w:val="center"/>
          </w:tcPr>
          <w:p w14:paraId="4F824850">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4EA06821">
            <w:pPr>
              <w:widowControl/>
              <w:jc w:val="left"/>
              <w:rPr>
                <w:rFonts w:ascii="宋体" w:hAnsi="宋体" w:cs="宋体"/>
                <w:kern w:val="0"/>
                <w:sz w:val="20"/>
                <w:szCs w:val="20"/>
              </w:rPr>
            </w:pPr>
            <w:r>
              <w:rPr>
                <w:rFonts w:hint="eastAsia" w:ascii="宋体" w:hAnsi="宋体" w:cs="宋体"/>
                <w:kern w:val="0"/>
                <w:sz w:val="20"/>
                <w:szCs w:val="20"/>
              </w:rPr>
              <w:t>　</w:t>
            </w:r>
          </w:p>
        </w:tc>
        <w:tc>
          <w:tcPr>
            <w:tcW w:w="1045" w:type="dxa"/>
            <w:shd w:val="clear" w:color="auto" w:fill="auto"/>
            <w:noWrap/>
            <w:vAlign w:val="center"/>
          </w:tcPr>
          <w:p w14:paraId="788F6A8E">
            <w:pPr>
              <w:widowControl/>
              <w:jc w:val="left"/>
              <w:rPr>
                <w:rFonts w:ascii="宋体" w:hAnsi="宋体" w:cs="宋体"/>
                <w:kern w:val="0"/>
                <w:sz w:val="20"/>
                <w:szCs w:val="20"/>
              </w:rPr>
            </w:pPr>
            <w:r>
              <w:rPr>
                <w:rFonts w:hint="eastAsia" w:ascii="宋体" w:hAnsi="宋体" w:cs="宋体"/>
                <w:kern w:val="0"/>
                <w:sz w:val="20"/>
                <w:szCs w:val="20"/>
              </w:rPr>
              <w:t>　</w:t>
            </w:r>
          </w:p>
        </w:tc>
        <w:tc>
          <w:tcPr>
            <w:tcW w:w="1100" w:type="dxa"/>
            <w:shd w:val="clear" w:color="auto" w:fill="auto"/>
            <w:noWrap/>
            <w:vAlign w:val="center"/>
          </w:tcPr>
          <w:p w14:paraId="25CF04C8">
            <w:pPr>
              <w:widowControl/>
              <w:jc w:val="left"/>
              <w:rPr>
                <w:rFonts w:ascii="宋体" w:hAnsi="宋体" w:cs="宋体"/>
                <w:kern w:val="0"/>
                <w:sz w:val="20"/>
                <w:szCs w:val="20"/>
              </w:rPr>
            </w:pPr>
            <w:r>
              <w:rPr>
                <w:rFonts w:hint="eastAsia" w:ascii="宋体" w:hAnsi="宋体" w:cs="宋体"/>
                <w:kern w:val="0"/>
                <w:sz w:val="20"/>
                <w:szCs w:val="20"/>
              </w:rPr>
              <w:t>　</w:t>
            </w:r>
          </w:p>
        </w:tc>
      </w:tr>
      <w:tr w14:paraId="69C276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shd w:val="clear" w:color="auto" w:fill="auto"/>
            <w:noWrap/>
            <w:vAlign w:val="center"/>
          </w:tcPr>
          <w:p w14:paraId="33DA3E3F">
            <w:pPr>
              <w:widowControl/>
              <w:jc w:val="center"/>
              <w:rPr>
                <w:rFonts w:ascii="宋体" w:hAnsi="宋体" w:cs="宋体"/>
                <w:kern w:val="0"/>
                <w:sz w:val="20"/>
                <w:szCs w:val="20"/>
              </w:rPr>
            </w:pPr>
            <w:r>
              <w:rPr>
                <w:rFonts w:hint="eastAsia" w:ascii="宋体" w:hAnsi="宋体" w:cs="宋体"/>
                <w:kern w:val="0"/>
                <w:sz w:val="20"/>
                <w:szCs w:val="20"/>
              </w:rPr>
              <w:t>2</w:t>
            </w:r>
          </w:p>
        </w:tc>
        <w:tc>
          <w:tcPr>
            <w:tcW w:w="2720" w:type="dxa"/>
            <w:shd w:val="clear" w:color="auto" w:fill="auto"/>
            <w:noWrap/>
            <w:vAlign w:val="center"/>
          </w:tcPr>
          <w:p w14:paraId="263E2367">
            <w:pPr>
              <w:widowControl/>
              <w:jc w:val="left"/>
              <w:rPr>
                <w:rFonts w:ascii="宋体" w:hAnsi="宋体" w:cs="宋体"/>
                <w:kern w:val="0"/>
                <w:sz w:val="20"/>
                <w:szCs w:val="20"/>
              </w:rPr>
            </w:pPr>
            <w:r>
              <w:rPr>
                <w:rFonts w:hint="eastAsia" w:ascii="宋体" w:hAnsi="宋体" w:cs="宋体"/>
                <w:kern w:val="0"/>
                <w:sz w:val="20"/>
                <w:szCs w:val="20"/>
              </w:rPr>
              <w:t xml:space="preserve">二、可供出售金融资产    </w:t>
            </w:r>
          </w:p>
        </w:tc>
        <w:tc>
          <w:tcPr>
            <w:tcW w:w="940" w:type="dxa"/>
            <w:shd w:val="clear" w:color="auto" w:fill="auto"/>
            <w:noWrap/>
            <w:vAlign w:val="center"/>
          </w:tcPr>
          <w:p w14:paraId="4DFA6D72">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016341C4">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0A7E6425">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3C5B74A7">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6E6DF3DE">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79435A20">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48E0F051">
            <w:pPr>
              <w:widowControl/>
              <w:jc w:val="left"/>
              <w:rPr>
                <w:rFonts w:ascii="宋体" w:hAnsi="宋体" w:cs="宋体"/>
                <w:kern w:val="0"/>
                <w:sz w:val="20"/>
                <w:szCs w:val="20"/>
              </w:rPr>
            </w:pPr>
            <w:r>
              <w:rPr>
                <w:rFonts w:hint="eastAsia" w:ascii="宋体" w:hAnsi="宋体" w:cs="宋体"/>
                <w:kern w:val="0"/>
                <w:sz w:val="20"/>
                <w:szCs w:val="20"/>
              </w:rPr>
              <w:t>　</w:t>
            </w:r>
          </w:p>
        </w:tc>
        <w:tc>
          <w:tcPr>
            <w:tcW w:w="1068" w:type="dxa"/>
            <w:shd w:val="clear" w:color="auto" w:fill="auto"/>
            <w:noWrap/>
            <w:vAlign w:val="center"/>
          </w:tcPr>
          <w:p w14:paraId="709DCEE2">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1FFA6572">
            <w:pPr>
              <w:widowControl/>
              <w:jc w:val="left"/>
              <w:rPr>
                <w:rFonts w:ascii="宋体" w:hAnsi="宋体" w:cs="宋体"/>
                <w:kern w:val="0"/>
                <w:sz w:val="20"/>
                <w:szCs w:val="20"/>
              </w:rPr>
            </w:pPr>
            <w:r>
              <w:rPr>
                <w:rFonts w:hint="eastAsia" w:ascii="宋体" w:hAnsi="宋体" w:cs="宋体"/>
                <w:kern w:val="0"/>
                <w:sz w:val="20"/>
                <w:szCs w:val="20"/>
              </w:rPr>
              <w:t>　</w:t>
            </w:r>
          </w:p>
        </w:tc>
        <w:tc>
          <w:tcPr>
            <w:tcW w:w="1045" w:type="dxa"/>
            <w:shd w:val="clear" w:color="auto" w:fill="auto"/>
            <w:noWrap/>
            <w:vAlign w:val="center"/>
          </w:tcPr>
          <w:p w14:paraId="2F452013">
            <w:pPr>
              <w:widowControl/>
              <w:jc w:val="left"/>
              <w:rPr>
                <w:rFonts w:ascii="宋体" w:hAnsi="宋体" w:cs="宋体"/>
                <w:kern w:val="0"/>
                <w:sz w:val="20"/>
                <w:szCs w:val="20"/>
              </w:rPr>
            </w:pPr>
            <w:r>
              <w:rPr>
                <w:rFonts w:hint="eastAsia" w:ascii="宋体" w:hAnsi="宋体" w:cs="宋体"/>
                <w:kern w:val="0"/>
                <w:sz w:val="20"/>
                <w:szCs w:val="20"/>
              </w:rPr>
              <w:t>　</w:t>
            </w:r>
          </w:p>
        </w:tc>
        <w:tc>
          <w:tcPr>
            <w:tcW w:w="1100" w:type="dxa"/>
            <w:shd w:val="clear" w:color="auto" w:fill="auto"/>
            <w:noWrap/>
            <w:vAlign w:val="center"/>
          </w:tcPr>
          <w:p w14:paraId="77CD500C">
            <w:pPr>
              <w:widowControl/>
              <w:jc w:val="left"/>
              <w:rPr>
                <w:rFonts w:ascii="宋体" w:hAnsi="宋体" w:cs="宋体"/>
                <w:kern w:val="0"/>
                <w:sz w:val="20"/>
                <w:szCs w:val="20"/>
              </w:rPr>
            </w:pPr>
            <w:r>
              <w:rPr>
                <w:rFonts w:hint="eastAsia" w:ascii="宋体" w:hAnsi="宋体" w:cs="宋体"/>
                <w:kern w:val="0"/>
                <w:sz w:val="20"/>
                <w:szCs w:val="20"/>
              </w:rPr>
              <w:t>　</w:t>
            </w:r>
          </w:p>
        </w:tc>
      </w:tr>
      <w:tr w14:paraId="30F94C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shd w:val="clear" w:color="auto" w:fill="auto"/>
            <w:noWrap/>
            <w:vAlign w:val="center"/>
          </w:tcPr>
          <w:p w14:paraId="08076A8A">
            <w:pPr>
              <w:widowControl/>
              <w:jc w:val="center"/>
              <w:rPr>
                <w:rFonts w:ascii="宋体" w:hAnsi="宋体" w:cs="宋体"/>
                <w:kern w:val="0"/>
                <w:sz w:val="20"/>
                <w:szCs w:val="20"/>
              </w:rPr>
            </w:pPr>
            <w:r>
              <w:rPr>
                <w:rFonts w:hint="eastAsia" w:ascii="宋体" w:hAnsi="宋体" w:cs="宋体"/>
                <w:kern w:val="0"/>
                <w:sz w:val="20"/>
                <w:szCs w:val="20"/>
              </w:rPr>
              <w:t>3</w:t>
            </w:r>
          </w:p>
        </w:tc>
        <w:tc>
          <w:tcPr>
            <w:tcW w:w="2720" w:type="dxa"/>
            <w:shd w:val="clear" w:color="auto" w:fill="auto"/>
            <w:noWrap w:val="0"/>
            <w:vAlign w:val="center"/>
          </w:tcPr>
          <w:p w14:paraId="1C1CBCB2">
            <w:pPr>
              <w:widowControl/>
              <w:jc w:val="left"/>
              <w:rPr>
                <w:rFonts w:ascii="宋体" w:hAnsi="宋体" w:cs="宋体"/>
                <w:kern w:val="0"/>
                <w:sz w:val="20"/>
                <w:szCs w:val="20"/>
              </w:rPr>
            </w:pPr>
            <w:r>
              <w:rPr>
                <w:rFonts w:hint="eastAsia" w:ascii="宋体" w:hAnsi="宋体" w:cs="宋体"/>
                <w:kern w:val="0"/>
                <w:sz w:val="20"/>
                <w:szCs w:val="20"/>
              </w:rPr>
              <w:t xml:space="preserve">三、持有至到期投资    </w:t>
            </w:r>
          </w:p>
        </w:tc>
        <w:tc>
          <w:tcPr>
            <w:tcW w:w="940" w:type="dxa"/>
            <w:shd w:val="clear" w:color="auto" w:fill="auto"/>
            <w:noWrap/>
            <w:vAlign w:val="center"/>
          </w:tcPr>
          <w:p w14:paraId="280E33DD">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362D8F41">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5E8880C4">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62D78CC8">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6B3E358B">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0A5C8A13">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587C76FB">
            <w:pPr>
              <w:widowControl/>
              <w:jc w:val="left"/>
              <w:rPr>
                <w:rFonts w:ascii="宋体" w:hAnsi="宋体" w:cs="宋体"/>
                <w:kern w:val="0"/>
                <w:sz w:val="20"/>
                <w:szCs w:val="20"/>
              </w:rPr>
            </w:pPr>
            <w:r>
              <w:rPr>
                <w:rFonts w:hint="eastAsia" w:ascii="宋体" w:hAnsi="宋体" w:cs="宋体"/>
                <w:kern w:val="0"/>
                <w:sz w:val="20"/>
                <w:szCs w:val="20"/>
              </w:rPr>
              <w:t>　</w:t>
            </w:r>
          </w:p>
        </w:tc>
        <w:tc>
          <w:tcPr>
            <w:tcW w:w="1068" w:type="dxa"/>
            <w:shd w:val="clear" w:color="auto" w:fill="auto"/>
            <w:noWrap/>
            <w:vAlign w:val="center"/>
          </w:tcPr>
          <w:p w14:paraId="3FA9C2ED">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38BA21F3">
            <w:pPr>
              <w:widowControl/>
              <w:jc w:val="left"/>
              <w:rPr>
                <w:rFonts w:ascii="宋体" w:hAnsi="宋体" w:cs="宋体"/>
                <w:kern w:val="0"/>
                <w:sz w:val="20"/>
                <w:szCs w:val="20"/>
              </w:rPr>
            </w:pPr>
            <w:r>
              <w:rPr>
                <w:rFonts w:hint="eastAsia" w:ascii="宋体" w:hAnsi="宋体" w:cs="宋体"/>
                <w:kern w:val="0"/>
                <w:sz w:val="20"/>
                <w:szCs w:val="20"/>
              </w:rPr>
              <w:t>　</w:t>
            </w:r>
          </w:p>
        </w:tc>
        <w:tc>
          <w:tcPr>
            <w:tcW w:w="1045" w:type="dxa"/>
            <w:shd w:val="clear" w:color="auto" w:fill="auto"/>
            <w:noWrap/>
            <w:vAlign w:val="center"/>
          </w:tcPr>
          <w:p w14:paraId="47EE9B5D">
            <w:pPr>
              <w:widowControl/>
              <w:jc w:val="left"/>
              <w:rPr>
                <w:rFonts w:ascii="宋体" w:hAnsi="宋体" w:cs="宋体"/>
                <w:kern w:val="0"/>
                <w:sz w:val="20"/>
                <w:szCs w:val="20"/>
              </w:rPr>
            </w:pPr>
            <w:r>
              <w:rPr>
                <w:rFonts w:hint="eastAsia" w:ascii="宋体" w:hAnsi="宋体" w:cs="宋体"/>
                <w:kern w:val="0"/>
                <w:sz w:val="20"/>
                <w:szCs w:val="20"/>
              </w:rPr>
              <w:t>　</w:t>
            </w:r>
          </w:p>
        </w:tc>
        <w:tc>
          <w:tcPr>
            <w:tcW w:w="1100" w:type="dxa"/>
            <w:shd w:val="clear" w:color="auto" w:fill="auto"/>
            <w:noWrap/>
            <w:vAlign w:val="center"/>
          </w:tcPr>
          <w:p w14:paraId="44F07BC3">
            <w:pPr>
              <w:widowControl/>
              <w:jc w:val="left"/>
              <w:rPr>
                <w:rFonts w:ascii="宋体" w:hAnsi="宋体" w:cs="宋体"/>
                <w:kern w:val="0"/>
                <w:sz w:val="20"/>
                <w:szCs w:val="20"/>
              </w:rPr>
            </w:pPr>
            <w:r>
              <w:rPr>
                <w:rFonts w:hint="eastAsia" w:ascii="宋体" w:hAnsi="宋体" w:cs="宋体"/>
                <w:kern w:val="0"/>
                <w:sz w:val="20"/>
                <w:szCs w:val="20"/>
              </w:rPr>
              <w:t>　</w:t>
            </w:r>
          </w:p>
        </w:tc>
      </w:tr>
      <w:tr w14:paraId="73D348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shd w:val="clear" w:color="auto" w:fill="auto"/>
            <w:noWrap/>
            <w:vAlign w:val="center"/>
          </w:tcPr>
          <w:p w14:paraId="7D8BBAAE">
            <w:pPr>
              <w:widowControl/>
              <w:jc w:val="center"/>
              <w:rPr>
                <w:rFonts w:ascii="宋体" w:hAnsi="宋体" w:cs="宋体"/>
                <w:kern w:val="0"/>
                <w:sz w:val="20"/>
                <w:szCs w:val="20"/>
              </w:rPr>
            </w:pPr>
            <w:r>
              <w:rPr>
                <w:rFonts w:hint="eastAsia" w:ascii="宋体" w:hAnsi="宋体" w:cs="宋体"/>
                <w:kern w:val="0"/>
                <w:sz w:val="20"/>
                <w:szCs w:val="20"/>
              </w:rPr>
              <w:t>4</w:t>
            </w:r>
          </w:p>
        </w:tc>
        <w:tc>
          <w:tcPr>
            <w:tcW w:w="2720" w:type="dxa"/>
            <w:shd w:val="clear" w:color="auto" w:fill="auto"/>
            <w:noWrap/>
            <w:vAlign w:val="center"/>
          </w:tcPr>
          <w:p w14:paraId="1F6ED286">
            <w:pPr>
              <w:widowControl/>
              <w:jc w:val="left"/>
              <w:rPr>
                <w:rFonts w:ascii="宋体" w:hAnsi="宋体" w:cs="宋体"/>
                <w:kern w:val="0"/>
                <w:sz w:val="20"/>
                <w:szCs w:val="20"/>
              </w:rPr>
            </w:pPr>
            <w:r>
              <w:rPr>
                <w:rFonts w:hint="eastAsia" w:ascii="宋体" w:hAnsi="宋体" w:cs="宋体"/>
                <w:kern w:val="0"/>
                <w:sz w:val="20"/>
                <w:szCs w:val="20"/>
              </w:rPr>
              <w:t xml:space="preserve">四、衍生工具        </w:t>
            </w:r>
          </w:p>
        </w:tc>
        <w:tc>
          <w:tcPr>
            <w:tcW w:w="940" w:type="dxa"/>
            <w:shd w:val="clear" w:color="auto" w:fill="auto"/>
            <w:noWrap/>
            <w:vAlign w:val="center"/>
          </w:tcPr>
          <w:p w14:paraId="489B9427">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19F30085">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02667B98">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46854C49">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26B82201">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30E7443F">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3E359F78">
            <w:pPr>
              <w:widowControl/>
              <w:jc w:val="left"/>
              <w:rPr>
                <w:rFonts w:ascii="宋体" w:hAnsi="宋体" w:cs="宋体"/>
                <w:kern w:val="0"/>
                <w:sz w:val="20"/>
                <w:szCs w:val="20"/>
              </w:rPr>
            </w:pPr>
            <w:r>
              <w:rPr>
                <w:rFonts w:hint="eastAsia" w:ascii="宋体" w:hAnsi="宋体" w:cs="宋体"/>
                <w:kern w:val="0"/>
                <w:sz w:val="20"/>
                <w:szCs w:val="20"/>
              </w:rPr>
              <w:t>　</w:t>
            </w:r>
          </w:p>
        </w:tc>
        <w:tc>
          <w:tcPr>
            <w:tcW w:w="1068" w:type="dxa"/>
            <w:shd w:val="clear" w:color="auto" w:fill="auto"/>
            <w:noWrap/>
            <w:vAlign w:val="center"/>
          </w:tcPr>
          <w:p w14:paraId="408DF488">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6A95E405">
            <w:pPr>
              <w:widowControl/>
              <w:jc w:val="left"/>
              <w:rPr>
                <w:rFonts w:ascii="宋体" w:hAnsi="宋体" w:cs="宋体"/>
                <w:kern w:val="0"/>
                <w:sz w:val="20"/>
                <w:szCs w:val="20"/>
              </w:rPr>
            </w:pPr>
            <w:r>
              <w:rPr>
                <w:rFonts w:hint="eastAsia" w:ascii="宋体" w:hAnsi="宋体" w:cs="宋体"/>
                <w:kern w:val="0"/>
                <w:sz w:val="20"/>
                <w:szCs w:val="20"/>
              </w:rPr>
              <w:t>　</w:t>
            </w:r>
          </w:p>
        </w:tc>
        <w:tc>
          <w:tcPr>
            <w:tcW w:w="1045" w:type="dxa"/>
            <w:shd w:val="clear" w:color="auto" w:fill="auto"/>
            <w:noWrap/>
            <w:vAlign w:val="center"/>
          </w:tcPr>
          <w:p w14:paraId="10DCEBD7">
            <w:pPr>
              <w:widowControl/>
              <w:jc w:val="left"/>
              <w:rPr>
                <w:rFonts w:ascii="宋体" w:hAnsi="宋体" w:cs="宋体"/>
                <w:kern w:val="0"/>
                <w:sz w:val="20"/>
                <w:szCs w:val="20"/>
              </w:rPr>
            </w:pPr>
            <w:r>
              <w:rPr>
                <w:rFonts w:hint="eastAsia" w:ascii="宋体" w:hAnsi="宋体" w:cs="宋体"/>
                <w:kern w:val="0"/>
                <w:sz w:val="20"/>
                <w:szCs w:val="20"/>
              </w:rPr>
              <w:t>　</w:t>
            </w:r>
          </w:p>
        </w:tc>
        <w:tc>
          <w:tcPr>
            <w:tcW w:w="1100" w:type="dxa"/>
            <w:shd w:val="clear" w:color="auto" w:fill="auto"/>
            <w:noWrap/>
            <w:vAlign w:val="center"/>
          </w:tcPr>
          <w:p w14:paraId="153485FC">
            <w:pPr>
              <w:widowControl/>
              <w:jc w:val="left"/>
              <w:rPr>
                <w:rFonts w:ascii="宋体" w:hAnsi="宋体" w:cs="宋体"/>
                <w:kern w:val="0"/>
                <w:sz w:val="20"/>
                <w:szCs w:val="20"/>
              </w:rPr>
            </w:pPr>
            <w:r>
              <w:rPr>
                <w:rFonts w:hint="eastAsia" w:ascii="宋体" w:hAnsi="宋体" w:cs="宋体"/>
                <w:kern w:val="0"/>
                <w:sz w:val="20"/>
                <w:szCs w:val="20"/>
              </w:rPr>
              <w:t>　</w:t>
            </w:r>
          </w:p>
        </w:tc>
      </w:tr>
      <w:tr w14:paraId="382F36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shd w:val="clear" w:color="auto" w:fill="auto"/>
            <w:noWrap/>
            <w:vAlign w:val="center"/>
          </w:tcPr>
          <w:p w14:paraId="21A3E7D4">
            <w:pPr>
              <w:widowControl/>
              <w:jc w:val="center"/>
              <w:rPr>
                <w:rFonts w:ascii="宋体" w:hAnsi="宋体" w:cs="宋体"/>
                <w:kern w:val="0"/>
                <w:sz w:val="20"/>
                <w:szCs w:val="20"/>
              </w:rPr>
            </w:pPr>
            <w:r>
              <w:rPr>
                <w:rFonts w:hint="eastAsia" w:ascii="宋体" w:hAnsi="宋体" w:cs="宋体"/>
                <w:kern w:val="0"/>
                <w:sz w:val="20"/>
                <w:szCs w:val="20"/>
              </w:rPr>
              <w:t>5</w:t>
            </w:r>
          </w:p>
        </w:tc>
        <w:tc>
          <w:tcPr>
            <w:tcW w:w="2720" w:type="dxa"/>
            <w:shd w:val="clear" w:color="auto" w:fill="auto"/>
            <w:noWrap/>
            <w:vAlign w:val="center"/>
          </w:tcPr>
          <w:p w14:paraId="278BAD71">
            <w:pPr>
              <w:widowControl/>
              <w:jc w:val="left"/>
              <w:rPr>
                <w:rFonts w:ascii="宋体" w:hAnsi="宋体" w:cs="宋体"/>
                <w:kern w:val="0"/>
                <w:sz w:val="20"/>
                <w:szCs w:val="20"/>
              </w:rPr>
            </w:pPr>
            <w:r>
              <w:rPr>
                <w:rFonts w:hint="eastAsia" w:ascii="宋体" w:hAnsi="宋体" w:cs="宋体"/>
                <w:kern w:val="0"/>
                <w:sz w:val="20"/>
                <w:szCs w:val="20"/>
              </w:rPr>
              <w:t xml:space="preserve">五、交易性金融负债      </w:t>
            </w:r>
          </w:p>
        </w:tc>
        <w:tc>
          <w:tcPr>
            <w:tcW w:w="940" w:type="dxa"/>
            <w:shd w:val="clear" w:color="auto" w:fill="auto"/>
            <w:noWrap/>
            <w:vAlign w:val="center"/>
          </w:tcPr>
          <w:p w14:paraId="0BF2B36D">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1106655E">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47941AF0">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14B60168">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5B6F948D">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4C427A4C">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31F927ED">
            <w:pPr>
              <w:widowControl/>
              <w:jc w:val="left"/>
              <w:rPr>
                <w:rFonts w:ascii="宋体" w:hAnsi="宋体" w:cs="宋体"/>
                <w:kern w:val="0"/>
                <w:sz w:val="20"/>
                <w:szCs w:val="20"/>
              </w:rPr>
            </w:pPr>
            <w:r>
              <w:rPr>
                <w:rFonts w:hint="eastAsia" w:ascii="宋体" w:hAnsi="宋体" w:cs="宋体"/>
                <w:kern w:val="0"/>
                <w:sz w:val="20"/>
                <w:szCs w:val="20"/>
              </w:rPr>
              <w:t>　</w:t>
            </w:r>
          </w:p>
        </w:tc>
        <w:tc>
          <w:tcPr>
            <w:tcW w:w="1068" w:type="dxa"/>
            <w:shd w:val="clear" w:color="auto" w:fill="auto"/>
            <w:noWrap/>
            <w:vAlign w:val="center"/>
          </w:tcPr>
          <w:p w14:paraId="1C35FE7F">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09B0DA2D">
            <w:pPr>
              <w:widowControl/>
              <w:jc w:val="left"/>
              <w:rPr>
                <w:rFonts w:ascii="宋体" w:hAnsi="宋体" w:cs="宋体"/>
                <w:kern w:val="0"/>
                <w:sz w:val="20"/>
                <w:szCs w:val="20"/>
              </w:rPr>
            </w:pPr>
            <w:r>
              <w:rPr>
                <w:rFonts w:hint="eastAsia" w:ascii="宋体" w:hAnsi="宋体" w:cs="宋体"/>
                <w:kern w:val="0"/>
                <w:sz w:val="20"/>
                <w:szCs w:val="20"/>
              </w:rPr>
              <w:t>　</w:t>
            </w:r>
          </w:p>
        </w:tc>
        <w:tc>
          <w:tcPr>
            <w:tcW w:w="1045" w:type="dxa"/>
            <w:shd w:val="clear" w:color="auto" w:fill="auto"/>
            <w:noWrap/>
            <w:vAlign w:val="center"/>
          </w:tcPr>
          <w:p w14:paraId="056984C8">
            <w:pPr>
              <w:widowControl/>
              <w:jc w:val="left"/>
              <w:rPr>
                <w:rFonts w:ascii="宋体" w:hAnsi="宋体" w:cs="宋体"/>
                <w:kern w:val="0"/>
                <w:sz w:val="20"/>
                <w:szCs w:val="20"/>
              </w:rPr>
            </w:pPr>
            <w:r>
              <w:rPr>
                <w:rFonts w:hint="eastAsia" w:ascii="宋体" w:hAnsi="宋体" w:cs="宋体"/>
                <w:kern w:val="0"/>
                <w:sz w:val="20"/>
                <w:szCs w:val="20"/>
              </w:rPr>
              <w:t>　</w:t>
            </w:r>
          </w:p>
        </w:tc>
        <w:tc>
          <w:tcPr>
            <w:tcW w:w="1100" w:type="dxa"/>
            <w:shd w:val="clear" w:color="auto" w:fill="auto"/>
            <w:noWrap/>
            <w:vAlign w:val="center"/>
          </w:tcPr>
          <w:p w14:paraId="6DA82BE3">
            <w:pPr>
              <w:widowControl/>
              <w:jc w:val="left"/>
              <w:rPr>
                <w:rFonts w:ascii="宋体" w:hAnsi="宋体" w:cs="宋体"/>
                <w:kern w:val="0"/>
                <w:sz w:val="20"/>
                <w:szCs w:val="20"/>
              </w:rPr>
            </w:pPr>
            <w:r>
              <w:rPr>
                <w:rFonts w:hint="eastAsia" w:ascii="宋体" w:hAnsi="宋体" w:cs="宋体"/>
                <w:kern w:val="0"/>
                <w:sz w:val="20"/>
                <w:szCs w:val="20"/>
              </w:rPr>
              <w:t>　</w:t>
            </w:r>
          </w:p>
        </w:tc>
      </w:tr>
      <w:tr w14:paraId="56F46F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shd w:val="clear" w:color="auto" w:fill="auto"/>
            <w:noWrap/>
            <w:vAlign w:val="center"/>
          </w:tcPr>
          <w:p w14:paraId="15671A82">
            <w:pPr>
              <w:widowControl/>
              <w:jc w:val="center"/>
              <w:rPr>
                <w:rFonts w:ascii="宋体" w:hAnsi="宋体" w:cs="宋体"/>
                <w:kern w:val="0"/>
                <w:sz w:val="20"/>
                <w:szCs w:val="20"/>
              </w:rPr>
            </w:pPr>
            <w:r>
              <w:rPr>
                <w:rFonts w:hint="eastAsia" w:ascii="宋体" w:hAnsi="宋体" w:cs="宋体"/>
                <w:kern w:val="0"/>
                <w:sz w:val="20"/>
                <w:szCs w:val="20"/>
              </w:rPr>
              <w:t>6</w:t>
            </w:r>
          </w:p>
        </w:tc>
        <w:tc>
          <w:tcPr>
            <w:tcW w:w="2720" w:type="dxa"/>
            <w:shd w:val="clear" w:color="auto" w:fill="auto"/>
            <w:noWrap w:val="0"/>
            <w:vAlign w:val="center"/>
          </w:tcPr>
          <w:p w14:paraId="10DFC29C">
            <w:pPr>
              <w:widowControl/>
              <w:jc w:val="left"/>
              <w:rPr>
                <w:rFonts w:ascii="宋体" w:hAnsi="宋体" w:cs="宋体"/>
                <w:kern w:val="0"/>
                <w:sz w:val="20"/>
                <w:szCs w:val="20"/>
              </w:rPr>
            </w:pPr>
            <w:r>
              <w:rPr>
                <w:rFonts w:hint="eastAsia" w:ascii="宋体" w:hAnsi="宋体" w:cs="宋体"/>
                <w:kern w:val="0"/>
                <w:sz w:val="20"/>
                <w:szCs w:val="20"/>
              </w:rPr>
              <w:t>六、长期股权投资</w:t>
            </w:r>
          </w:p>
        </w:tc>
        <w:tc>
          <w:tcPr>
            <w:tcW w:w="940" w:type="dxa"/>
            <w:shd w:val="clear" w:color="auto" w:fill="auto"/>
            <w:noWrap/>
            <w:vAlign w:val="center"/>
          </w:tcPr>
          <w:p w14:paraId="058B5A80">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3CB39149">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1778CDCE">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3902DF3A">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3C1F8D2F">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32D16176">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7F45912C">
            <w:pPr>
              <w:widowControl/>
              <w:jc w:val="left"/>
              <w:rPr>
                <w:rFonts w:ascii="宋体" w:hAnsi="宋体" w:cs="宋体"/>
                <w:kern w:val="0"/>
                <w:sz w:val="20"/>
                <w:szCs w:val="20"/>
              </w:rPr>
            </w:pPr>
            <w:r>
              <w:rPr>
                <w:rFonts w:hint="eastAsia" w:ascii="宋体" w:hAnsi="宋体" w:cs="宋体"/>
                <w:kern w:val="0"/>
                <w:sz w:val="20"/>
                <w:szCs w:val="20"/>
              </w:rPr>
              <w:t>　</w:t>
            </w:r>
          </w:p>
        </w:tc>
        <w:tc>
          <w:tcPr>
            <w:tcW w:w="1068" w:type="dxa"/>
            <w:shd w:val="clear" w:color="auto" w:fill="auto"/>
            <w:noWrap/>
            <w:vAlign w:val="center"/>
          </w:tcPr>
          <w:p w14:paraId="5D2A2450">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29E62539">
            <w:pPr>
              <w:widowControl/>
              <w:jc w:val="left"/>
              <w:rPr>
                <w:rFonts w:ascii="宋体" w:hAnsi="宋体" w:cs="宋体"/>
                <w:kern w:val="0"/>
                <w:sz w:val="20"/>
                <w:szCs w:val="20"/>
              </w:rPr>
            </w:pPr>
            <w:r>
              <w:rPr>
                <w:rFonts w:hint="eastAsia" w:ascii="宋体" w:hAnsi="宋体" w:cs="宋体"/>
                <w:kern w:val="0"/>
                <w:sz w:val="20"/>
                <w:szCs w:val="20"/>
              </w:rPr>
              <w:t>　</w:t>
            </w:r>
          </w:p>
        </w:tc>
        <w:tc>
          <w:tcPr>
            <w:tcW w:w="1045" w:type="dxa"/>
            <w:shd w:val="clear" w:color="auto" w:fill="auto"/>
            <w:noWrap/>
            <w:vAlign w:val="center"/>
          </w:tcPr>
          <w:p w14:paraId="113E795A">
            <w:pPr>
              <w:widowControl/>
              <w:jc w:val="left"/>
              <w:rPr>
                <w:rFonts w:ascii="宋体" w:hAnsi="宋体" w:cs="宋体"/>
                <w:kern w:val="0"/>
                <w:sz w:val="20"/>
                <w:szCs w:val="20"/>
              </w:rPr>
            </w:pPr>
            <w:r>
              <w:rPr>
                <w:rFonts w:hint="eastAsia" w:ascii="宋体" w:hAnsi="宋体" w:cs="宋体"/>
                <w:kern w:val="0"/>
                <w:sz w:val="20"/>
                <w:szCs w:val="20"/>
              </w:rPr>
              <w:t>　</w:t>
            </w:r>
          </w:p>
        </w:tc>
        <w:tc>
          <w:tcPr>
            <w:tcW w:w="1100" w:type="dxa"/>
            <w:shd w:val="clear" w:color="auto" w:fill="auto"/>
            <w:noWrap/>
            <w:vAlign w:val="center"/>
          </w:tcPr>
          <w:p w14:paraId="5D9271A6">
            <w:pPr>
              <w:widowControl/>
              <w:jc w:val="left"/>
              <w:rPr>
                <w:rFonts w:ascii="宋体" w:hAnsi="宋体" w:cs="宋体"/>
                <w:kern w:val="0"/>
                <w:sz w:val="20"/>
                <w:szCs w:val="20"/>
              </w:rPr>
            </w:pPr>
            <w:r>
              <w:rPr>
                <w:rFonts w:hint="eastAsia" w:ascii="宋体" w:hAnsi="宋体" w:cs="宋体"/>
                <w:kern w:val="0"/>
                <w:sz w:val="20"/>
                <w:szCs w:val="20"/>
              </w:rPr>
              <w:t>　</w:t>
            </w:r>
          </w:p>
        </w:tc>
      </w:tr>
      <w:tr w14:paraId="31FC3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shd w:val="clear" w:color="auto" w:fill="auto"/>
            <w:noWrap/>
            <w:vAlign w:val="center"/>
          </w:tcPr>
          <w:p w14:paraId="793A25F3">
            <w:pPr>
              <w:widowControl/>
              <w:jc w:val="center"/>
              <w:rPr>
                <w:rFonts w:ascii="宋体" w:hAnsi="宋体" w:cs="宋体"/>
                <w:kern w:val="0"/>
                <w:sz w:val="20"/>
                <w:szCs w:val="20"/>
              </w:rPr>
            </w:pPr>
            <w:r>
              <w:rPr>
                <w:rFonts w:hint="eastAsia" w:ascii="宋体" w:hAnsi="宋体" w:cs="宋体"/>
                <w:kern w:val="0"/>
                <w:sz w:val="20"/>
                <w:szCs w:val="20"/>
              </w:rPr>
              <w:t>7</w:t>
            </w:r>
          </w:p>
        </w:tc>
        <w:tc>
          <w:tcPr>
            <w:tcW w:w="2720" w:type="dxa"/>
            <w:shd w:val="clear" w:color="auto" w:fill="auto"/>
            <w:noWrap w:val="0"/>
            <w:vAlign w:val="center"/>
          </w:tcPr>
          <w:p w14:paraId="2F54E33E">
            <w:pPr>
              <w:widowControl/>
              <w:jc w:val="left"/>
              <w:rPr>
                <w:rFonts w:ascii="宋体" w:hAnsi="宋体" w:cs="宋体"/>
                <w:kern w:val="0"/>
                <w:sz w:val="20"/>
                <w:szCs w:val="20"/>
              </w:rPr>
            </w:pPr>
            <w:r>
              <w:rPr>
                <w:rFonts w:hint="eastAsia" w:ascii="宋体" w:hAnsi="宋体" w:cs="宋体"/>
                <w:kern w:val="0"/>
                <w:sz w:val="20"/>
                <w:szCs w:val="20"/>
              </w:rPr>
              <w:t>七、短期投资</w:t>
            </w:r>
          </w:p>
        </w:tc>
        <w:tc>
          <w:tcPr>
            <w:tcW w:w="940" w:type="dxa"/>
            <w:shd w:val="clear" w:color="auto" w:fill="auto"/>
            <w:noWrap/>
            <w:vAlign w:val="center"/>
          </w:tcPr>
          <w:p w14:paraId="7402DA19">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54154545">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72961E00">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577368D6">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282D63F2">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264B24A0">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4C537752">
            <w:pPr>
              <w:widowControl/>
              <w:jc w:val="left"/>
              <w:rPr>
                <w:rFonts w:ascii="宋体" w:hAnsi="宋体" w:cs="宋体"/>
                <w:kern w:val="0"/>
                <w:sz w:val="20"/>
                <w:szCs w:val="20"/>
              </w:rPr>
            </w:pPr>
            <w:r>
              <w:rPr>
                <w:rFonts w:hint="eastAsia" w:ascii="宋体" w:hAnsi="宋体" w:cs="宋体"/>
                <w:kern w:val="0"/>
                <w:sz w:val="20"/>
                <w:szCs w:val="20"/>
              </w:rPr>
              <w:t>　</w:t>
            </w:r>
          </w:p>
        </w:tc>
        <w:tc>
          <w:tcPr>
            <w:tcW w:w="1068" w:type="dxa"/>
            <w:shd w:val="clear" w:color="auto" w:fill="auto"/>
            <w:noWrap/>
            <w:vAlign w:val="center"/>
          </w:tcPr>
          <w:p w14:paraId="288D2536">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6642F63E">
            <w:pPr>
              <w:widowControl/>
              <w:jc w:val="left"/>
              <w:rPr>
                <w:rFonts w:ascii="宋体" w:hAnsi="宋体" w:cs="宋体"/>
                <w:kern w:val="0"/>
                <w:sz w:val="20"/>
                <w:szCs w:val="20"/>
              </w:rPr>
            </w:pPr>
            <w:r>
              <w:rPr>
                <w:rFonts w:hint="eastAsia" w:ascii="宋体" w:hAnsi="宋体" w:cs="宋体"/>
                <w:kern w:val="0"/>
                <w:sz w:val="20"/>
                <w:szCs w:val="20"/>
              </w:rPr>
              <w:t>　</w:t>
            </w:r>
          </w:p>
        </w:tc>
        <w:tc>
          <w:tcPr>
            <w:tcW w:w="1045" w:type="dxa"/>
            <w:shd w:val="clear" w:color="auto" w:fill="auto"/>
            <w:noWrap/>
            <w:vAlign w:val="center"/>
          </w:tcPr>
          <w:p w14:paraId="660DE5AA">
            <w:pPr>
              <w:widowControl/>
              <w:jc w:val="left"/>
              <w:rPr>
                <w:rFonts w:ascii="宋体" w:hAnsi="宋体" w:cs="宋体"/>
                <w:kern w:val="0"/>
                <w:sz w:val="20"/>
                <w:szCs w:val="20"/>
              </w:rPr>
            </w:pPr>
            <w:r>
              <w:rPr>
                <w:rFonts w:hint="eastAsia" w:ascii="宋体" w:hAnsi="宋体" w:cs="宋体"/>
                <w:kern w:val="0"/>
                <w:sz w:val="20"/>
                <w:szCs w:val="20"/>
              </w:rPr>
              <w:t>　</w:t>
            </w:r>
          </w:p>
        </w:tc>
        <w:tc>
          <w:tcPr>
            <w:tcW w:w="1100" w:type="dxa"/>
            <w:shd w:val="clear" w:color="auto" w:fill="auto"/>
            <w:noWrap/>
            <w:vAlign w:val="center"/>
          </w:tcPr>
          <w:p w14:paraId="0D799E9B">
            <w:pPr>
              <w:widowControl/>
              <w:jc w:val="left"/>
              <w:rPr>
                <w:rFonts w:ascii="宋体" w:hAnsi="宋体" w:cs="宋体"/>
                <w:kern w:val="0"/>
                <w:sz w:val="20"/>
                <w:szCs w:val="20"/>
              </w:rPr>
            </w:pPr>
            <w:r>
              <w:rPr>
                <w:rFonts w:hint="eastAsia" w:ascii="宋体" w:hAnsi="宋体" w:cs="宋体"/>
                <w:kern w:val="0"/>
                <w:sz w:val="20"/>
                <w:szCs w:val="20"/>
              </w:rPr>
              <w:t>　</w:t>
            </w:r>
          </w:p>
        </w:tc>
      </w:tr>
      <w:tr w14:paraId="7DA2EA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shd w:val="clear" w:color="auto" w:fill="auto"/>
            <w:noWrap/>
            <w:vAlign w:val="center"/>
          </w:tcPr>
          <w:p w14:paraId="3960DB0E">
            <w:pPr>
              <w:widowControl/>
              <w:jc w:val="center"/>
              <w:rPr>
                <w:rFonts w:ascii="宋体" w:hAnsi="宋体" w:cs="宋体"/>
                <w:kern w:val="0"/>
                <w:sz w:val="20"/>
                <w:szCs w:val="20"/>
              </w:rPr>
            </w:pPr>
            <w:r>
              <w:rPr>
                <w:rFonts w:hint="eastAsia" w:ascii="宋体" w:hAnsi="宋体" w:cs="宋体"/>
                <w:kern w:val="0"/>
                <w:sz w:val="20"/>
                <w:szCs w:val="20"/>
              </w:rPr>
              <w:t>8</w:t>
            </w:r>
          </w:p>
        </w:tc>
        <w:tc>
          <w:tcPr>
            <w:tcW w:w="2720" w:type="dxa"/>
            <w:shd w:val="clear" w:color="auto" w:fill="auto"/>
            <w:noWrap w:val="0"/>
            <w:vAlign w:val="center"/>
          </w:tcPr>
          <w:p w14:paraId="39C3D0CD">
            <w:pPr>
              <w:widowControl/>
              <w:jc w:val="left"/>
              <w:rPr>
                <w:rFonts w:ascii="宋体" w:hAnsi="宋体" w:cs="宋体"/>
                <w:kern w:val="0"/>
                <w:sz w:val="20"/>
                <w:szCs w:val="20"/>
              </w:rPr>
            </w:pPr>
            <w:r>
              <w:rPr>
                <w:rFonts w:hint="eastAsia" w:ascii="宋体" w:hAnsi="宋体" w:cs="宋体"/>
                <w:kern w:val="0"/>
                <w:sz w:val="20"/>
                <w:szCs w:val="20"/>
              </w:rPr>
              <w:t>八、长期债券投资</w:t>
            </w:r>
          </w:p>
        </w:tc>
        <w:tc>
          <w:tcPr>
            <w:tcW w:w="940" w:type="dxa"/>
            <w:shd w:val="clear" w:color="auto" w:fill="auto"/>
            <w:noWrap/>
            <w:vAlign w:val="center"/>
          </w:tcPr>
          <w:p w14:paraId="720031F4">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2D22E0B6">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07D3E069">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230203C9">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1B247529">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48AA5D21">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691B4D8A">
            <w:pPr>
              <w:widowControl/>
              <w:jc w:val="left"/>
              <w:rPr>
                <w:rFonts w:ascii="宋体" w:hAnsi="宋体" w:cs="宋体"/>
                <w:kern w:val="0"/>
                <w:sz w:val="20"/>
                <w:szCs w:val="20"/>
              </w:rPr>
            </w:pPr>
            <w:r>
              <w:rPr>
                <w:rFonts w:hint="eastAsia" w:ascii="宋体" w:hAnsi="宋体" w:cs="宋体"/>
                <w:kern w:val="0"/>
                <w:sz w:val="20"/>
                <w:szCs w:val="20"/>
              </w:rPr>
              <w:t>　</w:t>
            </w:r>
          </w:p>
        </w:tc>
        <w:tc>
          <w:tcPr>
            <w:tcW w:w="1068" w:type="dxa"/>
            <w:shd w:val="clear" w:color="auto" w:fill="auto"/>
            <w:noWrap/>
            <w:vAlign w:val="center"/>
          </w:tcPr>
          <w:p w14:paraId="54FB0C70">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2E3965E2">
            <w:pPr>
              <w:widowControl/>
              <w:jc w:val="left"/>
              <w:rPr>
                <w:rFonts w:ascii="宋体" w:hAnsi="宋体" w:cs="宋体"/>
                <w:kern w:val="0"/>
                <w:sz w:val="20"/>
                <w:szCs w:val="20"/>
              </w:rPr>
            </w:pPr>
            <w:r>
              <w:rPr>
                <w:rFonts w:hint="eastAsia" w:ascii="宋体" w:hAnsi="宋体" w:cs="宋体"/>
                <w:kern w:val="0"/>
                <w:sz w:val="20"/>
                <w:szCs w:val="20"/>
              </w:rPr>
              <w:t>　</w:t>
            </w:r>
          </w:p>
        </w:tc>
        <w:tc>
          <w:tcPr>
            <w:tcW w:w="1045" w:type="dxa"/>
            <w:shd w:val="clear" w:color="auto" w:fill="auto"/>
            <w:noWrap/>
            <w:vAlign w:val="center"/>
          </w:tcPr>
          <w:p w14:paraId="41A0163C">
            <w:pPr>
              <w:widowControl/>
              <w:jc w:val="left"/>
              <w:rPr>
                <w:rFonts w:ascii="宋体" w:hAnsi="宋体" w:cs="宋体"/>
                <w:kern w:val="0"/>
                <w:sz w:val="20"/>
                <w:szCs w:val="20"/>
              </w:rPr>
            </w:pPr>
            <w:r>
              <w:rPr>
                <w:rFonts w:hint="eastAsia" w:ascii="宋体" w:hAnsi="宋体" w:cs="宋体"/>
                <w:kern w:val="0"/>
                <w:sz w:val="20"/>
                <w:szCs w:val="20"/>
              </w:rPr>
              <w:t>　</w:t>
            </w:r>
          </w:p>
        </w:tc>
        <w:tc>
          <w:tcPr>
            <w:tcW w:w="1100" w:type="dxa"/>
            <w:shd w:val="clear" w:color="auto" w:fill="auto"/>
            <w:noWrap/>
            <w:vAlign w:val="center"/>
          </w:tcPr>
          <w:p w14:paraId="5D671C29">
            <w:pPr>
              <w:widowControl/>
              <w:jc w:val="left"/>
              <w:rPr>
                <w:rFonts w:ascii="宋体" w:hAnsi="宋体" w:cs="宋体"/>
                <w:kern w:val="0"/>
                <w:sz w:val="20"/>
                <w:szCs w:val="20"/>
              </w:rPr>
            </w:pPr>
            <w:r>
              <w:rPr>
                <w:rFonts w:hint="eastAsia" w:ascii="宋体" w:hAnsi="宋体" w:cs="宋体"/>
                <w:kern w:val="0"/>
                <w:sz w:val="20"/>
                <w:szCs w:val="20"/>
              </w:rPr>
              <w:t>　</w:t>
            </w:r>
          </w:p>
        </w:tc>
      </w:tr>
      <w:tr w14:paraId="64B6A1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shd w:val="clear" w:color="auto" w:fill="auto"/>
            <w:noWrap/>
            <w:vAlign w:val="center"/>
          </w:tcPr>
          <w:p w14:paraId="7188EBEF">
            <w:pPr>
              <w:widowControl/>
              <w:jc w:val="center"/>
              <w:rPr>
                <w:rFonts w:ascii="宋体" w:hAnsi="宋体" w:cs="宋体"/>
                <w:kern w:val="0"/>
                <w:sz w:val="20"/>
                <w:szCs w:val="20"/>
              </w:rPr>
            </w:pPr>
            <w:r>
              <w:rPr>
                <w:rFonts w:hint="eastAsia" w:ascii="宋体" w:hAnsi="宋体" w:cs="宋体"/>
                <w:kern w:val="0"/>
                <w:sz w:val="20"/>
                <w:szCs w:val="20"/>
              </w:rPr>
              <w:t>9</w:t>
            </w:r>
          </w:p>
        </w:tc>
        <w:tc>
          <w:tcPr>
            <w:tcW w:w="2720" w:type="dxa"/>
            <w:shd w:val="clear" w:color="auto" w:fill="auto"/>
            <w:noWrap/>
            <w:vAlign w:val="center"/>
          </w:tcPr>
          <w:p w14:paraId="58B6AAD9">
            <w:pPr>
              <w:widowControl/>
              <w:jc w:val="left"/>
              <w:rPr>
                <w:rFonts w:ascii="宋体" w:hAnsi="宋体" w:cs="宋体"/>
                <w:kern w:val="0"/>
                <w:sz w:val="20"/>
                <w:szCs w:val="20"/>
              </w:rPr>
            </w:pPr>
            <w:r>
              <w:rPr>
                <w:rFonts w:hint="eastAsia" w:ascii="宋体" w:hAnsi="宋体" w:cs="宋体"/>
                <w:kern w:val="0"/>
                <w:sz w:val="20"/>
                <w:szCs w:val="20"/>
              </w:rPr>
              <w:t>九、其他</w:t>
            </w:r>
          </w:p>
        </w:tc>
        <w:tc>
          <w:tcPr>
            <w:tcW w:w="940" w:type="dxa"/>
            <w:shd w:val="clear" w:color="auto" w:fill="auto"/>
            <w:noWrap/>
            <w:vAlign w:val="center"/>
          </w:tcPr>
          <w:p w14:paraId="18171303">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4741F826">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5E040344">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39418533">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099C77E6">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0682A381">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020B9EAD">
            <w:pPr>
              <w:widowControl/>
              <w:jc w:val="left"/>
              <w:rPr>
                <w:rFonts w:ascii="宋体" w:hAnsi="宋体" w:cs="宋体"/>
                <w:kern w:val="0"/>
                <w:sz w:val="20"/>
                <w:szCs w:val="20"/>
              </w:rPr>
            </w:pPr>
            <w:r>
              <w:rPr>
                <w:rFonts w:hint="eastAsia" w:ascii="宋体" w:hAnsi="宋体" w:cs="宋体"/>
                <w:kern w:val="0"/>
                <w:sz w:val="20"/>
                <w:szCs w:val="20"/>
              </w:rPr>
              <w:t>　</w:t>
            </w:r>
          </w:p>
        </w:tc>
        <w:tc>
          <w:tcPr>
            <w:tcW w:w="1068" w:type="dxa"/>
            <w:shd w:val="clear" w:color="auto" w:fill="auto"/>
            <w:noWrap/>
            <w:vAlign w:val="center"/>
          </w:tcPr>
          <w:p w14:paraId="0E541501">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3ED85B84">
            <w:pPr>
              <w:widowControl/>
              <w:jc w:val="left"/>
              <w:rPr>
                <w:rFonts w:ascii="宋体" w:hAnsi="宋体" w:cs="宋体"/>
                <w:kern w:val="0"/>
                <w:sz w:val="20"/>
                <w:szCs w:val="20"/>
              </w:rPr>
            </w:pPr>
            <w:r>
              <w:rPr>
                <w:rFonts w:hint="eastAsia" w:ascii="宋体" w:hAnsi="宋体" w:cs="宋体"/>
                <w:kern w:val="0"/>
                <w:sz w:val="20"/>
                <w:szCs w:val="20"/>
              </w:rPr>
              <w:t>　</w:t>
            </w:r>
          </w:p>
        </w:tc>
        <w:tc>
          <w:tcPr>
            <w:tcW w:w="1045" w:type="dxa"/>
            <w:shd w:val="clear" w:color="auto" w:fill="auto"/>
            <w:noWrap/>
            <w:vAlign w:val="center"/>
          </w:tcPr>
          <w:p w14:paraId="7C342740">
            <w:pPr>
              <w:widowControl/>
              <w:jc w:val="left"/>
              <w:rPr>
                <w:rFonts w:ascii="宋体" w:hAnsi="宋体" w:cs="宋体"/>
                <w:kern w:val="0"/>
                <w:sz w:val="20"/>
                <w:szCs w:val="20"/>
              </w:rPr>
            </w:pPr>
            <w:r>
              <w:rPr>
                <w:rFonts w:hint="eastAsia" w:ascii="宋体" w:hAnsi="宋体" w:cs="宋体"/>
                <w:kern w:val="0"/>
                <w:sz w:val="20"/>
                <w:szCs w:val="20"/>
              </w:rPr>
              <w:t>　</w:t>
            </w:r>
          </w:p>
        </w:tc>
        <w:tc>
          <w:tcPr>
            <w:tcW w:w="1100" w:type="dxa"/>
            <w:shd w:val="clear" w:color="auto" w:fill="auto"/>
            <w:noWrap/>
            <w:vAlign w:val="center"/>
          </w:tcPr>
          <w:p w14:paraId="1B77AEFE">
            <w:pPr>
              <w:widowControl/>
              <w:jc w:val="left"/>
              <w:rPr>
                <w:rFonts w:ascii="宋体" w:hAnsi="宋体" w:cs="宋体"/>
                <w:kern w:val="0"/>
                <w:sz w:val="20"/>
                <w:szCs w:val="20"/>
              </w:rPr>
            </w:pPr>
            <w:r>
              <w:rPr>
                <w:rFonts w:hint="eastAsia" w:ascii="宋体" w:hAnsi="宋体" w:cs="宋体"/>
                <w:kern w:val="0"/>
                <w:sz w:val="20"/>
                <w:szCs w:val="20"/>
              </w:rPr>
              <w:t>　</w:t>
            </w:r>
          </w:p>
        </w:tc>
      </w:tr>
      <w:tr w14:paraId="6B7576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0" w:type="dxa"/>
            <w:shd w:val="clear" w:color="auto" w:fill="auto"/>
            <w:noWrap/>
            <w:vAlign w:val="center"/>
          </w:tcPr>
          <w:p w14:paraId="40A9703E">
            <w:pPr>
              <w:widowControl/>
              <w:jc w:val="center"/>
              <w:rPr>
                <w:rFonts w:ascii="宋体" w:hAnsi="宋体" w:cs="宋体"/>
                <w:kern w:val="0"/>
                <w:sz w:val="20"/>
                <w:szCs w:val="20"/>
              </w:rPr>
            </w:pPr>
            <w:r>
              <w:rPr>
                <w:rFonts w:hint="eastAsia" w:ascii="宋体" w:hAnsi="宋体" w:cs="宋体"/>
                <w:kern w:val="0"/>
                <w:sz w:val="20"/>
                <w:szCs w:val="20"/>
              </w:rPr>
              <w:t>10</w:t>
            </w:r>
          </w:p>
        </w:tc>
        <w:tc>
          <w:tcPr>
            <w:tcW w:w="2720" w:type="dxa"/>
            <w:shd w:val="clear" w:color="auto" w:fill="auto"/>
            <w:noWrap/>
            <w:vAlign w:val="center"/>
          </w:tcPr>
          <w:p w14:paraId="36D6E824">
            <w:pPr>
              <w:widowControl/>
              <w:jc w:val="left"/>
              <w:rPr>
                <w:rFonts w:ascii="宋体" w:hAnsi="宋体" w:cs="宋体"/>
                <w:kern w:val="0"/>
                <w:sz w:val="20"/>
                <w:szCs w:val="20"/>
              </w:rPr>
            </w:pPr>
            <w:r>
              <w:rPr>
                <w:rFonts w:hint="eastAsia" w:ascii="宋体" w:hAnsi="宋体" w:cs="宋体"/>
                <w:kern w:val="0"/>
                <w:sz w:val="20"/>
                <w:szCs w:val="20"/>
              </w:rPr>
              <w:t>合计(1+2+3+4+5+6+7+8+9)</w:t>
            </w:r>
          </w:p>
        </w:tc>
        <w:tc>
          <w:tcPr>
            <w:tcW w:w="940" w:type="dxa"/>
            <w:shd w:val="clear" w:color="auto" w:fill="auto"/>
            <w:noWrap/>
            <w:vAlign w:val="center"/>
          </w:tcPr>
          <w:p w14:paraId="738E2BFA">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61159112">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28AB544E">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422D1B4D">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003CB4D0">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4D1039ED">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4E0DAC36">
            <w:pPr>
              <w:widowControl/>
              <w:jc w:val="left"/>
              <w:rPr>
                <w:rFonts w:ascii="宋体" w:hAnsi="宋体" w:cs="宋体"/>
                <w:kern w:val="0"/>
                <w:sz w:val="20"/>
                <w:szCs w:val="20"/>
              </w:rPr>
            </w:pPr>
            <w:r>
              <w:rPr>
                <w:rFonts w:hint="eastAsia" w:ascii="宋体" w:hAnsi="宋体" w:cs="宋体"/>
                <w:kern w:val="0"/>
                <w:sz w:val="20"/>
                <w:szCs w:val="20"/>
              </w:rPr>
              <w:t>　</w:t>
            </w:r>
          </w:p>
        </w:tc>
        <w:tc>
          <w:tcPr>
            <w:tcW w:w="1068" w:type="dxa"/>
            <w:shd w:val="clear" w:color="auto" w:fill="auto"/>
            <w:noWrap/>
            <w:vAlign w:val="center"/>
          </w:tcPr>
          <w:p w14:paraId="1057B276">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noWrap/>
            <w:vAlign w:val="center"/>
          </w:tcPr>
          <w:p w14:paraId="3CD0F342">
            <w:pPr>
              <w:widowControl/>
              <w:jc w:val="left"/>
              <w:rPr>
                <w:rFonts w:ascii="宋体" w:hAnsi="宋体" w:cs="宋体"/>
                <w:kern w:val="0"/>
                <w:sz w:val="20"/>
                <w:szCs w:val="20"/>
              </w:rPr>
            </w:pPr>
            <w:r>
              <w:rPr>
                <w:rFonts w:hint="eastAsia" w:ascii="宋体" w:hAnsi="宋体" w:cs="宋体"/>
                <w:kern w:val="0"/>
                <w:sz w:val="20"/>
                <w:szCs w:val="20"/>
              </w:rPr>
              <w:t>　</w:t>
            </w:r>
          </w:p>
        </w:tc>
        <w:tc>
          <w:tcPr>
            <w:tcW w:w="1045" w:type="dxa"/>
            <w:shd w:val="clear" w:color="auto" w:fill="auto"/>
            <w:noWrap/>
            <w:vAlign w:val="center"/>
          </w:tcPr>
          <w:p w14:paraId="1A23F912">
            <w:pPr>
              <w:widowControl/>
              <w:jc w:val="left"/>
              <w:rPr>
                <w:rFonts w:ascii="宋体" w:hAnsi="宋体" w:cs="宋体"/>
                <w:kern w:val="0"/>
                <w:sz w:val="20"/>
                <w:szCs w:val="20"/>
              </w:rPr>
            </w:pPr>
            <w:r>
              <w:rPr>
                <w:rFonts w:hint="eastAsia" w:ascii="宋体" w:hAnsi="宋体" w:cs="宋体"/>
                <w:kern w:val="0"/>
                <w:sz w:val="20"/>
                <w:szCs w:val="20"/>
              </w:rPr>
              <w:t>　</w:t>
            </w:r>
          </w:p>
        </w:tc>
        <w:tc>
          <w:tcPr>
            <w:tcW w:w="1100" w:type="dxa"/>
            <w:shd w:val="clear" w:color="auto" w:fill="auto"/>
            <w:noWrap/>
            <w:vAlign w:val="center"/>
          </w:tcPr>
          <w:p w14:paraId="7C037C5A">
            <w:pPr>
              <w:widowControl/>
              <w:jc w:val="left"/>
              <w:rPr>
                <w:rFonts w:ascii="宋体" w:hAnsi="宋体" w:cs="宋体"/>
                <w:kern w:val="0"/>
                <w:sz w:val="20"/>
                <w:szCs w:val="20"/>
              </w:rPr>
            </w:pPr>
            <w:r>
              <w:rPr>
                <w:rFonts w:hint="eastAsia" w:ascii="宋体" w:hAnsi="宋体" w:cs="宋体"/>
                <w:kern w:val="0"/>
                <w:sz w:val="20"/>
                <w:szCs w:val="20"/>
              </w:rPr>
              <w:t>　</w:t>
            </w:r>
          </w:p>
        </w:tc>
      </w:tr>
    </w:tbl>
    <w:p w14:paraId="01AEFF01">
      <w:pPr>
        <w:pStyle w:val="8"/>
      </w:pPr>
    </w:p>
    <w:p w14:paraId="4F328C95">
      <w:pPr>
        <w:pStyle w:val="9"/>
        <w:spacing w:before="240" w:after="360"/>
        <w:jc w:val="both"/>
        <w:rPr>
          <w:color w:val="000000"/>
        </w:rPr>
        <w:sectPr>
          <w:pgSz w:w="16838" w:h="11906" w:orient="landscape"/>
          <w:pgMar w:top="1418" w:right="1985" w:bottom="1418" w:left="1928" w:header="851" w:footer="992" w:gutter="113"/>
          <w:cols w:space="425" w:num="1"/>
          <w:titlePg/>
          <w:docGrid w:linePitch="312" w:charSpace="0"/>
        </w:sectPr>
      </w:pPr>
    </w:p>
    <w:p w14:paraId="75F7179F">
      <w:pPr>
        <w:pStyle w:val="9"/>
        <w:spacing w:before="240" w:after="360"/>
        <w:rPr>
          <w:rFonts w:hint="eastAsia" w:asciiTheme="majorEastAsia" w:hAnsiTheme="majorEastAsia" w:eastAsiaTheme="majorEastAsia" w:cstheme="majorEastAsia"/>
          <w:b/>
          <w:bCs/>
        </w:rPr>
      </w:pPr>
      <w:bookmarkStart w:id="1" w:name="_Toc499456576"/>
      <w:r>
        <w:rPr>
          <w:rFonts w:hint="eastAsia" w:asciiTheme="majorEastAsia" w:hAnsiTheme="majorEastAsia" w:eastAsiaTheme="majorEastAsia" w:cstheme="majorEastAsia"/>
          <w:b/>
          <w:bCs/>
        </w:rPr>
        <w:t>A105030</w:t>
      </w:r>
      <w:r>
        <w:rPr>
          <w:rFonts w:hint="eastAsia" w:asciiTheme="majorEastAsia" w:hAnsiTheme="majorEastAsia" w:eastAsiaTheme="majorEastAsia" w:cstheme="majorEastAsia"/>
          <w:b/>
          <w:bCs/>
        </w:rPr>
        <w:tab/>
      </w:r>
      <w:r>
        <w:rPr>
          <w:rFonts w:hint="eastAsia" w:asciiTheme="majorEastAsia" w:hAnsiTheme="majorEastAsia" w:eastAsiaTheme="majorEastAsia" w:cstheme="majorEastAsia"/>
          <w:b/>
          <w:bCs/>
        </w:rPr>
        <w:t>《投资收益纳税调整明细表》填报说明</w:t>
      </w:r>
      <w:bookmarkEnd w:id="1"/>
    </w:p>
    <w:p w14:paraId="2C786F93">
      <w:pPr>
        <w:pStyle w:val="8"/>
      </w:pPr>
      <w:r>
        <w:rPr>
          <w:rFonts w:hint="eastAsia"/>
        </w:rPr>
        <w:t>本表适用于发生投资收益纳税调整项目的纳税人及从事股权投资业务的纳税人填报。纳税人根据税法、《国家税务总局关于贯彻落实企业所得税法若干税收问题的通知》（国税函〔2010〕79号）等相关规定，以及国家统一企业会计制度，填报投资收益的会计处理、税收规定，以及纳税调整情况。发生持有期间投资收益，并按税收规定为减免税收入的(如国债利息收入等)，本表不作调整。处置投资项目按税收规定确认为损失的，本表不作调整，在《资产损失税前扣除及纳税调整明细表》(A105090)进行纳税调整。处置投资项目符合企业重组且适用特殊性税务处理规定的，本表不作调整，在《企业重组及递延纳税事项纳税调整明细表》（A105100）进行纳税调整。</w:t>
      </w:r>
    </w:p>
    <w:p w14:paraId="378616C1">
      <w:pPr>
        <w:pStyle w:val="10"/>
        <w:ind w:firstLine="482"/>
      </w:pPr>
      <w:r>
        <w:rPr>
          <w:rFonts w:hint="eastAsia"/>
        </w:rPr>
        <w:t>一、有关项目填报说明</w:t>
      </w:r>
    </w:p>
    <w:p w14:paraId="36BD2CB6">
      <w:pPr>
        <w:spacing w:line="360" w:lineRule="auto"/>
        <w:ind w:firstLine="480" w:firstLineChars="200"/>
        <w:rPr>
          <w:rFonts w:ascii="宋体" w:hAnsi="宋体"/>
          <w:color w:val="000000"/>
          <w:sz w:val="24"/>
        </w:rPr>
      </w:pPr>
      <w:r>
        <w:rPr>
          <w:rFonts w:hint="eastAsia" w:ascii="宋体" w:hAnsi="宋体"/>
          <w:color w:val="000000"/>
          <w:sz w:val="24"/>
        </w:rPr>
        <w:t>1.第1列“账载金额”：填报纳税人持有投资项目，会计核算确认的投资收益。</w:t>
      </w:r>
    </w:p>
    <w:p w14:paraId="4326B9A8">
      <w:pPr>
        <w:spacing w:line="360" w:lineRule="auto"/>
        <w:ind w:firstLine="480" w:firstLineChars="200"/>
        <w:rPr>
          <w:rFonts w:ascii="宋体" w:hAnsi="宋体"/>
          <w:color w:val="000000"/>
          <w:sz w:val="24"/>
        </w:rPr>
      </w:pPr>
      <w:r>
        <w:rPr>
          <w:rFonts w:hint="eastAsia" w:ascii="宋体" w:hAnsi="宋体"/>
          <w:color w:val="000000"/>
          <w:sz w:val="24"/>
        </w:rPr>
        <w:t>2.第2列“税收金额”：填报纳税人持有投资项目，按照税收规定确认的投资收益。</w:t>
      </w:r>
    </w:p>
    <w:p w14:paraId="22A579C4">
      <w:pPr>
        <w:spacing w:line="360" w:lineRule="auto"/>
        <w:ind w:firstLine="480" w:firstLineChars="200"/>
        <w:rPr>
          <w:rFonts w:ascii="宋体" w:hAnsi="宋体"/>
          <w:color w:val="000000"/>
          <w:sz w:val="24"/>
        </w:rPr>
      </w:pPr>
      <w:r>
        <w:rPr>
          <w:rFonts w:hint="eastAsia" w:ascii="宋体" w:hAnsi="宋体"/>
          <w:color w:val="000000"/>
          <w:sz w:val="24"/>
        </w:rPr>
        <w:t>3.第3列“纳税调整金额”：填报纳税人持有投资项目，会计核算确认投资收益与税收规定投资收益的差异需纳税调整金额，为第2-1列的余额。</w:t>
      </w:r>
    </w:p>
    <w:p w14:paraId="24FD3552">
      <w:pPr>
        <w:spacing w:line="360" w:lineRule="auto"/>
        <w:ind w:firstLine="480" w:firstLineChars="200"/>
        <w:rPr>
          <w:rFonts w:ascii="宋体" w:hAnsi="宋体"/>
          <w:color w:val="000000"/>
          <w:sz w:val="24"/>
        </w:rPr>
      </w:pPr>
      <w:r>
        <w:rPr>
          <w:rFonts w:hint="eastAsia" w:ascii="宋体" w:hAnsi="宋体"/>
          <w:color w:val="000000"/>
          <w:sz w:val="24"/>
        </w:rPr>
        <w:t>4.第4列“会计确认的处置收入”：填报纳税人收回、转让或清算处置投资项目，会计核算确认的扣除相关税费后的处置收入金额。</w:t>
      </w:r>
    </w:p>
    <w:p w14:paraId="2FF7E117">
      <w:pPr>
        <w:spacing w:line="360" w:lineRule="auto"/>
        <w:ind w:firstLine="480" w:firstLineChars="200"/>
        <w:rPr>
          <w:rFonts w:ascii="宋体" w:hAnsi="宋体"/>
          <w:color w:val="000000"/>
          <w:sz w:val="24"/>
        </w:rPr>
      </w:pPr>
      <w:r>
        <w:rPr>
          <w:rFonts w:hint="eastAsia" w:ascii="宋体" w:hAnsi="宋体"/>
          <w:color w:val="000000"/>
          <w:sz w:val="24"/>
        </w:rPr>
        <w:t>5.第5列“税收计算的处置收入”：填报纳税人收回、转让或清算处置投资项目，按照税收规定计算的扣除相关税费后的处置收入金额。</w:t>
      </w:r>
    </w:p>
    <w:p w14:paraId="07F14FB4">
      <w:pPr>
        <w:spacing w:line="360" w:lineRule="auto"/>
        <w:ind w:firstLine="480" w:firstLineChars="200"/>
        <w:rPr>
          <w:rFonts w:ascii="宋体" w:hAnsi="宋体"/>
          <w:color w:val="000000"/>
          <w:sz w:val="24"/>
        </w:rPr>
      </w:pPr>
      <w:r>
        <w:rPr>
          <w:rFonts w:hint="eastAsia" w:ascii="宋体" w:hAnsi="宋体"/>
          <w:color w:val="000000"/>
          <w:sz w:val="24"/>
        </w:rPr>
        <w:t>6.第6列“处置投资的账面价值”：填报纳税人收回、转让或清算处置的投资项目，会计核算的处置投资的账面价值。</w:t>
      </w:r>
    </w:p>
    <w:p w14:paraId="61D9680E">
      <w:pPr>
        <w:spacing w:line="360" w:lineRule="auto"/>
        <w:ind w:firstLine="480" w:firstLineChars="200"/>
        <w:rPr>
          <w:rFonts w:ascii="宋体" w:hAnsi="宋体"/>
          <w:color w:val="000000"/>
          <w:sz w:val="24"/>
        </w:rPr>
      </w:pPr>
      <w:r>
        <w:rPr>
          <w:rFonts w:hint="eastAsia" w:ascii="宋体" w:hAnsi="宋体"/>
          <w:color w:val="000000"/>
          <w:sz w:val="24"/>
        </w:rPr>
        <w:t>7.第7列“处置投资的计税基础”：填报纳税人收回、转让或清算处置的投资项目，按税收规定计算的处置投资的计税金额。</w:t>
      </w:r>
    </w:p>
    <w:p w14:paraId="3AE217EC">
      <w:pPr>
        <w:spacing w:line="360" w:lineRule="auto"/>
        <w:ind w:firstLine="480" w:firstLineChars="200"/>
        <w:rPr>
          <w:rFonts w:ascii="宋体" w:hAnsi="宋体"/>
          <w:color w:val="000000"/>
          <w:sz w:val="24"/>
        </w:rPr>
      </w:pPr>
      <w:r>
        <w:rPr>
          <w:rFonts w:hint="eastAsia" w:ascii="宋体" w:hAnsi="宋体"/>
          <w:color w:val="000000"/>
          <w:sz w:val="24"/>
        </w:rPr>
        <w:t>8.第8列“会计确认的处置所得或损失”：填报纳税人收回、转让或清算处置投资项目，会计核算确认的处置所得或损失，为第4-6列的余额，</w:t>
      </w:r>
      <w:r>
        <w:rPr>
          <w:rFonts w:hint="eastAsia" w:cs="Arial"/>
        </w:rPr>
        <w:t>损失以“-”号填列</w:t>
      </w:r>
      <w:r>
        <w:rPr>
          <w:rFonts w:hint="eastAsia" w:ascii="宋体" w:hAnsi="宋体"/>
          <w:color w:val="000000"/>
          <w:sz w:val="24"/>
        </w:rPr>
        <w:t>。</w:t>
      </w:r>
    </w:p>
    <w:p w14:paraId="3649D6E0">
      <w:pPr>
        <w:spacing w:line="360" w:lineRule="auto"/>
        <w:ind w:firstLine="480" w:firstLineChars="200"/>
        <w:rPr>
          <w:rFonts w:ascii="宋体" w:hAnsi="宋体" w:cs="Calibri"/>
          <w:color w:val="000000"/>
          <w:sz w:val="24"/>
        </w:rPr>
      </w:pPr>
      <w:r>
        <w:rPr>
          <w:rFonts w:hint="eastAsia" w:ascii="宋体" w:hAnsi="宋体"/>
          <w:color w:val="000000"/>
          <w:sz w:val="24"/>
        </w:rPr>
        <w:t>9.第9列“税收计算的处置所得”：填报纳税人收回、转让或清算处置投资项目，按照税收规定计算的处置所得，为第5-7列的余额。</w:t>
      </w:r>
    </w:p>
    <w:p w14:paraId="32B2CE1A">
      <w:pPr>
        <w:spacing w:line="360" w:lineRule="auto"/>
        <w:ind w:firstLine="480" w:firstLineChars="200"/>
        <w:rPr>
          <w:rFonts w:ascii="宋体" w:hAnsi="宋体"/>
          <w:color w:val="000000"/>
          <w:sz w:val="24"/>
        </w:rPr>
      </w:pPr>
      <w:r>
        <w:rPr>
          <w:rFonts w:hint="eastAsia" w:ascii="宋体" w:hAnsi="宋体"/>
          <w:color w:val="000000"/>
          <w:sz w:val="24"/>
        </w:rPr>
        <w:t>10.第10列“纳税调整金额”：填报纳税人收回、转让或清算处置投资项目，会计处理与税收规定不一致需纳税调整金额，为第9-8列的余额。</w:t>
      </w:r>
    </w:p>
    <w:p w14:paraId="7D17C30E">
      <w:pPr>
        <w:spacing w:line="360" w:lineRule="auto"/>
        <w:ind w:firstLine="480" w:firstLineChars="200"/>
        <w:rPr>
          <w:rFonts w:ascii="宋体" w:hAnsi="宋体"/>
          <w:color w:val="000000"/>
          <w:sz w:val="24"/>
        </w:rPr>
      </w:pPr>
      <w:r>
        <w:rPr>
          <w:rFonts w:hint="eastAsia" w:ascii="宋体" w:hAnsi="宋体"/>
          <w:color w:val="000000"/>
          <w:sz w:val="24"/>
        </w:rPr>
        <w:t>11.第11列“纳税调整金额”：填报第3+10列金额。</w:t>
      </w:r>
    </w:p>
    <w:p w14:paraId="607E2BB6">
      <w:pPr>
        <w:pStyle w:val="10"/>
        <w:ind w:firstLine="482"/>
      </w:pPr>
      <w:r>
        <w:rPr>
          <w:rFonts w:hint="eastAsia"/>
        </w:rPr>
        <w:t>二、表内、表间关系</w:t>
      </w:r>
    </w:p>
    <w:p w14:paraId="5C71060A">
      <w:pPr>
        <w:pStyle w:val="11"/>
      </w:pPr>
      <w:r>
        <w:rPr>
          <w:rFonts w:hint="eastAsia"/>
        </w:rPr>
        <w:t>（一）表内关系</w:t>
      </w:r>
    </w:p>
    <w:p w14:paraId="47B0620C">
      <w:pPr>
        <w:pStyle w:val="8"/>
        <w:rPr>
          <w:color w:val="000000"/>
        </w:rPr>
      </w:pPr>
      <w:r>
        <w:rPr>
          <w:rFonts w:hint="eastAsia"/>
          <w:color w:val="000000"/>
        </w:rPr>
        <w:t>1.第10行＝第1+2</w:t>
      </w:r>
      <w:r>
        <w:rPr>
          <w:color w:val="000000"/>
        </w:rPr>
        <w:t>+3+4+5+6+7+8+9</w:t>
      </w:r>
      <w:r>
        <w:rPr>
          <w:rFonts w:hint="eastAsia"/>
          <w:color w:val="000000"/>
        </w:rPr>
        <w:t>行。</w:t>
      </w:r>
    </w:p>
    <w:p w14:paraId="604F4315">
      <w:pPr>
        <w:pStyle w:val="8"/>
        <w:rPr>
          <w:color w:val="000000"/>
        </w:rPr>
      </w:pPr>
      <w:r>
        <w:rPr>
          <w:rFonts w:hint="eastAsia"/>
          <w:color w:val="000000"/>
        </w:rPr>
        <w:t>2.第3列＝第2-1列。</w:t>
      </w:r>
    </w:p>
    <w:p w14:paraId="6E47B1D7">
      <w:pPr>
        <w:pStyle w:val="8"/>
        <w:rPr>
          <w:color w:val="000000"/>
        </w:rPr>
      </w:pPr>
      <w:r>
        <w:rPr>
          <w:rFonts w:hint="eastAsia"/>
          <w:color w:val="000000"/>
        </w:rPr>
        <w:t>3.第8列＝第4-6列。</w:t>
      </w:r>
    </w:p>
    <w:p w14:paraId="77560774">
      <w:pPr>
        <w:pStyle w:val="8"/>
        <w:rPr>
          <w:color w:val="000000"/>
        </w:rPr>
      </w:pPr>
      <w:r>
        <w:rPr>
          <w:rFonts w:hint="eastAsia"/>
          <w:color w:val="000000"/>
        </w:rPr>
        <w:t>4.第9列＝第5-7列。</w:t>
      </w:r>
    </w:p>
    <w:p w14:paraId="53139D86">
      <w:pPr>
        <w:pStyle w:val="8"/>
        <w:rPr>
          <w:color w:val="000000"/>
        </w:rPr>
      </w:pPr>
      <w:r>
        <w:rPr>
          <w:rFonts w:hint="eastAsia"/>
          <w:color w:val="000000"/>
        </w:rPr>
        <w:t>5.第10列＝第9-8列。</w:t>
      </w:r>
    </w:p>
    <w:p w14:paraId="043D1BDF">
      <w:pPr>
        <w:pStyle w:val="8"/>
        <w:rPr>
          <w:color w:val="000000"/>
        </w:rPr>
      </w:pPr>
      <w:r>
        <w:rPr>
          <w:rFonts w:hint="eastAsia"/>
          <w:color w:val="000000"/>
        </w:rPr>
        <w:t>6.第11列＝第3+10列。</w:t>
      </w:r>
    </w:p>
    <w:p w14:paraId="78BCF037">
      <w:pPr>
        <w:pStyle w:val="11"/>
      </w:pPr>
      <w:r>
        <w:rPr>
          <w:rFonts w:hint="eastAsia"/>
        </w:rPr>
        <w:t>（二）表间关系</w:t>
      </w:r>
    </w:p>
    <w:p w14:paraId="04F289FA">
      <w:pPr>
        <w:pStyle w:val="8"/>
        <w:rPr>
          <w:color w:val="000000"/>
        </w:rPr>
      </w:pPr>
      <w:r>
        <w:rPr>
          <w:rFonts w:hint="eastAsia"/>
          <w:color w:val="000000"/>
        </w:rPr>
        <w:t>1.第10行1+8列＝表A105000第4行第1列。</w:t>
      </w:r>
    </w:p>
    <w:p w14:paraId="1D4D6BAA">
      <w:pPr>
        <w:pStyle w:val="8"/>
        <w:rPr>
          <w:rFonts w:hint="eastAsia"/>
          <w:color w:val="000000"/>
        </w:rPr>
      </w:pPr>
      <w:r>
        <w:rPr>
          <w:rFonts w:hint="eastAsia"/>
          <w:color w:val="000000"/>
        </w:rPr>
        <w:t>2.第10行2+9列＝表A105000第4行第2列。</w:t>
      </w:r>
    </w:p>
    <w:p w14:paraId="65AAB9A6">
      <w:pPr>
        <w:pStyle w:val="8"/>
      </w:pPr>
      <w:r>
        <w:rPr>
          <w:rFonts w:hint="eastAsia"/>
          <w:color w:val="000000"/>
        </w:rPr>
        <w:t>3.若第10行第11列≥0，第10行第11列＝表A105000第4行第3列；若第10行第11列＜0，第10行第11列绝对值＝表A105000第4行第4列。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01D15EE3"/>
    <w:rsid w:val="008318E5"/>
    <w:rsid w:val="01D15EE3"/>
    <w:rsid w:val="4CFC4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szCs w:val="20"/>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文件"/>
    <w:basedOn w:val="1"/>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6">
    <w:name w:val="SBBT2"/>
    <w:basedOn w:val="7"/>
    <w:qFormat/>
    <w:uiPriority w:val="0"/>
    <w:pPr>
      <w:tabs>
        <w:tab w:val="center" w:pos="4678"/>
        <w:tab w:val="center" w:pos="6521"/>
      </w:tabs>
    </w:pPr>
  </w:style>
  <w:style w:type="paragraph" w:customStyle="1" w:styleId="7">
    <w:name w:val="SBBT1"/>
    <w:basedOn w:val="8"/>
    <w:qFormat/>
    <w:uiPriority w:val="0"/>
    <w:pPr>
      <w:tabs>
        <w:tab w:val="center" w:pos="4678"/>
      </w:tabs>
      <w:ind w:firstLine="0" w:firstLineChars="0"/>
      <w:jc w:val="left"/>
      <w:outlineLvl w:val="0"/>
    </w:pPr>
    <w:rPr>
      <w:rFonts w:cs="宋体"/>
      <w:b/>
      <w:bCs/>
      <w:kern w:val="0"/>
      <w:sz w:val="28"/>
      <w:szCs w:val="28"/>
    </w:rPr>
  </w:style>
  <w:style w:type="paragraph" w:customStyle="1" w:styleId="8">
    <w:name w:val="SBBZW"/>
    <w:basedOn w:val="1"/>
    <w:qFormat/>
    <w:uiPriority w:val="0"/>
    <w:pPr>
      <w:spacing w:line="360" w:lineRule="auto"/>
      <w:ind w:firstLine="480" w:firstLineChars="200"/>
    </w:pPr>
    <w:rPr>
      <w:rFonts w:ascii="宋体" w:hAnsi="宋体"/>
      <w:sz w:val="24"/>
    </w:rPr>
  </w:style>
  <w:style w:type="paragraph" w:customStyle="1" w:styleId="9">
    <w:name w:val="SBBL1"/>
    <w:basedOn w:val="2"/>
    <w:qFormat/>
    <w:uiPriority w:val="0"/>
    <w:pPr>
      <w:spacing w:beforeLines="100" w:afterLines="150" w:line="360" w:lineRule="auto"/>
      <w:jc w:val="center"/>
    </w:pPr>
    <w:rPr>
      <w:rFonts w:ascii="方正小标宋简体" w:hAnsi="宋体" w:eastAsia="方正小标宋简体" w:cs="宋体"/>
      <w:b w:val="0"/>
      <w:sz w:val="28"/>
      <w:szCs w:val="28"/>
    </w:rPr>
  </w:style>
  <w:style w:type="paragraph" w:customStyle="1" w:styleId="10">
    <w:name w:val="SBBL2"/>
    <w:basedOn w:val="1"/>
    <w:qFormat/>
    <w:uiPriority w:val="0"/>
    <w:pPr>
      <w:spacing w:line="360" w:lineRule="auto"/>
      <w:ind w:firstLine="200" w:firstLineChars="200"/>
      <w:jc w:val="left"/>
      <w:outlineLvl w:val="1"/>
    </w:pPr>
    <w:rPr>
      <w:rFonts w:ascii="宋体" w:hAnsi="宋体" w:cs="Calibri"/>
      <w:b/>
      <w:sz w:val="24"/>
    </w:rPr>
  </w:style>
  <w:style w:type="paragraph" w:customStyle="1" w:styleId="11">
    <w:name w:val="SBBL3"/>
    <w:basedOn w:val="1"/>
    <w:qFormat/>
    <w:uiPriority w:val="0"/>
    <w:pPr>
      <w:spacing w:line="360" w:lineRule="auto"/>
      <w:ind w:firstLine="480" w:firstLineChars="200"/>
      <w:outlineLvl w:val="2"/>
    </w:pPr>
    <w:rPr>
      <w:rFonts w:ascii="黑体" w:hAnsi="黑体" w:eastAsia="黑体" w:cs="Calibri"/>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2024-08-10T11:49:00Z</dcterms:created>
  <dc:creator>www.shuiwu114.com</dc:creator>
  <cp:lastModifiedBy>www.shuiwu114.com</cp:lastModifiedBy>
  <dcterms:modified xsi:type="dcterms:W3CDTF">2024-08-10T11:50:51Z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94A399AC1CCF47D78CD07BBD225F1439_11</vt:lpwstr>
  </property>
</Properties>
</file>