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F4AA6">
      <w:pPr>
        <w:pStyle w:val="6"/>
      </w:pPr>
      <w:bookmarkStart w:id="0" w:name="_Toc499456579"/>
      <w:r>
        <w:rPr>
          <w:rFonts w:hint="eastAsia"/>
        </w:rPr>
        <w:t>A105050</w:t>
      </w:r>
      <w:r>
        <w:tab/>
      </w:r>
      <w:r>
        <w:rPr>
          <w:rFonts w:hint="eastAsia"/>
          <w:lang w:val="en-US" w:eastAsia="zh-CN"/>
        </w:rPr>
        <w:t xml:space="preserve">                              </w:t>
      </w:r>
      <w:bookmarkStart w:id="2" w:name="_GoBack"/>
      <w:bookmarkEnd w:id="2"/>
      <w:r>
        <w:rPr>
          <w:rFonts w:hint="eastAsia"/>
        </w:rPr>
        <w:t>职工薪酬支出及纳税调整明细表</w:t>
      </w:r>
      <w:bookmarkEnd w:id="0"/>
    </w:p>
    <w:tbl>
      <w:tblPr>
        <w:tblStyle w:val="3"/>
        <w:tblW w:w="133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4732"/>
        <w:gridCol w:w="1039"/>
        <w:gridCol w:w="945"/>
        <w:gridCol w:w="1111"/>
        <w:gridCol w:w="1467"/>
        <w:gridCol w:w="824"/>
        <w:gridCol w:w="1153"/>
        <w:gridCol w:w="1416"/>
      </w:tblGrid>
      <w:tr w14:paraId="30049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restart"/>
            <w:shd w:val="clear" w:color="auto" w:fill="auto"/>
            <w:noWrap w:val="0"/>
            <w:vAlign w:val="center"/>
          </w:tcPr>
          <w:p w14:paraId="517DD005">
            <w:pPr>
              <w:widowControl/>
              <w:rPr>
                <w:rFonts w:ascii="宋体" w:hAnsi="宋体" w:cs="宋体"/>
                <w:kern w:val="0"/>
                <w:sz w:val="20"/>
                <w:szCs w:val="20"/>
              </w:rPr>
            </w:pPr>
            <w:r>
              <w:rPr>
                <w:rFonts w:hint="eastAsia" w:ascii="宋体" w:hAnsi="宋体" w:cs="宋体"/>
                <w:kern w:val="0"/>
                <w:sz w:val="20"/>
                <w:szCs w:val="20"/>
              </w:rPr>
              <w:t>行次</w:t>
            </w:r>
          </w:p>
        </w:tc>
        <w:tc>
          <w:tcPr>
            <w:tcW w:w="4732" w:type="dxa"/>
            <w:vMerge w:val="restart"/>
            <w:shd w:val="clear" w:color="auto" w:fill="auto"/>
            <w:noWrap w:val="0"/>
            <w:vAlign w:val="center"/>
          </w:tcPr>
          <w:p w14:paraId="5E6493B1">
            <w:pPr>
              <w:widowControl/>
              <w:jc w:val="center"/>
              <w:rPr>
                <w:rFonts w:ascii="宋体" w:hAnsi="宋体" w:cs="宋体"/>
                <w:kern w:val="0"/>
                <w:sz w:val="20"/>
                <w:szCs w:val="20"/>
              </w:rPr>
            </w:pPr>
            <w:r>
              <w:rPr>
                <w:rFonts w:hint="eastAsia" w:ascii="宋体" w:hAnsi="宋体" w:cs="宋体"/>
                <w:spacing w:val="500"/>
                <w:kern w:val="0"/>
                <w:sz w:val="20"/>
                <w:szCs w:val="20"/>
                <w:fitText w:val="1400" w:id="549341170"/>
              </w:rPr>
              <w:t>项</w:t>
            </w:r>
            <w:r>
              <w:rPr>
                <w:rFonts w:hint="eastAsia" w:ascii="宋体" w:hAnsi="宋体" w:cs="宋体"/>
                <w:spacing w:val="0"/>
                <w:kern w:val="0"/>
                <w:sz w:val="20"/>
                <w:szCs w:val="20"/>
                <w:fitText w:val="1400" w:id="549341170"/>
              </w:rPr>
              <w:t>目</w:t>
            </w:r>
          </w:p>
        </w:tc>
        <w:tc>
          <w:tcPr>
            <w:tcW w:w="1039" w:type="dxa"/>
            <w:shd w:val="clear" w:color="auto" w:fill="auto"/>
            <w:noWrap w:val="0"/>
            <w:vAlign w:val="center"/>
          </w:tcPr>
          <w:p w14:paraId="44BB664B">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945" w:type="dxa"/>
            <w:shd w:val="clear" w:color="auto" w:fill="auto"/>
            <w:noWrap w:val="0"/>
            <w:vAlign w:val="center"/>
          </w:tcPr>
          <w:p w14:paraId="1856242E">
            <w:pPr>
              <w:widowControl/>
              <w:jc w:val="center"/>
              <w:rPr>
                <w:rFonts w:ascii="宋体" w:hAnsi="宋体" w:cs="宋体"/>
                <w:kern w:val="0"/>
                <w:sz w:val="20"/>
                <w:szCs w:val="20"/>
              </w:rPr>
            </w:pPr>
            <w:r>
              <w:rPr>
                <w:rFonts w:hint="eastAsia" w:ascii="宋体" w:hAnsi="宋体" w:cs="宋体"/>
                <w:kern w:val="0"/>
                <w:sz w:val="20"/>
                <w:szCs w:val="20"/>
              </w:rPr>
              <w:t>实际发生额</w:t>
            </w:r>
          </w:p>
        </w:tc>
        <w:tc>
          <w:tcPr>
            <w:tcW w:w="1111" w:type="dxa"/>
            <w:shd w:val="clear" w:color="auto" w:fill="auto"/>
            <w:noWrap w:val="0"/>
            <w:vAlign w:val="center"/>
          </w:tcPr>
          <w:p w14:paraId="165DC45C">
            <w:pPr>
              <w:widowControl/>
              <w:jc w:val="center"/>
              <w:rPr>
                <w:rFonts w:ascii="宋体" w:hAnsi="宋体" w:cs="宋体"/>
                <w:kern w:val="0"/>
                <w:sz w:val="20"/>
                <w:szCs w:val="20"/>
              </w:rPr>
            </w:pPr>
            <w:r>
              <w:rPr>
                <w:rFonts w:hint="eastAsia" w:ascii="宋体" w:hAnsi="宋体" w:cs="宋体"/>
                <w:kern w:val="0"/>
                <w:sz w:val="20"/>
                <w:szCs w:val="20"/>
              </w:rPr>
              <w:t>税收规定扣除率</w:t>
            </w:r>
          </w:p>
        </w:tc>
        <w:tc>
          <w:tcPr>
            <w:tcW w:w="1467" w:type="dxa"/>
            <w:shd w:val="clear" w:color="auto" w:fill="auto"/>
            <w:noWrap w:val="0"/>
            <w:vAlign w:val="center"/>
          </w:tcPr>
          <w:p w14:paraId="4A326B3C">
            <w:pPr>
              <w:widowControl/>
              <w:jc w:val="center"/>
              <w:rPr>
                <w:rFonts w:ascii="宋体" w:hAnsi="宋体" w:cs="宋体"/>
                <w:kern w:val="0"/>
                <w:sz w:val="20"/>
                <w:szCs w:val="20"/>
              </w:rPr>
            </w:pPr>
            <w:r>
              <w:rPr>
                <w:rFonts w:hint="eastAsia" w:ascii="宋体" w:hAnsi="宋体" w:cs="宋体"/>
                <w:kern w:val="0"/>
                <w:sz w:val="20"/>
                <w:szCs w:val="20"/>
              </w:rPr>
              <w:t>以前年度累计结转扣除额</w:t>
            </w:r>
          </w:p>
        </w:tc>
        <w:tc>
          <w:tcPr>
            <w:tcW w:w="824" w:type="dxa"/>
            <w:shd w:val="clear" w:color="auto" w:fill="auto"/>
            <w:noWrap w:val="0"/>
            <w:vAlign w:val="center"/>
          </w:tcPr>
          <w:p w14:paraId="25038169">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153" w:type="dxa"/>
            <w:shd w:val="clear" w:color="auto" w:fill="auto"/>
            <w:noWrap w:val="0"/>
            <w:vAlign w:val="center"/>
          </w:tcPr>
          <w:p w14:paraId="464129E9">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1416" w:type="dxa"/>
            <w:shd w:val="clear" w:color="auto" w:fill="auto"/>
            <w:noWrap w:val="0"/>
            <w:vAlign w:val="center"/>
          </w:tcPr>
          <w:p w14:paraId="09D65877">
            <w:pPr>
              <w:widowControl/>
              <w:jc w:val="center"/>
              <w:rPr>
                <w:rFonts w:ascii="宋体" w:hAnsi="宋体" w:cs="宋体"/>
                <w:kern w:val="0"/>
                <w:sz w:val="20"/>
                <w:szCs w:val="20"/>
              </w:rPr>
            </w:pPr>
            <w:r>
              <w:rPr>
                <w:rFonts w:hint="eastAsia" w:ascii="宋体" w:hAnsi="宋体" w:cs="宋体"/>
                <w:kern w:val="0"/>
                <w:sz w:val="20"/>
                <w:szCs w:val="20"/>
              </w:rPr>
              <w:t>累计结转以后年度扣除额</w:t>
            </w:r>
          </w:p>
        </w:tc>
      </w:tr>
      <w:tr w14:paraId="2401A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shd w:val="clear" w:color="auto" w:fill="auto"/>
            <w:noWrap w:val="0"/>
            <w:vAlign w:val="center"/>
          </w:tcPr>
          <w:p w14:paraId="2DE6583E">
            <w:pPr>
              <w:widowControl/>
              <w:jc w:val="left"/>
              <w:rPr>
                <w:rFonts w:ascii="宋体" w:hAnsi="宋体" w:cs="宋体"/>
                <w:kern w:val="0"/>
                <w:sz w:val="20"/>
                <w:szCs w:val="20"/>
              </w:rPr>
            </w:pPr>
          </w:p>
        </w:tc>
        <w:tc>
          <w:tcPr>
            <w:tcW w:w="4732" w:type="dxa"/>
            <w:vMerge w:val="continue"/>
            <w:shd w:val="clear" w:color="auto" w:fill="auto"/>
            <w:noWrap w:val="0"/>
            <w:vAlign w:val="center"/>
          </w:tcPr>
          <w:p w14:paraId="5C59F9D3">
            <w:pPr>
              <w:widowControl/>
              <w:jc w:val="left"/>
              <w:rPr>
                <w:rFonts w:ascii="宋体" w:hAnsi="宋体" w:cs="宋体"/>
                <w:kern w:val="0"/>
                <w:sz w:val="20"/>
                <w:szCs w:val="20"/>
              </w:rPr>
            </w:pPr>
          </w:p>
        </w:tc>
        <w:tc>
          <w:tcPr>
            <w:tcW w:w="1039" w:type="dxa"/>
            <w:shd w:val="clear" w:color="auto" w:fill="auto"/>
            <w:noWrap w:val="0"/>
            <w:vAlign w:val="center"/>
          </w:tcPr>
          <w:p w14:paraId="12884E10">
            <w:pPr>
              <w:widowControl/>
              <w:jc w:val="center"/>
              <w:rPr>
                <w:rFonts w:ascii="宋体" w:hAnsi="宋体" w:cs="宋体"/>
                <w:kern w:val="0"/>
                <w:sz w:val="20"/>
                <w:szCs w:val="20"/>
              </w:rPr>
            </w:pPr>
            <w:r>
              <w:rPr>
                <w:rFonts w:hint="eastAsia" w:ascii="宋体" w:hAnsi="宋体" w:cs="宋体"/>
                <w:kern w:val="0"/>
                <w:sz w:val="20"/>
                <w:szCs w:val="20"/>
              </w:rPr>
              <w:t>1</w:t>
            </w:r>
          </w:p>
        </w:tc>
        <w:tc>
          <w:tcPr>
            <w:tcW w:w="945" w:type="dxa"/>
            <w:shd w:val="clear" w:color="auto" w:fill="auto"/>
            <w:noWrap w:val="0"/>
            <w:vAlign w:val="center"/>
          </w:tcPr>
          <w:p w14:paraId="7C68CD15">
            <w:pPr>
              <w:widowControl/>
              <w:jc w:val="center"/>
              <w:rPr>
                <w:rFonts w:ascii="宋体" w:hAnsi="宋体" w:cs="宋体"/>
                <w:kern w:val="0"/>
                <w:sz w:val="20"/>
                <w:szCs w:val="20"/>
              </w:rPr>
            </w:pPr>
            <w:r>
              <w:rPr>
                <w:rFonts w:hint="eastAsia" w:ascii="宋体" w:hAnsi="宋体" w:cs="宋体"/>
                <w:kern w:val="0"/>
                <w:sz w:val="20"/>
                <w:szCs w:val="20"/>
              </w:rPr>
              <w:t>2</w:t>
            </w:r>
          </w:p>
        </w:tc>
        <w:tc>
          <w:tcPr>
            <w:tcW w:w="1111" w:type="dxa"/>
            <w:shd w:val="clear" w:color="auto" w:fill="auto"/>
            <w:noWrap w:val="0"/>
            <w:vAlign w:val="center"/>
          </w:tcPr>
          <w:p w14:paraId="2939629C">
            <w:pPr>
              <w:widowControl/>
              <w:jc w:val="center"/>
              <w:rPr>
                <w:rFonts w:ascii="宋体" w:hAnsi="宋体" w:cs="宋体"/>
                <w:kern w:val="0"/>
                <w:sz w:val="20"/>
                <w:szCs w:val="20"/>
              </w:rPr>
            </w:pPr>
            <w:r>
              <w:rPr>
                <w:rFonts w:hint="eastAsia" w:ascii="宋体" w:hAnsi="宋体" w:cs="宋体"/>
                <w:kern w:val="0"/>
                <w:sz w:val="20"/>
                <w:szCs w:val="20"/>
              </w:rPr>
              <w:t>3</w:t>
            </w:r>
          </w:p>
        </w:tc>
        <w:tc>
          <w:tcPr>
            <w:tcW w:w="1467" w:type="dxa"/>
            <w:shd w:val="clear" w:color="auto" w:fill="auto"/>
            <w:noWrap w:val="0"/>
            <w:vAlign w:val="center"/>
          </w:tcPr>
          <w:p w14:paraId="7C1A3183">
            <w:pPr>
              <w:widowControl/>
              <w:jc w:val="center"/>
              <w:rPr>
                <w:rFonts w:ascii="宋体" w:hAnsi="宋体" w:cs="宋体"/>
                <w:kern w:val="0"/>
                <w:sz w:val="20"/>
                <w:szCs w:val="20"/>
              </w:rPr>
            </w:pPr>
            <w:r>
              <w:rPr>
                <w:rFonts w:hint="eastAsia" w:ascii="宋体" w:hAnsi="宋体" w:cs="宋体"/>
                <w:kern w:val="0"/>
                <w:sz w:val="20"/>
                <w:szCs w:val="20"/>
              </w:rPr>
              <w:t>4</w:t>
            </w:r>
          </w:p>
        </w:tc>
        <w:tc>
          <w:tcPr>
            <w:tcW w:w="824" w:type="dxa"/>
            <w:shd w:val="clear" w:color="auto" w:fill="auto"/>
            <w:noWrap w:val="0"/>
            <w:vAlign w:val="center"/>
          </w:tcPr>
          <w:p w14:paraId="52918ED0">
            <w:pPr>
              <w:widowControl/>
              <w:jc w:val="center"/>
              <w:rPr>
                <w:rFonts w:ascii="宋体" w:hAnsi="宋体" w:cs="宋体"/>
                <w:kern w:val="0"/>
                <w:sz w:val="20"/>
                <w:szCs w:val="20"/>
              </w:rPr>
            </w:pPr>
            <w:r>
              <w:rPr>
                <w:rFonts w:hint="eastAsia" w:ascii="宋体" w:hAnsi="宋体" w:cs="宋体"/>
                <w:kern w:val="0"/>
                <w:sz w:val="20"/>
                <w:szCs w:val="20"/>
              </w:rPr>
              <w:t>5</w:t>
            </w:r>
          </w:p>
        </w:tc>
        <w:tc>
          <w:tcPr>
            <w:tcW w:w="1153" w:type="dxa"/>
            <w:shd w:val="clear" w:color="auto" w:fill="auto"/>
            <w:noWrap w:val="0"/>
            <w:vAlign w:val="center"/>
          </w:tcPr>
          <w:p w14:paraId="45814776">
            <w:pPr>
              <w:widowControl/>
              <w:jc w:val="center"/>
              <w:rPr>
                <w:rFonts w:ascii="宋体" w:hAnsi="宋体" w:cs="宋体"/>
                <w:kern w:val="0"/>
                <w:sz w:val="20"/>
                <w:szCs w:val="20"/>
              </w:rPr>
            </w:pPr>
            <w:r>
              <w:rPr>
                <w:rFonts w:hint="eastAsia" w:ascii="宋体" w:hAnsi="宋体" w:cs="宋体"/>
                <w:kern w:val="0"/>
                <w:sz w:val="20"/>
                <w:szCs w:val="20"/>
              </w:rPr>
              <w:t>6（1-5）</w:t>
            </w:r>
          </w:p>
        </w:tc>
        <w:tc>
          <w:tcPr>
            <w:tcW w:w="1416" w:type="dxa"/>
            <w:shd w:val="clear" w:color="auto" w:fill="auto"/>
            <w:noWrap w:val="0"/>
            <w:vAlign w:val="center"/>
          </w:tcPr>
          <w:p w14:paraId="4FD0B4C0">
            <w:pPr>
              <w:widowControl/>
              <w:jc w:val="center"/>
              <w:rPr>
                <w:rFonts w:ascii="宋体" w:hAnsi="宋体" w:cs="宋体"/>
                <w:kern w:val="0"/>
                <w:sz w:val="20"/>
                <w:szCs w:val="20"/>
              </w:rPr>
            </w:pPr>
            <w:r>
              <w:rPr>
                <w:rFonts w:hint="eastAsia" w:ascii="宋体" w:hAnsi="宋体" w:cs="宋体"/>
                <w:kern w:val="0"/>
                <w:sz w:val="20"/>
                <w:szCs w:val="20"/>
              </w:rPr>
              <w:t>7（1+4-5）</w:t>
            </w:r>
          </w:p>
        </w:tc>
      </w:tr>
      <w:tr w14:paraId="6E365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507E0322">
            <w:pPr>
              <w:widowControl/>
              <w:jc w:val="center"/>
              <w:rPr>
                <w:rFonts w:ascii="宋体" w:hAnsi="宋体" w:cs="宋体"/>
                <w:kern w:val="0"/>
                <w:sz w:val="20"/>
                <w:szCs w:val="20"/>
              </w:rPr>
            </w:pPr>
            <w:r>
              <w:rPr>
                <w:rFonts w:hint="eastAsia" w:ascii="宋体" w:hAnsi="宋体" w:cs="宋体"/>
                <w:kern w:val="0"/>
                <w:sz w:val="20"/>
                <w:szCs w:val="20"/>
              </w:rPr>
              <w:t>1</w:t>
            </w:r>
          </w:p>
        </w:tc>
        <w:tc>
          <w:tcPr>
            <w:tcW w:w="4732" w:type="dxa"/>
            <w:shd w:val="clear" w:color="auto" w:fill="auto"/>
            <w:noWrap w:val="0"/>
            <w:vAlign w:val="center"/>
          </w:tcPr>
          <w:p w14:paraId="1151BA07">
            <w:pPr>
              <w:widowControl/>
              <w:jc w:val="left"/>
              <w:rPr>
                <w:rFonts w:ascii="宋体" w:hAnsi="宋体" w:cs="宋体"/>
                <w:kern w:val="0"/>
                <w:sz w:val="20"/>
                <w:szCs w:val="20"/>
              </w:rPr>
            </w:pPr>
            <w:r>
              <w:rPr>
                <w:rFonts w:hint="eastAsia" w:ascii="宋体" w:hAnsi="宋体" w:cs="宋体"/>
                <w:kern w:val="0"/>
                <w:sz w:val="20"/>
                <w:szCs w:val="20"/>
              </w:rPr>
              <w:t>一、工资薪金支出</w:t>
            </w:r>
          </w:p>
        </w:tc>
        <w:tc>
          <w:tcPr>
            <w:tcW w:w="1039" w:type="dxa"/>
            <w:shd w:val="clear" w:color="auto" w:fill="auto"/>
            <w:noWrap w:val="0"/>
            <w:vAlign w:val="center"/>
          </w:tcPr>
          <w:p w14:paraId="6C47CA03">
            <w:pPr>
              <w:widowControl/>
              <w:jc w:val="center"/>
              <w:rPr>
                <w:rFonts w:ascii="宋体" w:hAnsi="宋体" w:cs="宋体"/>
                <w:kern w:val="0"/>
                <w:sz w:val="20"/>
                <w:szCs w:val="20"/>
              </w:rPr>
            </w:pPr>
          </w:p>
        </w:tc>
        <w:tc>
          <w:tcPr>
            <w:tcW w:w="945" w:type="dxa"/>
            <w:shd w:val="clear" w:color="auto" w:fill="auto"/>
            <w:noWrap w:val="0"/>
            <w:vAlign w:val="center"/>
          </w:tcPr>
          <w:p w14:paraId="6C08C13B">
            <w:pPr>
              <w:widowControl/>
              <w:jc w:val="center"/>
              <w:rPr>
                <w:rFonts w:ascii="宋体" w:hAnsi="宋体" w:cs="宋体"/>
                <w:kern w:val="0"/>
                <w:sz w:val="20"/>
                <w:szCs w:val="20"/>
              </w:rPr>
            </w:pPr>
          </w:p>
        </w:tc>
        <w:tc>
          <w:tcPr>
            <w:tcW w:w="1111" w:type="dxa"/>
            <w:shd w:val="clear" w:color="auto" w:fill="auto"/>
            <w:noWrap w:val="0"/>
            <w:vAlign w:val="center"/>
          </w:tcPr>
          <w:p w14:paraId="3ADA7993">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48BDA974">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4F831506">
            <w:pPr>
              <w:widowControl/>
              <w:jc w:val="center"/>
              <w:rPr>
                <w:rFonts w:ascii="宋体" w:hAnsi="宋体" w:cs="宋体"/>
                <w:kern w:val="0"/>
                <w:sz w:val="20"/>
                <w:szCs w:val="20"/>
              </w:rPr>
            </w:pPr>
          </w:p>
        </w:tc>
        <w:tc>
          <w:tcPr>
            <w:tcW w:w="1153" w:type="dxa"/>
            <w:shd w:val="clear" w:color="auto" w:fill="auto"/>
            <w:noWrap w:val="0"/>
            <w:vAlign w:val="center"/>
          </w:tcPr>
          <w:p w14:paraId="2D3E1FFB">
            <w:pPr>
              <w:widowControl/>
              <w:jc w:val="center"/>
              <w:rPr>
                <w:rFonts w:ascii="宋体" w:hAnsi="宋体" w:cs="宋体"/>
                <w:kern w:val="0"/>
                <w:sz w:val="20"/>
                <w:szCs w:val="20"/>
              </w:rPr>
            </w:pPr>
          </w:p>
        </w:tc>
        <w:tc>
          <w:tcPr>
            <w:tcW w:w="1416" w:type="dxa"/>
            <w:shd w:val="clear" w:color="auto" w:fill="auto"/>
            <w:noWrap w:val="0"/>
            <w:vAlign w:val="center"/>
          </w:tcPr>
          <w:p w14:paraId="66C93F2A">
            <w:pPr>
              <w:widowControl/>
              <w:jc w:val="center"/>
              <w:rPr>
                <w:rFonts w:ascii="宋体" w:hAnsi="宋体" w:cs="宋体"/>
                <w:kern w:val="0"/>
                <w:sz w:val="20"/>
                <w:szCs w:val="20"/>
              </w:rPr>
            </w:pPr>
            <w:r>
              <w:rPr>
                <w:rFonts w:hint="eastAsia" w:ascii="宋体" w:hAnsi="宋体" w:cs="宋体"/>
                <w:kern w:val="0"/>
                <w:sz w:val="20"/>
                <w:szCs w:val="20"/>
              </w:rPr>
              <w:t>*</w:t>
            </w:r>
          </w:p>
        </w:tc>
      </w:tr>
      <w:tr w14:paraId="35844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480CCA92">
            <w:pPr>
              <w:widowControl/>
              <w:jc w:val="center"/>
              <w:rPr>
                <w:rFonts w:ascii="宋体" w:hAnsi="宋体" w:cs="宋体"/>
                <w:kern w:val="0"/>
                <w:sz w:val="20"/>
                <w:szCs w:val="20"/>
              </w:rPr>
            </w:pPr>
            <w:r>
              <w:rPr>
                <w:rFonts w:hint="eastAsia" w:ascii="宋体" w:hAnsi="宋体" w:cs="宋体"/>
                <w:kern w:val="0"/>
                <w:sz w:val="20"/>
                <w:szCs w:val="20"/>
              </w:rPr>
              <w:t>2</w:t>
            </w:r>
          </w:p>
        </w:tc>
        <w:tc>
          <w:tcPr>
            <w:tcW w:w="4732" w:type="dxa"/>
            <w:shd w:val="clear" w:color="auto" w:fill="auto"/>
            <w:noWrap w:val="0"/>
            <w:vAlign w:val="center"/>
          </w:tcPr>
          <w:p w14:paraId="45018316">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其中：股权激励</w:t>
            </w:r>
          </w:p>
        </w:tc>
        <w:tc>
          <w:tcPr>
            <w:tcW w:w="1039" w:type="dxa"/>
            <w:shd w:val="clear" w:color="auto" w:fill="auto"/>
            <w:noWrap w:val="0"/>
            <w:vAlign w:val="center"/>
          </w:tcPr>
          <w:p w14:paraId="46F02A1E">
            <w:pPr>
              <w:widowControl/>
              <w:jc w:val="center"/>
              <w:rPr>
                <w:rFonts w:ascii="宋体" w:hAnsi="宋体" w:cs="宋体"/>
                <w:kern w:val="0"/>
                <w:sz w:val="20"/>
                <w:szCs w:val="20"/>
              </w:rPr>
            </w:pPr>
          </w:p>
        </w:tc>
        <w:tc>
          <w:tcPr>
            <w:tcW w:w="945" w:type="dxa"/>
            <w:shd w:val="clear" w:color="auto" w:fill="auto"/>
            <w:noWrap w:val="0"/>
            <w:vAlign w:val="center"/>
          </w:tcPr>
          <w:p w14:paraId="42394BAF">
            <w:pPr>
              <w:widowControl/>
              <w:jc w:val="center"/>
              <w:rPr>
                <w:rFonts w:ascii="宋体" w:hAnsi="宋体" w:cs="宋体"/>
                <w:kern w:val="0"/>
                <w:sz w:val="20"/>
                <w:szCs w:val="20"/>
              </w:rPr>
            </w:pPr>
          </w:p>
        </w:tc>
        <w:tc>
          <w:tcPr>
            <w:tcW w:w="1111" w:type="dxa"/>
            <w:shd w:val="clear" w:color="auto" w:fill="auto"/>
            <w:noWrap w:val="0"/>
            <w:vAlign w:val="center"/>
          </w:tcPr>
          <w:p w14:paraId="41FB8CEF">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2D6B2124">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6B39A5C9">
            <w:pPr>
              <w:widowControl/>
              <w:jc w:val="center"/>
              <w:rPr>
                <w:rFonts w:ascii="宋体" w:hAnsi="宋体" w:cs="宋体"/>
                <w:kern w:val="0"/>
                <w:sz w:val="20"/>
                <w:szCs w:val="20"/>
              </w:rPr>
            </w:pPr>
          </w:p>
        </w:tc>
        <w:tc>
          <w:tcPr>
            <w:tcW w:w="1153" w:type="dxa"/>
            <w:shd w:val="clear" w:color="auto" w:fill="auto"/>
            <w:noWrap w:val="0"/>
            <w:vAlign w:val="center"/>
          </w:tcPr>
          <w:p w14:paraId="38AE0918">
            <w:pPr>
              <w:widowControl/>
              <w:jc w:val="center"/>
              <w:rPr>
                <w:rFonts w:ascii="宋体" w:hAnsi="宋体" w:cs="宋体"/>
                <w:kern w:val="0"/>
                <w:sz w:val="20"/>
                <w:szCs w:val="20"/>
              </w:rPr>
            </w:pPr>
          </w:p>
        </w:tc>
        <w:tc>
          <w:tcPr>
            <w:tcW w:w="1416" w:type="dxa"/>
            <w:shd w:val="clear" w:color="auto" w:fill="auto"/>
            <w:noWrap w:val="0"/>
            <w:vAlign w:val="center"/>
          </w:tcPr>
          <w:p w14:paraId="403CD6A7">
            <w:pPr>
              <w:widowControl/>
              <w:jc w:val="center"/>
              <w:rPr>
                <w:rFonts w:ascii="宋体" w:hAnsi="宋体" w:cs="宋体"/>
                <w:kern w:val="0"/>
                <w:sz w:val="20"/>
                <w:szCs w:val="20"/>
              </w:rPr>
            </w:pPr>
            <w:r>
              <w:rPr>
                <w:rFonts w:hint="eastAsia" w:ascii="宋体" w:hAnsi="宋体" w:cs="宋体"/>
                <w:kern w:val="0"/>
                <w:sz w:val="20"/>
                <w:szCs w:val="20"/>
              </w:rPr>
              <w:t>*</w:t>
            </w:r>
          </w:p>
        </w:tc>
      </w:tr>
      <w:tr w14:paraId="6CD3C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2285E6C5">
            <w:pPr>
              <w:widowControl/>
              <w:jc w:val="center"/>
              <w:rPr>
                <w:rFonts w:ascii="宋体" w:hAnsi="宋体" w:cs="宋体"/>
                <w:kern w:val="0"/>
                <w:sz w:val="20"/>
                <w:szCs w:val="20"/>
              </w:rPr>
            </w:pPr>
            <w:r>
              <w:rPr>
                <w:rFonts w:hint="eastAsia" w:ascii="宋体" w:hAnsi="宋体" w:cs="宋体"/>
                <w:kern w:val="0"/>
                <w:sz w:val="20"/>
                <w:szCs w:val="20"/>
              </w:rPr>
              <w:t>3</w:t>
            </w:r>
          </w:p>
        </w:tc>
        <w:tc>
          <w:tcPr>
            <w:tcW w:w="4732" w:type="dxa"/>
            <w:shd w:val="clear" w:color="auto" w:fill="auto"/>
            <w:noWrap w:val="0"/>
            <w:vAlign w:val="center"/>
          </w:tcPr>
          <w:p w14:paraId="554BF13A">
            <w:pPr>
              <w:widowControl/>
              <w:jc w:val="left"/>
              <w:rPr>
                <w:rFonts w:ascii="宋体" w:hAnsi="宋体" w:cs="宋体"/>
                <w:kern w:val="0"/>
                <w:sz w:val="20"/>
                <w:szCs w:val="20"/>
              </w:rPr>
            </w:pPr>
            <w:r>
              <w:rPr>
                <w:rFonts w:hint="eastAsia" w:ascii="宋体" w:hAnsi="宋体" w:cs="宋体"/>
                <w:kern w:val="0"/>
                <w:sz w:val="20"/>
                <w:szCs w:val="20"/>
              </w:rPr>
              <w:t>二、职工福利费支出</w:t>
            </w:r>
          </w:p>
        </w:tc>
        <w:tc>
          <w:tcPr>
            <w:tcW w:w="1039" w:type="dxa"/>
            <w:shd w:val="clear" w:color="auto" w:fill="auto"/>
            <w:noWrap w:val="0"/>
            <w:vAlign w:val="center"/>
          </w:tcPr>
          <w:p w14:paraId="3DF6DB8B">
            <w:pPr>
              <w:widowControl/>
              <w:jc w:val="center"/>
              <w:rPr>
                <w:rFonts w:ascii="宋体" w:hAnsi="宋体" w:cs="宋体"/>
                <w:kern w:val="0"/>
                <w:sz w:val="20"/>
                <w:szCs w:val="20"/>
              </w:rPr>
            </w:pPr>
          </w:p>
        </w:tc>
        <w:tc>
          <w:tcPr>
            <w:tcW w:w="945" w:type="dxa"/>
            <w:shd w:val="clear" w:color="auto" w:fill="auto"/>
            <w:noWrap w:val="0"/>
            <w:vAlign w:val="center"/>
          </w:tcPr>
          <w:p w14:paraId="6D145CE1">
            <w:pPr>
              <w:widowControl/>
              <w:jc w:val="center"/>
              <w:rPr>
                <w:rFonts w:ascii="宋体" w:hAnsi="宋体" w:cs="宋体"/>
                <w:kern w:val="0"/>
                <w:sz w:val="20"/>
                <w:szCs w:val="20"/>
              </w:rPr>
            </w:pPr>
          </w:p>
        </w:tc>
        <w:tc>
          <w:tcPr>
            <w:tcW w:w="1111" w:type="dxa"/>
            <w:shd w:val="clear" w:color="auto" w:fill="auto"/>
            <w:noWrap w:val="0"/>
            <w:vAlign w:val="center"/>
          </w:tcPr>
          <w:p w14:paraId="460CF72D">
            <w:pPr>
              <w:widowControl/>
              <w:jc w:val="center"/>
              <w:rPr>
                <w:rFonts w:ascii="宋体" w:hAnsi="宋体" w:cs="宋体"/>
                <w:kern w:val="0"/>
                <w:sz w:val="20"/>
                <w:szCs w:val="20"/>
              </w:rPr>
            </w:pPr>
          </w:p>
        </w:tc>
        <w:tc>
          <w:tcPr>
            <w:tcW w:w="1467" w:type="dxa"/>
            <w:shd w:val="clear" w:color="auto" w:fill="auto"/>
            <w:noWrap w:val="0"/>
            <w:vAlign w:val="center"/>
          </w:tcPr>
          <w:p w14:paraId="05DEA4E8">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046DD666">
            <w:pPr>
              <w:widowControl/>
              <w:jc w:val="center"/>
              <w:rPr>
                <w:rFonts w:ascii="宋体" w:hAnsi="宋体" w:cs="宋体"/>
                <w:kern w:val="0"/>
                <w:sz w:val="20"/>
                <w:szCs w:val="20"/>
              </w:rPr>
            </w:pPr>
          </w:p>
        </w:tc>
        <w:tc>
          <w:tcPr>
            <w:tcW w:w="1153" w:type="dxa"/>
            <w:shd w:val="clear" w:color="auto" w:fill="auto"/>
            <w:noWrap w:val="0"/>
            <w:vAlign w:val="center"/>
          </w:tcPr>
          <w:p w14:paraId="54067FFB">
            <w:pPr>
              <w:widowControl/>
              <w:jc w:val="center"/>
              <w:rPr>
                <w:rFonts w:ascii="宋体" w:hAnsi="宋体" w:cs="宋体"/>
                <w:kern w:val="0"/>
                <w:sz w:val="20"/>
                <w:szCs w:val="20"/>
              </w:rPr>
            </w:pPr>
          </w:p>
        </w:tc>
        <w:tc>
          <w:tcPr>
            <w:tcW w:w="1416" w:type="dxa"/>
            <w:shd w:val="clear" w:color="auto" w:fill="auto"/>
            <w:noWrap w:val="0"/>
            <w:vAlign w:val="center"/>
          </w:tcPr>
          <w:p w14:paraId="57813218">
            <w:pPr>
              <w:widowControl/>
              <w:jc w:val="center"/>
              <w:rPr>
                <w:rFonts w:ascii="宋体" w:hAnsi="宋体" w:cs="宋体"/>
                <w:kern w:val="0"/>
                <w:sz w:val="20"/>
                <w:szCs w:val="20"/>
              </w:rPr>
            </w:pPr>
            <w:r>
              <w:rPr>
                <w:rFonts w:hint="eastAsia" w:ascii="宋体" w:hAnsi="宋体" w:cs="宋体"/>
                <w:kern w:val="0"/>
                <w:sz w:val="20"/>
                <w:szCs w:val="20"/>
              </w:rPr>
              <w:t>*</w:t>
            </w:r>
          </w:p>
        </w:tc>
      </w:tr>
      <w:tr w14:paraId="3E969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4297D9DF">
            <w:pPr>
              <w:widowControl/>
              <w:jc w:val="center"/>
              <w:rPr>
                <w:rFonts w:ascii="宋体" w:hAnsi="宋体" w:cs="宋体"/>
                <w:kern w:val="0"/>
                <w:sz w:val="20"/>
                <w:szCs w:val="20"/>
              </w:rPr>
            </w:pPr>
            <w:r>
              <w:rPr>
                <w:rFonts w:hint="eastAsia" w:ascii="宋体" w:hAnsi="宋体" w:cs="宋体"/>
                <w:kern w:val="0"/>
                <w:sz w:val="20"/>
                <w:szCs w:val="20"/>
              </w:rPr>
              <w:t>4</w:t>
            </w:r>
          </w:p>
        </w:tc>
        <w:tc>
          <w:tcPr>
            <w:tcW w:w="4732" w:type="dxa"/>
            <w:shd w:val="clear" w:color="auto" w:fill="auto"/>
            <w:noWrap w:val="0"/>
            <w:vAlign w:val="center"/>
          </w:tcPr>
          <w:p w14:paraId="1D6594AF">
            <w:pPr>
              <w:widowControl/>
              <w:jc w:val="left"/>
              <w:rPr>
                <w:rFonts w:ascii="宋体" w:hAnsi="宋体" w:cs="宋体"/>
                <w:kern w:val="0"/>
                <w:sz w:val="20"/>
                <w:szCs w:val="20"/>
              </w:rPr>
            </w:pPr>
            <w:r>
              <w:rPr>
                <w:rFonts w:hint="eastAsia" w:ascii="宋体" w:hAnsi="宋体" w:cs="宋体"/>
                <w:kern w:val="0"/>
                <w:sz w:val="20"/>
                <w:szCs w:val="20"/>
              </w:rPr>
              <w:t>三、职工教育经费支出</w:t>
            </w:r>
          </w:p>
        </w:tc>
        <w:tc>
          <w:tcPr>
            <w:tcW w:w="1039" w:type="dxa"/>
            <w:shd w:val="clear" w:color="auto" w:fill="auto"/>
            <w:noWrap w:val="0"/>
            <w:vAlign w:val="center"/>
          </w:tcPr>
          <w:p w14:paraId="2A9A8B7D">
            <w:pPr>
              <w:widowControl/>
              <w:jc w:val="center"/>
              <w:rPr>
                <w:rFonts w:ascii="宋体" w:hAnsi="宋体" w:cs="宋体"/>
                <w:kern w:val="0"/>
                <w:sz w:val="20"/>
                <w:szCs w:val="20"/>
              </w:rPr>
            </w:pPr>
          </w:p>
        </w:tc>
        <w:tc>
          <w:tcPr>
            <w:tcW w:w="945" w:type="dxa"/>
            <w:shd w:val="clear" w:color="auto" w:fill="auto"/>
            <w:noWrap w:val="0"/>
            <w:vAlign w:val="center"/>
          </w:tcPr>
          <w:p w14:paraId="1D62EE13">
            <w:pPr>
              <w:widowControl/>
              <w:jc w:val="center"/>
              <w:rPr>
                <w:rFonts w:ascii="宋体" w:hAnsi="宋体" w:cs="宋体"/>
                <w:kern w:val="0"/>
                <w:sz w:val="20"/>
                <w:szCs w:val="20"/>
              </w:rPr>
            </w:pPr>
          </w:p>
        </w:tc>
        <w:tc>
          <w:tcPr>
            <w:tcW w:w="1111" w:type="dxa"/>
            <w:shd w:val="clear" w:color="auto" w:fill="auto"/>
            <w:noWrap w:val="0"/>
            <w:vAlign w:val="center"/>
          </w:tcPr>
          <w:p w14:paraId="6AB25DCE">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3CE03A0A">
            <w:pPr>
              <w:widowControl/>
              <w:jc w:val="center"/>
              <w:rPr>
                <w:rFonts w:ascii="宋体" w:hAnsi="宋体" w:cs="宋体"/>
                <w:kern w:val="0"/>
                <w:sz w:val="20"/>
                <w:szCs w:val="20"/>
              </w:rPr>
            </w:pPr>
          </w:p>
        </w:tc>
        <w:tc>
          <w:tcPr>
            <w:tcW w:w="824" w:type="dxa"/>
            <w:shd w:val="clear" w:color="auto" w:fill="auto"/>
            <w:noWrap w:val="0"/>
            <w:vAlign w:val="center"/>
          </w:tcPr>
          <w:p w14:paraId="100234A3">
            <w:pPr>
              <w:widowControl/>
              <w:jc w:val="center"/>
              <w:rPr>
                <w:rFonts w:ascii="宋体" w:hAnsi="宋体" w:cs="宋体"/>
                <w:kern w:val="0"/>
                <w:sz w:val="20"/>
                <w:szCs w:val="20"/>
              </w:rPr>
            </w:pPr>
          </w:p>
        </w:tc>
        <w:tc>
          <w:tcPr>
            <w:tcW w:w="1153" w:type="dxa"/>
            <w:shd w:val="clear" w:color="auto" w:fill="auto"/>
            <w:noWrap w:val="0"/>
            <w:vAlign w:val="center"/>
          </w:tcPr>
          <w:p w14:paraId="65F2B765">
            <w:pPr>
              <w:widowControl/>
              <w:jc w:val="center"/>
              <w:rPr>
                <w:rFonts w:ascii="宋体" w:hAnsi="宋体" w:cs="宋体"/>
                <w:kern w:val="0"/>
                <w:sz w:val="20"/>
                <w:szCs w:val="20"/>
              </w:rPr>
            </w:pPr>
          </w:p>
        </w:tc>
        <w:tc>
          <w:tcPr>
            <w:tcW w:w="1416" w:type="dxa"/>
            <w:shd w:val="clear" w:color="auto" w:fill="auto"/>
            <w:noWrap w:val="0"/>
            <w:vAlign w:val="center"/>
          </w:tcPr>
          <w:p w14:paraId="75E8410A">
            <w:pPr>
              <w:widowControl/>
              <w:jc w:val="center"/>
              <w:rPr>
                <w:rFonts w:ascii="宋体" w:hAnsi="宋体" w:cs="宋体"/>
                <w:kern w:val="0"/>
                <w:sz w:val="20"/>
                <w:szCs w:val="20"/>
              </w:rPr>
            </w:pPr>
          </w:p>
        </w:tc>
      </w:tr>
      <w:tr w14:paraId="3DE9E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34D14752">
            <w:pPr>
              <w:widowControl/>
              <w:jc w:val="center"/>
              <w:rPr>
                <w:rFonts w:ascii="宋体" w:hAnsi="宋体" w:cs="宋体"/>
                <w:kern w:val="0"/>
                <w:sz w:val="20"/>
                <w:szCs w:val="20"/>
              </w:rPr>
            </w:pPr>
            <w:r>
              <w:rPr>
                <w:rFonts w:hint="eastAsia" w:ascii="宋体" w:hAnsi="宋体" w:cs="宋体"/>
                <w:kern w:val="0"/>
                <w:sz w:val="20"/>
                <w:szCs w:val="20"/>
              </w:rPr>
              <w:t>5</w:t>
            </w:r>
          </w:p>
        </w:tc>
        <w:tc>
          <w:tcPr>
            <w:tcW w:w="4732" w:type="dxa"/>
            <w:shd w:val="clear" w:color="auto" w:fill="auto"/>
            <w:noWrap w:val="0"/>
            <w:vAlign w:val="center"/>
          </w:tcPr>
          <w:p w14:paraId="01246B5D">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其中：按税收规定比例扣除的职工教育经费</w:t>
            </w:r>
          </w:p>
        </w:tc>
        <w:tc>
          <w:tcPr>
            <w:tcW w:w="1039" w:type="dxa"/>
            <w:shd w:val="clear" w:color="auto" w:fill="auto"/>
            <w:noWrap w:val="0"/>
            <w:vAlign w:val="center"/>
          </w:tcPr>
          <w:p w14:paraId="71FE3002">
            <w:pPr>
              <w:widowControl/>
              <w:jc w:val="center"/>
              <w:rPr>
                <w:rFonts w:ascii="宋体" w:hAnsi="宋体" w:cs="宋体"/>
                <w:kern w:val="0"/>
                <w:sz w:val="20"/>
                <w:szCs w:val="20"/>
              </w:rPr>
            </w:pPr>
          </w:p>
        </w:tc>
        <w:tc>
          <w:tcPr>
            <w:tcW w:w="945" w:type="dxa"/>
            <w:shd w:val="clear" w:color="auto" w:fill="auto"/>
            <w:noWrap w:val="0"/>
            <w:vAlign w:val="center"/>
          </w:tcPr>
          <w:p w14:paraId="6536698F">
            <w:pPr>
              <w:widowControl/>
              <w:jc w:val="center"/>
              <w:rPr>
                <w:rFonts w:ascii="宋体" w:hAnsi="宋体" w:cs="宋体"/>
                <w:kern w:val="0"/>
                <w:sz w:val="20"/>
                <w:szCs w:val="20"/>
              </w:rPr>
            </w:pPr>
          </w:p>
        </w:tc>
        <w:tc>
          <w:tcPr>
            <w:tcW w:w="1111" w:type="dxa"/>
            <w:shd w:val="clear" w:color="auto" w:fill="auto"/>
            <w:noWrap w:val="0"/>
            <w:vAlign w:val="center"/>
          </w:tcPr>
          <w:p w14:paraId="2DC92B7E">
            <w:pPr>
              <w:widowControl/>
              <w:jc w:val="center"/>
              <w:rPr>
                <w:rFonts w:ascii="宋体" w:hAnsi="宋体" w:cs="宋体"/>
                <w:kern w:val="0"/>
                <w:sz w:val="20"/>
                <w:szCs w:val="20"/>
              </w:rPr>
            </w:pPr>
          </w:p>
        </w:tc>
        <w:tc>
          <w:tcPr>
            <w:tcW w:w="1467" w:type="dxa"/>
            <w:shd w:val="clear" w:color="auto" w:fill="auto"/>
            <w:noWrap w:val="0"/>
            <w:vAlign w:val="center"/>
          </w:tcPr>
          <w:p w14:paraId="7B15B30B">
            <w:pPr>
              <w:widowControl/>
              <w:jc w:val="center"/>
              <w:rPr>
                <w:rFonts w:ascii="宋体" w:hAnsi="宋体" w:cs="宋体"/>
                <w:kern w:val="0"/>
                <w:sz w:val="20"/>
                <w:szCs w:val="20"/>
              </w:rPr>
            </w:pPr>
          </w:p>
        </w:tc>
        <w:tc>
          <w:tcPr>
            <w:tcW w:w="824" w:type="dxa"/>
            <w:shd w:val="clear" w:color="auto" w:fill="auto"/>
            <w:noWrap w:val="0"/>
            <w:vAlign w:val="center"/>
          </w:tcPr>
          <w:p w14:paraId="076F0314">
            <w:pPr>
              <w:widowControl/>
              <w:jc w:val="center"/>
              <w:rPr>
                <w:rFonts w:ascii="宋体" w:hAnsi="宋体" w:cs="宋体"/>
                <w:kern w:val="0"/>
                <w:sz w:val="20"/>
                <w:szCs w:val="20"/>
              </w:rPr>
            </w:pPr>
          </w:p>
        </w:tc>
        <w:tc>
          <w:tcPr>
            <w:tcW w:w="1153" w:type="dxa"/>
            <w:shd w:val="clear" w:color="auto" w:fill="auto"/>
            <w:noWrap w:val="0"/>
            <w:vAlign w:val="center"/>
          </w:tcPr>
          <w:p w14:paraId="602E4280">
            <w:pPr>
              <w:widowControl/>
              <w:jc w:val="center"/>
              <w:rPr>
                <w:rFonts w:ascii="宋体" w:hAnsi="宋体" w:cs="宋体"/>
                <w:kern w:val="0"/>
                <w:sz w:val="20"/>
                <w:szCs w:val="20"/>
              </w:rPr>
            </w:pPr>
          </w:p>
        </w:tc>
        <w:tc>
          <w:tcPr>
            <w:tcW w:w="1416" w:type="dxa"/>
            <w:shd w:val="clear" w:color="auto" w:fill="auto"/>
            <w:noWrap w:val="0"/>
            <w:vAlign w:val="center"/>
          </w:tcPr>
          <w:p w14:paraId="24868BAF">
            <w:pPr>
              <w:widowControl/>
              <w:jc w:val="center"/>
              <w:rPr>
                <w:rFonts w:ascii="宋体" w:hAnsi="宋体" w:cs="宋体"/>
                <w:kern w:val="0"/>
                <w:sz w:val="20"/>
                <w:szCs w:val="20"/>
              </w:rPr>
            </w:pPr>
          </w:p>
        </w:tc>
      </w:tr>
      <w:tr w14:paraId="1EC4F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70E515AE">
            <w:pPr>
              <w:widowControl/>
              <w:jc w:val="center"/>
              <w:rPr>
                <w:rFonts w:ascii="宋体" w:hAnsi="宋体" w:cs="宋体"/>
                <w:kern w:val="0"/>
                <w:sz w:val="20"/>
                <w:szCs w:val="20"/>
              </w:rPr>
            </w:pPr>
            <w:r>
              <w:rPr>
                <w:rFonts w:hint="eastAsia" w:ascii="宋体" w:hAnsi="宋体" w:cs="宋体"/>
                <w:kern w:val="0"/>
                <w:sz w:val="20"/>
                <w:szCs w:val="20"/>
              </w:rPr>
              <w:t>6</w:t>
            </w:r>
          </w:p>
        </w:tc>
        <w:tc>
          <w:tcPr>
            <w:tcW w:w="4732" w:type="dxa"/>
            <w:shd w:val="clear" w:color="auto" w:fill="auto"/>
            <w:noWrap w:val="0"/>
            <w:vAlign w:val="center"/>
          </w:tcPr>
          <w:p w14:paraId="42764709">
            <w:pPr>
              <w:widowControl/>
              <w:ind w:firstLine="1000" w:firstLineChars="500"/>
              <w:jc w:val="left"/>
              <w:rPr>
                <w:rFonts w:ascii="宋体" w:hAnsi="宋体" w:cs="宋体"/>
                <w:kern w:val="0"/>
                <w:sz w:val="20"/>
                <w:szCs w:val="20"/>
              </w:rPr>
            </w:pPr>
            <w:r>
              <w:rPr>
                <w:rFonts w:hint="eastAsia" w:ascii="宋体" w:hAnsi="宋体" w:cs="宋体"/>
                <w:kern w:val="0"/>
                <w:sz w:val="20"/>
                <w:szCs w:val="20"/>
              </w:rPr>
              <w:t>按税收规定全额扣除的职工培训费用</w:t>
            </w:r>
          </w:p>
        </w:tc>
        <w:tc>
          <w:tcPr>
            <w:tcW w:w="1039" w:type="dxa"/>
            <w:shd w:val="clear" w:color="auto" w:fill="auto"/>
            <w:noWrap w:val="0"/>
            <w:vAlign w:val="center"/>
          </w:tcPr>
          <w:p w14:paraId="2D390CD8">
            <w:pPr>
              <w:widowControl/>
              <w:jc w:val="center"/>
              <w:rPr>
                <w:rFonts w:ascii="宋体" w:hAnsi="宋体" w:cs="宋体"/>
                <w:kern w:val="0"/>
                <w:sz w:val="20"/>
                <w:szCs w:val="20"/>
              </w:rPr>
            </w:pPr>
          </w:p>
        </w:tc>
        <w:tc>
          <w:tcPr>
            <w:tcW w:w="945" w:type="dxa"/>
            <w:shd w:val="clear" w:color="auto" w:fill="auto"/>
            <w:noWrap w:val="0"/>
            <w:vAlign w:val="center"/>
          </w:tcPr>
          <w:p w14:paraId="49F7A5D2">
            <w:pPr>
              <w:widowControl/>
              <w:jc w:val="center"/>
              <w:rPr>
                <w:rFonts w:ascii="宋体" w:hAnsi="宋体" w:cs="宋体"/>
                <w:kern w:val="0"/>
                <w:sz w:val="20"/>
                <w:szCs w:val="20"/>
              </w:rPr>
            </w:pPr>
          </w:p>
        </w:tc>
        <w:tc>
          <w:tcPr>
            <w:tcW w:w="1111" w:type="dxa"/>
            <w:shd w:val="clear" w:color="auto" w:fill="auto"/>
            <w:noWrap w:val="0"/>
            <w:vAlign w:val="center"/>
          </w:tcPr>
          <w:p w14:paraId="20B47702">
            <w:pPr>
              <w:widowControl/>
              <w:jc w:val="center"/>
              <w:rPr>
                <w:rFonts w:ascii="宋体" w:hAnsi="宋体" w:cs="宋体"/>
                <w:kern w:val="0"/>
                <w:sz w:val="20"/>
                <w:szCs w:val="20"/>
              </w:rPr>
            </w:pPr>
          </w:p>
        </w:tc>
        <w:tc>
          <w:tcPr>
            <w:tcW w:w="1467" w:type="dxa"/>
            <w:shd w:val="clear" w:color="auto" w:fill="auto"/>
            <w:noWrap w:val="0"/>
            <w:vAlign w:val="center"/>
          </w:tcPr>
          <w:p w14:paraId="5051FF44">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4C2D7CA0">
            <w:pPr>
              <w:widowControl/>
              <w:jc w:val="center"/>
              <w:rPr>
                <w:rFonts w:ascii="宋体" w:hAnsi="宋体" w:cs="宋体"/>
                <w:kern w:val="0"/>
                <w:sz w:val="20"/>
                <w:szCs w:val="20"/>
              </w:rPr>
            </w:pPr>
          </w:p>
        </w:tc>
        <w:tc>
          <w:tcPr>
            <w:tcW w:w="1153" w:type="dxa"/>
            <w:shd w:val="clear" w:color="auto" w:fill="auto"/>
            <w:noWrap w:val="0"/>
            <w:vAlign w:val="center"/>
          </w:tcPr>
          <w:p w14:paraId="47DC04D9">
            <w:pPr>
              <w:widowControl/>
              <w:jc w:val="center"/>
              <w:rPr>
                <w:rFonts w:ascii="宋体" w:hAnsi="宋体" w:cs="宋体"/>
                <w:kern w:val="0"/>
                <w:sz w:val="20"/>
                <w:szCs w:val="20"/>
              </w:rPr>
            </w:pPr>
          </w:p>
        </w:tc>
        <w:tc>
          <w:tcPr>
            <w:tcW w:w="1416" w:type="dxa"/>
            <w:shd w:val="clear" w:color="auto" w:fill="auto"/>
            <w:noWrap w:val="0"/>
            <w:vAlign w:val="center"/>
          </w:tcPr>
          <w:p w14:paraId="40C3522C">
            <w:pPr>
              <w:widowControl/>
              <w:jc w:val="center"/>
              <w:rPr>
                <w:rFonts w:ascii="宋体" w:hAnsi="宋体" w:cs="宋体"/>
                <w:kern w:val="0"/>
                <w:sz w:val="20"/>
                <w:szCs w:val="20"/>
              </w:rPr>
            </w:pPr>
            <w:r>
              <w:rPr>
                <w:rFonts w:hint="eastAsia" w:ascii="宋体" w:hAnsi="宋体" w:cs="宋体"/>
                <w:kern w:val="0"/>
                <w:sz w:val="20"/>
                <w:szCs w:val="20"/>
              </w:rPr>
              <w:t>*</w:t>
            </w:r>
          </w:p>
        </w:tc>
      </w:tr>
      <w:tr w14:paraId="2C89F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3D7550FB">
            <w:pPr>
              <w:widowControl/>
              <w:jc w:val="center"/>
              <w:rPr>
                <w:rFonts w:ascii="宋体" w:hAnsi="宋体" w:cs="宋体"/>
                <w:kern w:val="0"/>
                <w:sz w:val="20"/>
                <w:szCs w:val="20"/>
              </w:rPr>
            </w:pPr>
            <w:r>
              <w:rPr>
                <w:rFonts w:hint="eastAsia" w:ascii="宋体" w:hAnsi="宋体" w:cs="宋体"/>
                <w:kern w:val="0"/>
                <w:sz w:val="20"/>
                <w:szCs w:val="20"/>
              </w:rPr>
              <w:t>7</w:t>
            </w:r>
          </w:p>
        </w:tc>
        <w:tc>
          <w:tcPr>
            <w:tcW w:w="4732" w:type="dxa"/>
            <w:shd w:val="clear" w:color="auto" w:fill="auto"/>
            <w:noWrap w:val="0"/>
            <w:vAlign w:val="center"/>
          </w:tcPr>
          <w:p w14:paraId="4FAA89F9">
            <w:pPr>
              <w:widowControl/>
              <w:jc w:val="left"/>
              <w:rPr>
                <w:rFonts w:ascii="宋体" w:hAnsi="宋体" w:cs="宋体"/>
                <w:kern w:val="0"/>
                <w:sz w:val="20"/>
                <w:szCs w:val="20"/>
              </w:rPr>
            </w:pPr>
            <w:r>
              <w:rPr>
                <w:rFonts w:hint="eastAsia" w:ascii="宋体" w:hAnsi="宋体" w:cs="宋体"/>
                <w:kern w:val="0"/>
                <w:sz w:val="20"/>
                <w:szCs w:val="20"/>
              </w:rPr>
              <w:t>四、工会经费支出</w:t>
            </w:r>
          </w:p>
        </w:tc>
        <w:tc>
          <w:tcPr>
            <w:tcW w:w="1039" w:type="dxa"/>
            <w:shd w:val="clear" w:color="auto" w:fill="auto"/>
            <w:noWrap w:val="0"/>
            <w:vAlign w:val="center"/>
          </w:tcPr>
          <w:p w14:paraId="108525E6">
            <w:pPr>
              <w:widowControl/>
              <w:jc w:val="center"/>
              <w:rPr>
                <w:rFonts w:ascii="宋体" w:hAnsi="宋体" w:cs="宋体"/>
                <w:kern w:val="0"/>
                <w:sz w:val="20"/>
                <w:szCs w:val="20"/>
              </w:rPr>
            </w:pPr>
          </w:p>
        </w:tc>
        <w:tc>
          <w:tcPr>
            <w:tcW w:w="945" w:type="dxa"/>
            <w:shd w:val="clear" w:color="auto" w:fill="auto"/>
            <w:noWrap w:val="0"/>
            <w:vAlign w:val="center"/>
          </w:tcPr>
          <w:p w14:paraId="06E52557">
            <w:pPr>
              <w:widowControl/>
              <w:jc w:val="center"/>
              <w:rPr>
                <w:rFonts w:ascii="宋体" w:hAnsi="宋体" w:cs="宋体"/>
                <w:kern w:val="0"/>
                <w:sz w:val="20"/>
                <w:szCs w:val="20"/>
              </w:rPr>
            </w:pPr>
          </w:p>
        </w:tc>
        <w:tc>
          <w:tcPr>
            <w:tcW w:w="1111" w:type="dxa"/>
            <w:shd w:val="clear" w:color="auto" w:fill="auto"/>
            <w:noWrap w:val="0"/>
            <w:vAlign w:val="center"/>
          </w:tcPr>
          <w:p w14:paraId="65CA4E1E">
            <w:pPr>
              <w:widowControl/>
              <w:jc w:val="center"/>
              <w:rPr>
                <w:rFonts w:ascii="宋体" w:hAnsi="宋体" w:cs="宋体"/>
                <w:kern w:val="0"/>
                <w:sz w:val="20"/>
                <w:szCs w:val="20"/>
              </w:rPr>
            </w:pPr>
          </w:p>
        </w:tc>
        <w:tc>
          <w:tcPr>
            <w:tcW w:w="1467" w:type="dxa"/>
            <w:shd w:val="clear" w:color="auto" w:fill="auto"/>
            <w:noWrap w:val="0"/>
            <w:vAlign w:val="center"/>
          </w:tcPr>
          <w:p w14:paraId="02A4EDCD">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41ACB9C5">
            <w:pPr>
              <w:widowControl/>
              <w:jc w:val="center"/>
              <w:rPr>
                <w:rFonts w:ascii="宋体" w:hAnsi="宋体" w:cs="宋体"/>
                <w:kern w:val="0"/>
                <w:sz w:val="20"/>
                <w:szCs w:val="20"/>
              </w:rPr>
            </w:pPr>
          </w:p>
        </w:tc>
        <w:tc>
          <w:tcPr>
            <w:tcW w:w="1153" w:type="dxa"/>
            <w:shd w:val="clear" w:color="auto" w:fill="auto"/>
            <w:noWrap w:val="0"/>
            <w:vAlign w:val="center"/>
          </w:tcPr>
          <w:p w14:paraId="3AFBBE00">
            <w:pPr>
              <w:widowControl/>
              <w:jc w:val="center"/>
              <w:rPr>
                <w:rFonts w:ascii="宋体" w:hAnsi="宋体" w:cs="宋体"/>
                <w:kern w:val="0"/>
                <w:sz w:val="20"/>
                <w:szCs w:val="20"/>
              </w:rPr>
            </w:pPr>
          </w:p>
        </w:tc>
        <w:tc>
          <w:tcPr>
            <w:tcW w:w="1416" w:type="dxa"/>
            <w:shd w:val="clear" w:color="auto" w:fill="auto"/>
            <w:noWrap w:val="0"/>
            <w:vAlign w:val="center"/>
          </w:tcPr>
          <w:p w14:paraId="156A1AAA">
            <w:pPr>
              <w:widowControl/>
              <w:jc w:val="center"/>
              <w:rPr>
                <w:rFonts w:ascii="宋体" w:hAnsi="宋体" w:cs="宋体"/>
                <w:kern w:val="0"/>
                <w:sz w:val="20"/>
                <w:szCs w:val="20"/>
              </w:rPr>
            </w:pPr>
            <w:r>
              <w:rPr>
                <w:rFonts w:hint="eastAsia" w:ascii="宋体" w:hAnsi="宋体" w:cs="宋体"/>
                <w:kern w:val="0"/>
                <w:sz w:val="20"/>
                <w:szCs w:val="20"/>
              </w:rPr>
              <w:t>*</w:t>
            </w:r>
          </w:p>
        </w:tc>
      </w:tr>
      <w:tr w14:paraId="2E972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762226E7">
            <w:pPr>
              <w:widowControl/>
              <w:jc w:val="center"/>
              <w:rPr>
                <w:rFonts w:ascii="宋体" w:hAnsi="宋体" w:cs="宋体"/>
                <w:kern w:val="0"/>
                <w:sz w:val="20"/>
                <w:szCs w:val="20"/>
              </w:rPr>
            </w:pPr>
            <w:r>
              <w:rPr>
                <w:rFonts w:hint="eastAsia" w:ascii="宋体" w:hAnsi="宋体" w:cs="宋体"/>
                <w:kern w:val="0"/>
                <w:sz w:val="20"/>
                <w:szCs w:val="20"/>
              </w:rPr>
              <w:t>8</w:t>
            </w:r>
          </w:p>
        </w:tc>
        <w:tc>
          <w:tcPr>
            <w:tcW w:w="4732" w:type="dxa"/>
            <w:shd w:val="clear" w:color="auto" w:fill="auto"/>
            <w:noWrap w:val="0"/>
            <w:vAlign w:val="center"/>
          </w:tcPr>
          <w:p w14:paraId="695ABF75">
            <w:pPr>
              <w:widowControl/>
              <w:jc w:val="left"/>
              <w:rPr>
                <w:rFonts w:ascii="宋体" w:hAnsi="宋体" w:cs="宋体"/>
                <w:kern w:val="0"/>
                <w:sz w:val="20"/>
                <w:szCs w:val="20"/>
              </w:rPr>
            </w:pPr>
            <w:r>
              <w:rPr>
                <w:rFonts w:hint="eastAsia" w:ascii="宋体" w:hAnsi="宋体" w:cs="宋体"/>
                <w:kern w:val="0"/>
                <w:sz w:val="20"/>
                <w:szCs w:val="20"/>
              </w:rPr>
              <w:t>五、各类基本社会保障性缴款</w:t>
            </w:r>
          </w:p>
        </w:tc>
        <w:tc>
          <w:tcPr>
            <w:tcW w:w="1039" w:type="dxa"/>
            <w:shd w:val="clear" w:color="auto" w:fill="auto"/>
            <w:noWrap w:val="0"/>
            <w:vAlign w:val="center"/>
          </w:tcPr>
          <w:p w14:paraId="12C2D37F">
            <w:pPr>
              <w:widowControl/>
              <w:jc w:val="center"/>
              <w:rPr>
                <w:rFonts w:ascii="宋体" w:hAnsi="宋体" w:cs="宋体"/>
                <w:kern w:val="0"/>
                <w:sz w:val="20"/>
                <w:szCs w:val="20"/>
              </w:rPr>
            </w:pPr>
          </w:p>
        </w:tc>
        <w:tc>
          <w:tcPr>
            <w:tcW w:w="945" w:type="dxa"/>
            <w:shd w:val="clear" w:color="auto" w:fill="auto"/>
            <w:noWrap w:val="0"/>
            <w:vAlign w:val="center"/>
          </w:tcPr>
          <w:p w14:paraId="5CC29E41">
            <w:pPr>
              <w:widowControl/>
              <w:jc w:val="center"/>
              <w:rPr>
                <w:rFonts w:ascii="宋体" w:hAnsi="宋体" w:cs="宋体"/>
                <w:kern w:val="0"/>
                <w:sz w:val="20"/>
                <w:szCs w:val="20"/>
              </w:rPr>
            </w:pPr>
          </w:p>
        </w:tc>
        <w:tc>
          <w:tcPr>
            <w:tcW w:w="1111" w:type="dxa"/>
            <w:shd w:val="clear" w:color="auto" w:fill="auto"/>
            <w:noWrap w:val="0"/>
            <w:vAlign w:val="center"/>
          </w:tcPr>
          <w:p w14:paraId="511E7FC6">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4540D5F6">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4E9E4359">
            <w:pPr>
              <w:widowControl/>
              <w:jc w:val="center"/>
              <w:rPr>
                <w:rFonts w:ascii="宋体" w:hAnsi="宋体" w:cs="宋体"/>
                <w:kern w:val="0"/>
                <w:sz w:val="20"/>
                <w:szCs w:val="20"/>
              </w:rPr>
            </w:pPr>
          </w:p>
        </w:tc>
        <w:tc>
          <w:tcPr>
            <w:tcW w:w="1153" w:type="dxa"/>
            <w:shd w:val="clear" w:color="auto" w:fill="auto"/>
            <w:noWrap w:val="0"/>
            <w:vAlign w:val="center"/>
          </w:tcPr>
          <w:p w14:paraId="0FD15D54">
            <w:pPr>
              <w:widowControl/>
              <w:jc w:val="center"/>
              <w:rPr>
                <w:rFonts w:ascii="宋体" w:hAnsi="宋体" w:cs="宋体"/>
                <w:kern w:val="0"/>
                <w:sz w:val="20"/>
                <w:szCs w:val="20"/>
              </w:rPr>
            </w:pPr>
          </w:p>
        </w:tc>
        <w:tc>
          <w:tcPr>
            <w:tcW w:w="1416" w:type="dxa"/>
            <w:shd w:val="clear" w:color="auto" w:fill="auto"/>
            <w:noWrap w:val="0"/>
            <w:vAlign w:val="center"/>
          </w:tcPr>
          <w:p w14:paraId="11A7E08F">
            <w:pPr>
              <w:widowControl/>
              <w:jc w:val="center"/>
              <w:rPr>
                <w:rFonts w:ascii="宋体" w:hAnsi="宋体" w:cs="宋体"/>
                <w:kern w:val="0"/>
                <w:sz w:val="20"/>
                <w:szCs w:val="20"/>
              </w:rPr>
            </w:pPr>
            <w:r>
              <w:rPr>
                <w:rFonts w:hint="eastAsia" w:ascii="宋体" w:hAnsi="宋体" w:cs="宋体"/>
                <w:kern w:val="0"/>
                <w:sz w:val="20"/>
                <w:szCs w:val="20"/>
              </w:rPr>
              <w:t>*</w:t>
            </w:r>
          </w:p>
        </w:tc>
      </w:tr>
      <w:tr w14:paraId="11791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04587D05">
            <w:pPr>
              <w:widowControl/>
              <w:jc w:val="center"/>
              <w:rPr>
                <w:rFonts w:ascii="宋体" w:hAnsi="宋体" w:cs="宋体"/>
                <w:kern w:val="0"/>
                <w:sz w:val="20"/>
                <w:szCs w:val="20"/>
              </w:rPr>
            </w:pPr>
            <w:r>
              <w:rPr>
                <w:rFonts w:hint="eastAsia" w:ascii="宋体" w:hAnsi="宋体" w:cs="宋体"/>
                <w:kern w:val="0"/>
                <w:sz w:val="20"/>
                <w:szCs w:val="20"/>
              </w:rPr>
              <w:t>9</w:t>
            </w:r>
          </w:p>
        </w:tc>
        <w:tc>
          <w:tcPr>
            <w:tcW w:w="4732" w:type="dxa"/>
            <w:shd w:val="clear" w:color="auto" w:fill="auto"/>
            <w:noWrap w:val="0"/>
            <w:vAlign w:val="center"/>
          </w:tcPr>
          <w:p w14:paraId="38163DB4">
            <w:pPr>
              <w:widowControl/>
              <w:jc w:val="left"/>
              <w:rPr>
                <w:rFonts w:ascii="宋体" w:hAnsi="宋体" w:cs="宋体"/>
                <w:kern w:val="0"/>
                <w:sz w:val="20"/>
                <w:szCs w:val="20"/>
              </w:rPr>
            </w:pPr>
            <w:r>
              <w:rPr>
                <w:rFonts w:hint="eastAsia" w:ascii="宋体" w:hAnsi="宋体" w:cs="宋体"/>
                <w:kern w:val="0"/>
                <w:sz w:val="20"/>
                <w:szCs w:val="20"/>
              </w:rPr>
              <w:t>六、住房公积金</w:t>
            </w:r>
          </w:p>
        </w:tc>
        <w:tc>
          <w:tcPr>
            <w:tcW w:w="1039" w:type="dxa"/>
            <w:shd w:val="clear" w:color="auto" w:fill="auto"/>
            <w:noWrap w:val="0"/>
            <w:vAlign w:val="center"/>
          </w:tcPr>
          <w:p w14:paraId="04AC1618">
            <w:pPr>
              <w:widowControl/>
              <w:jc w:val="center"/>
              <w:rPr>
                <w:rFonts w:ascii="宋体" w:hAnsi="宋体" w:cs="宋体"/>
                <w:kern w:val="0"/>
                <w:sz w:val="20"/>
                <w:szCs w:val="20"/>
              </w:rPr>
            </w:pPr>
          </w:p>
        </w:tc>
        <w:tc>
          <w:tcPr>
            <w:tcW w:w="945" w:type="dxa"/>
            <w:shd w:val="clear" w:color="auto" w:fill="auto"/>
            <w:noWrap w:val="0"/>
            <w:vAlign w:val="center"/>
          </w:tcPr>
          <w:p w14:paraId="52310B81">
            <w:pPr>
              <w:widowControl/>
              <w:jc w:val="center"/>
              <w:rPr>
                <w:rFonts w:ascii="宋体" w:hAnsi="宋体" w:cs="宋体"/>
                <w:kern w:val="0"/>
                <w:sz w:val="20"/>
                <w:szCs w:val="20"/>
              </w:rPr>
            </w:pPr>
          </w:p>
        </w:tc>
        <w:tc>
          <w:tcPr>
            <w:tcW w:w="1111" w:type="dxa"/>
            <w:shd w:val="clear" w:color="auto" w:fill="auto"/>
            <w:noWrap w:val="0"/>
            <w:vAlign w:val="center"/>
          </w:tcPr>
          <w:p w14:paraId="28928A7F">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098C3400">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6E03AD23">
            <w:pPr>
              <w:widowControl/>
              <w:jc w:val="center"/>
              <w:rPr>
                <w:rFonts w:ascii="宋体" w:hAnsi="宋体" w:cs="宋体"/>
                <w:kern w:val="0"/>
                <w:sz w:val="20"/>
                <w:szCs w:val="20"/>
              </w:rPr>
            </w:pPr>
          </w:p>
        </w:tc>
        <w:tc>
          <w:tcPr>
            <w:tcW w:w="1153" w:type="dxa"/>
            <w:shd w:val="clear" w:color="auto" w:fill="auto"/>
            <w:noWrap w:val="0"/>
            <w:vAlign w:val="center"/>
          </w:tcPr>
          <w:p w14:paraId="757F8CBE">
            <w:pPr>
              <w:widowControl/>
              <w:jc w:val="center"/>
              <w:rPr>
                <w:rFonts w:ascii="宋体" w:hAnsi="宋体" w:cs="宋体"/>
                <w:kern w:val="0"/>
                <w:sz w:val="20"/>
                <w:szCs w:val="20"/>
              </w:rPr>
            </w:pPr>
          </w:p>
        </w:tc>
        <w:tc>
          <w:tcPr>
            <w:tcW w:w="1416" w:type="dxa"/>
            <w:shd w:val="clear" w:color="auto" w:fill="auto"/>
            <w:noWrap w:val="0"/>
            <w:vAlign w:val="center"/>
          </w:tcPr>
          <w:p w14:paraId="6A810F4B">
            <w:pPr>
              <w:widowControl/>
              <w:jc w:val="center"/>
              <w:rPr>
                <w:rFonts w:ascii="宋体" w:hAnsi="宋体" w:cs="宋体"/>
                <w:kern w:val="0"/>
                <w:sz w:val="20"/>
                <w:szCs w:val="20"/>
              </w:rPr>
            </w:pPr>
            <w:r>
              <w:rPr>
                <w:rFonts w:hint="eastAsia" w:ascii="宋体" w:hAnsi="宋体" w:cs="宋体"/>
                <w:kern w:val="0"/>
                <w:sz w:val="20"/>
                <w:szCs w:val="20"/>
              </w:rPr>
              <w:t>*</w:t>
            </w:r>
          </w:p>
        </w:tc>
      </w:tr>
      <w:tr w14:paraId="12FD8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1EA094B1">
            <w:pPr>
              <w:widowControl/>
              <w:jc w:val="center"/>
              <w:rPr>
                <w:rFonts w:ascii="宋体" w:hAnsi="宋体" w:cs="宋体"/>
                <w:kern w:val="0"/>
                <w:sz w:val="20"/>
                <w:szCs w:val="20"/>
              </w:rPr>
            </w:pPr>
            <w:r>
              <w:rPr>
                <w:rFonts w:hint="eastAsia" w:ascii="宋体" w:hAnsi="宋体" w:cs="宋体"/>
                <w:kern w:val="0"/>
                <w:sz w:val="20"/>
                <w:szCs w:val="20"/>
              </w:rPr>
              <w:t>10</w:t>
            </w:r>
          </w:p>
        </w:tc>
        <w:tc>
          <w:tcPr>
            <w:tcW w:w="4732" w:type="dxa"/>
            <w:shd w:val="clear" w:color="auto" w:fill="auto"/>
            <w:noWrap w:val="0"/>
            <w:vAlign w:val="center"/>
          </w:tcPr>
          <w:p w14:paraId="5AF40C5D">
            <w:pPr>
              <w:widowControl/>
              <w:jc w:val="left"/>
              <w:rPr>
                <w:rFonts w:ascii="宋体" w:hAnsi="宋体" w:cs="宋体"/>
                <w:kern w:val="0"/>
                <w:sz w:val="20"/>
                <w:szCs w:val="20"/>
              </w:rPr>
            </w:pPr>
            <w:r>
              <w:rPr>
                <w:rFonts w:hint="eastAsia" w:ascii="宋体" w:hAnsi="宋体" w:cs="宋体"/>
                <w:kern w:val="0"/>
                <w:sz w:val="20"/>
                <w:szCs w:val="20"/>
              </w:rPr>
              <w:t>七、补充养老保险</w:t>
            </w:r>
          </w:p>
        </w:tc>
        <w:tc>
          <w:tcPr>
            <w:tcW w:w="1039" w:type="dxa"/>
            <w:shd w:val="clear" w:color="auto" w:fill="auto"/>
            <w:noWrap w:val="0"/>
            <w:vAlign w:val="center"/>
          </w:tcPr>
          <w:p w14:paraId="3B7DC38A">
            <w:pPr>
              <w:widowControl/>
              <w:jc w:val="center"/>
              <w:rPr>
                <w:rFonts w:ascii="宋体" w:hAnsi="宋体" w:cs="宋体"/>
                <w:kern w:val="0"/>
                <w:sz w:val="20"/>
                <w:szCs w:val="20"/>
              </w:rPr>
            </w:pPr>
          </w:p>
        </w:tc>
        <w:tc>
          <w:tcPr>
            <w:tcW w:w="945" w:type="dxa"/>
            <w:shd w:val="clear" w:color="auto" w:fill="auto"/>
            <w:noWrap w:val="0"/>
            <w:vAlign w:val="center"/>
          </w:tcPr>
          <w:p w14:paraId="76A1EDDC">
            <w:pPr>
              <w:widowControl/>
              <w:jc w:val="center"/>
              <w:rPr>
                <w:rFonts w:ascii="宋体" w:hAnsi="宋体" w:cs="宋体"/>
                <w:kern w:val="0"/>
                <w:sz w:val="20"/>
                <w:szCs w:val="20"/>
              </w:rPr>
            </w:pPr>
          </w:p>
        </w:tc>
        <w:tc>
          <w:tcPr>
            <w:tcW w:w="1111" w:type="dxa"/>
            <w:shd w:val="clear" w:color="auto" w:fill="auto"/>
            <w:noWrap w:val="0"/>
            <w:vAlign w:val="center"/>
          </w:tcPr>
          <w:p w14:paraId="14328584">
            <w:pPr>
              <w:widowControl/>
              <w:jc w:val="center"/>
              <w:rPr>
                <w:rFonts w:ascii="宋体" w:hAnsi="宋体" w:cs="宋体"/>
                <w:kern w:val="0"/>
                <w:sz w:val="20"/>
                <w:szCs w:val="20"/>
              </w:rPr>
            </w:pPr>
          </w:p>
        </w:tc>
        <w:tc>
          <w:tcPr>
            <w:tcW w:w="1467" w:type="dxa"/>
            <w:shd w:val="clear" w:color="auto" w:fill="auto"/>
            <w:noWrap w:val="0"/>
            <w:vAlign w:val="center"/>
          </w:tcPr>
          <w:p w14:paraId="2DB7F745">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31540443">
            <w:pPr>
              <w:widowControl/>
              <w:jc w:val="center"/>
              <w:rPr>
                <w:rFonts w:ascii="宋体" w:hAnsi="宋体" w:cs="宋体"/>
                <w:kern w:val="0"/>
                <w:sz w:val="20"/>
                <w:szCs w:val="20"/>
              </w:rPr>
            </w:pPr>
          </w:p>
        </w:tc>
        <w:tc>
          <w:tcPr>
            <w:tcW w:w="1153" w:type="dxa"/>
            <w:shd w:val="clear" w:color="auto" w:fill="auto"/>
            <w:noWrap w:val="0"/>
            <w:vAlign w:val="center"/>
          </w:tcPr>
          <w:p w14:paraId="685326C2">
            <w:pPr>
              <w:widowControl/>
              <w:jc w:val="center"/>
              <w:rPr>
                <w:rFonts w:ascii="宋体" w:hAnsi="宋体" w:cs="宋体"/>
                <w:kern w:val="0"/>
                <w:sz w:val="20"/>
                <w:szCs w:val="20"/>
              </w:rPr>
            </w:pPr>
          </w:p>
        </w:tc>
        <w:tc>
          <w:tcPr>
            <w:tcW w:w="1416" w:type="dxa"/>
            <w:shd w:val="clear" w:color="auto" w:fill="auto"/>
            <w:noWrap w:val="0"/>
            <w:vAlign w:val="center"/>
          </w:tcPr>
          <w:p w14:paraId="2B0AC0C2">
            <w:pPr>
              <w:widowControl/>
              <w:jc w:val="center"/>
              <w:rPr>
                <w:rFonts w:ascii="宋体" w:hAnsi="宋体" w:cs="宋体"/>
                <w:kern w:val="0"/>
                <w:sz w:val="20"/>
                <w:szCs w:val="20"/>
              </w:rPr>
            </w:pPr>
            <w:r>
              <w:rPr>
                <w:rFonts w:hint="eastAsia" w:ascii="宋体" w:hAnsi="宋体" w:cs="宋体"/>
                <w:kern w:val="0"/>
                <w:sz w:val="20"/>
                <w:szCs w:val="20"/>
              </w:rPr>
              <w:t>*</w:t>
            </w:r>
          </w:p>
        </w:tc>
      </w:tr>
      <w:tr w14:paraId="784FB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175E9923">
            <w:pPr>
              <w:widowControl/>
              <w:jc w:val="center"/>
              <w:rPr>
                <w:rFonts w:ascii="宋体" w:hAnsi="宋体" w:cs="宋体"/>
                <w:kern w:val="0"/>
                <w:sz w:val="20"/>
                <w:szCs w:val="20"/>
              </w:rPr>
            </w:pPr>
            <w:r>
              <w:rPr>
                <w:rFonts w:hint="eastAsia" w:ascii="宋体" w:hAnsi="宋体" w:cs="宋体"/>
                <w:kern w:val="0"/>
                <w:sz w:val="20"/>
                <w:szCs w:val="20"/>
              </w:rPr>
              <w:t>11</w:t>
            </w:r>
          </w:p>
        </w:tc>
        <w:tc>
          <w:tcPr>
            <w:tcW w:w="4732" w:type="dxa"/>
            <w:shd w:val="clear" w:color="auto" w:fill="auto"/>
            <w:noWrap w:val="0"/>
            <w:vAlign w:val="center"/>
          </w:tcPr>
          <w:p w14:paraId="0855F5CC">
            <w:pPr>
              <w:widowControl/>
              <w:jc w:val="left"/>
              <w:rPr>
                <w:rFonts w:ascii="宋体" w:hAnsi="宋体" w:cs="宋体"/>
                <w:kern w:val="0"/>
                <w:sz w:val="20"/>
                <w:szCs w:val="20"/>
              </w:rPr>
            </w:pPr>
            <w:r>
              <w:rPr>
                <w:rFonts w:hint="eastAsia" w:ascii="宋体" w:hAnsi="宋体" w:cs="宋体"/>
                <w:kern w:val="0"/>
                <w:sz w:val="20"/>
                <w:szCs w:val="20"/>
              </w:rPr>
              <w:t>八、补充医疗保险</w:t>
            </w:r>
          </w:p>
        </w:tc>
        <w:tc>
          <w:tcPr>
            <w:tcW w:w="1039" w:type="dxa"/>
            <w:shd w:val="clear" w:color="auto" w:fill="auto"/>
            <w:noWrap w:val="0"/>
            <w:vAlign w:val="center"/>
          </w:tcPr>
          <w:p w14:paraId="548BEDA6">
            <w:pPr>
              <w:widowControl/>
              <w:jc w:val="center"/>
              <w:rPr>
                <w:rFonts w:ascii="宋体" w:hAnsi="宋体" w:cs="宋体"/>
                <w:kern w:val="0"/>
                <w:sz w:val="20"/>
                <w:szCs w:val="20"/>
              </w:rPr>
            </w:pPr>
          </w:p>
        </w:tc>
        <w:tc>
          <w:tcPr>
            <w:tcW w:w="945" w:type="dxa"/>
            <w:shd w:val="clear" w:color="auto" w:fill="auto"/>
            <w:noWrap w:val="0"/>
            <w:vAlign w:val="center"/>
          </w:tcPr>
          <w:p w14:paraId="71F3A3BD">
            <w:pPr>
              <w:widowControl/>
              <w:jc w:val="center"/>
              <w:rPr>
                <w:rFonts w:ascii="宋体" w:hAnsi="宋体" w:cs="宋体"/>
                <w:kern w:val="0"/>
                <w:sz w:val="20"/>
                <w:szCs w:val="20"/>
              </w:rPr>
            </w:pPr>
          </w:p>
        </w:tc>
        <w:tc>
          <w:tcPr>
            <w:tcW w:w="1111" w:type="dxa"/>
            <w:shd w:val="clear" w:color="auto" w:fill="auto"/>
            <w:noWrap w:val="0"/>
            <w:vAlign w:val="center"/>
          </w:tcPr>
          <w:p w14:paraId="1361D733">
            <w:pPr>
              <w:widowControl/>
              <w:jc w:val="center"/>
              <w:rPr>
                <w:rFonts w:ascii="宋体" w:hAnsi="宋体" w:cs="宋体"/>
                <w:kern w:val="0"/>
                <w:sz w:val="20"/>
                <w:szCs w:val="20"/>
              </w:rPr>
            </w:pPr>
          </w:p>
        </w:tc>
        <w:tc>
          <w:tcPr>
            <w:tcW w:w="1467" w:type="dxa"/>
            <w:shd w:val="clear" w:color="auto" w:fill="auto"/>
            <w:noWrap w:val="0"/>
            <w:vAlign w:val="center"/>
          </w:tcPr>
          <w:p w14:paraId="27FEA52D">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24D1F733">
            <w:pPr>
              <w:widowControl/>
              <w:jc w:val="center"/>
              <w:rPr>
                <w:rFonts w:ascii="宋体" w:hAnsi="宋体" w:cs="宋体"/>
                <w:kern w:val="0"/>
                <w:sz w:val="20"/>
                <w:szCs w:val="20"/>
              </w:rPr>
            </w:pPr>
          </w:p>
        </w:tc>
        <w:tc>
          <w:tcPr>
            <w:tcW w:w="1153" w:type="dxa"/>
            <w:shd w:val="clear" w:color="auto" w:fill="auto"/>
            <w:noWrap w:val="0"/>
            <w:vAlign w:val="center"/>
          </w:tcPr>
          <w:p w14:paraId="32334159">
            <w:pPr>
              <w:widowControl/>
              <w:jc w:val="center"/>
              <w:rPr>
                <w:rFonts w:ascii="宋体" w:hAnsi="宋体" w:cs="宋体"/>
                <w:kern w:val="0"/>
                <w:sz w:val="20"/>
                <w:szCs w:val="20"/>
              </w:rPr>
            </w:pPr>
          </w:p>
        </w:tc>
        <w:tc>
          <w:tcPr>
            <w:tcW w:w="1416" w:type="dxa"/>
            <w:shd w:val="clear" w:color="auto" w:fill="auto"/>
            <w:noWrap w:val="0"/>
            <w:vAlign w:val="center"/>
          </w:tcPr>
          <w:p w14:paraId="5B3153F1">
            <w:pPr>
              <w:widowControl/>
              <w:jc w:val="center"/>
              <w:rPr>
                <w:rFonts w:ascii="宋体" w:hAnsi="宋体" w:cs="宋体"/>
                <w:kern w:val="0"/>
                <w:sz w:val="20"/>
                <w:szCs w:val="20"/>
              </w:rPr>
            </w:pPr>
            <w:r>
              <w:rPr>
                <w:rFonts w:hint="eastAsia" w:ascii="宋体" w:hAnsi="宋体" w:cs="宋体"/>
                <w:kern w:val="0"/>
                <w:sz w:val="20"/>
                <w:szCs w:val="20"/>
              </w:rPr>
              <w:t>*</w:t>
            </w:r>
          </w:p>
        </w:tc>
      </w:tr>
      <w:tr w14:paraId="6644B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3D4DBA83">
            <w:pPr>
              <w:widowControl/>
              <w:jc w:val="center"/>
              <w:rPr>
                <w:rFonts w:ascii="宋体" w:hAnsi="宋体" w:cs="宋体"/>
                <w:kern w:val="0"/>
                <w:sz w:val="20"/>
                <w:szCs w:val="20"/>
              </w:rPr>
            </w:pPr>
            <w:r>
              <w:rPr>
                <w:rFonts w:hint="eastAsia" w:ascii="宋体" w:hAnsi="宋体" w:cs="宋体"/>
                <w:kern w:val="0"/>
                <w:sz w:val="20"/>
                <w:szCs w:val="20"/>
              </w:rPr>
              <w:t>12</w:t>
            </w:r>
          </w:p>
        </w:tc>
        <w:tc>
          <w:tcPr>
            <w:tcW w:w="4732" w:type="dxa"/>
            <w:shd w:val="clear" w:color="auto" w:fill="auto"/>
            <w:noWrap w:val="0"/>
            <w:vAlign w:val="center"/>
          </w:tcPr>
          <w:p w14:paraId="57AC79A5">
            <w:pPr>
              <w:widowControl/>
              <w:jc w:val="left"/>
              <w:rPr>
                <w:rFonts w:ascii="宋体" w:hAnsi="宋体" w:cs="宋体"/>
                <w:kern w:val="0"/>
                <w:sz w:val="20"/>
                <w:szCs w:val="20"/>
              </w:rPr>
            </w:pPr>
            <w:r>
              <w:rPr>
                <w:rFonts w:hint="eastAsia" w:ascii="宋体" w:hAnsi="宋体" w:cs="宋体"/>
                <w:kern w:val="0"/>
                <w:sz w:val="20"/>
                <w:szCs w:val="20"/>
              </w:rPr>
              <w:t>九、其他</w:t>
            </w:r>
          </w:p>
        </w:tc>
        <w:tc>
          <w:tcPr>
            <w:tcW w:w="1039" w:type="dxa"/>
            <w:shd w:val="clear" w:color="auto" w:fill="auto"/>
            <w:noWrap w:val="0"/>
            <w:vAlign w:val="center"/>
          </w:tcPr>
          <w:p w14:paraId="05144A47">
            <w:pPr>
              <w:widowControl/>
              <w:jc w:val="center"/>
              <w:rPr>
                <w:rFonts w:ascii="宋体" w:hAnsi="宋体" w:cs="宋体"/>
                <w:kern w:val="0"/>
                <w:sz w:val="20"/>
                <w:szCs w:val="20"/>
              </w:rPr>
            </w:pPr>
          </w:p>
        </w:tc>
        <w:tc>
          <w:tcPr>
            <w:tcW w:w="945" w:type="dxa"/>
            <w:shd w:val="clear" w:color="auto" w:fill="auto"/>
            <w:noWrap w:val="0"/>
            <w:vAlign w:val="center"/>
          </w:tcPr>
          <w:p w14:paraId="437C5465">
            <w:pPr>
              <w:widowControl/>
              <w:jc w:val="center"/>
              <w:rPr>
                <w:rFonts w:ascii="宋体" w:hAnsi="宋体" w:cs="宋体"/>
                <w:kern w:val="0"/>
                <w:sz w:val="20"/>
                <w:szCs w:val="20"/>
              </w:rPr>
            </w:pPr>
          </w:p>
        </w:tc>
        <w:tc>
          <w:tcPr>
            <w:tcW w:w="1111" w:type="dxa"/>
            <w:shd w:val="clear" w:color="auto" w:fill="auto"/>
            <w:noWrap w:val="0"/>
            <w:vAlign w:val="center"/>
          </w:tcPr>
          <w:p w14:paraId="3AC59D2E">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0ACF1C79">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noWrap w:val="0"/>
            <w:vAlign w:val="center"/>
          </w:tcPr>
          <w:p w14:paraId="6FBCA1E6">
            <w:pPr>
              <w:widowControl/>
              <w:jc w:val="center"/>
              <w:rPr>
                <w:rFonts w:ascii="宋体" w:hAnsi="宋体" w:cs="宋体"/>
                <w:kern w:val="0"/>
                <w:sz w:val="20"/>
                <w:szCs w:val="20"/>
              </w:rPr>
            </w:pPr>
          </w:p>
        </w:tc>
        <w:tc>
          <w:tcPr>
            <w:tcW w:w="1153" w:type="dxa"/>
            <w:shd w:val="clear" w:color="auto" w:fill="auto"/>
            <w:noWrap w:val="0"/>
            <w:vAlign w:val="center"/>
          </w:tcPr>
          <w:p w14:paraId="6468E854">
            <w:pPr>
              <w:widowControl/>
              <w:jc w:val="center"/>
              <w:rPr>
                <w:rFonts w:ascii="宋体" w:hAnsi="宋体" w:cs="宋体"/>
                <w:kern w:val="0"/>
                <w:sz w:val="20"/>
                <w:szCs w:val="20"/>
              </w:rPr>
            </w:pPr>
          </w:p>
        </w:tc>
        <w:tc>
          <w:tcPr>
            <w:tcW w:w="1416" w:type="dxa"/>
            <w:shd w:val="clear" w:color="auto" w:fill="auto"/>
            <w:noWrap w:val="0"/>
            <w:vAlign w:val="center"/>
          </w:tcPr>
          <w:p w14:paraId="7F9BDB05">
            <w:pPr>
              <w:widowControl/>
              <w:jc w:val="center"/>
              <w:rPr>
                <w:rFonts w:ascii="宋体" w:hAnsi="宋体" w:cs="宋体"/>
                <w:kern w:val="0"/>
                <w:sz w:val="20"/>
                <w:szCs w:val="20"/>
              </w:rPr>
            </w:pPr>
            <w:r>
              <w:rPr>
                <w:rFonts w:hint="eastAsia" w:ascii="宋体" w:hAnsi="宋体" w:cs="宋体"/>
                <w:kern w:val="0"/>
                <w:sz w:val="20"/>
                <w:szCs w:val="20"/>
              </w:rPr>
              <w:t>*</w:t>
            </w:r>
          </w:p>
        </w:tc>
      </w:tr>
      <w:tr w14:paraId="692E9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0"/>
            <w:vAlign w:val="center"/>
          </w:tcPr>
          <w:p w14:paraId="619AE901">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4732" w:type="dxa"/>
            <w:shd w:val="clear" w:color="auto" w:fill="auto"/>
            <w:noWrap w:val="0"/>
            <w:vAlign w:val="center"/>
          </w:tcPr>
          <w:p w14:paraId="2A5338A4">
            <w:pPr>
              <w:widowControl/>
              <w:jc w:val="left"/>
              <w:rPr>
                <w:rFonts w:ascii="宋体" w:hAnsi="宋体" w:cs="宋体"/>
                <w:kern w:val="0"/>
                <w:sz w:val="20"/>
                <w:szCs w:val="20"/>
              </w:rPr>
            </w:pPr>
            <w:r>
              <w:rPr>
                <w:rFonts w:hint="eastAsia" w:ascii="宋体" w:hAnsi="宋体" w:cs="宋体"/>
                <w:kern w:val="0"/>
                <w:sz w:val="20"/>
                <w:szCs w:val="20"/>
              </w:rPr>
              <w:t>合计（1+3+4+7+8+9+10+11+12）</w:t>
            </w:r>
          </w:p>
        </w:tc>
        <w:tc>
          <w:tcPr>
            <w:tcW w:w="1039" w:type="dxa"/>
            <w:shd w:val="clear" w:color="auto" w:fill="auto"/>
            <w:noWrap w:val="0"/>
            <w:vAlign w:val="center"/>
          </w:tcPr>
          <w:p w14:paraId="4C4FF5EF">
            <w:pPr>
              <w:widowControl/>
              <w:jc w:val="center"/>
              <w:rPr>
                <w:rFonts w:ascii="宋体" w:hAnsi="宋体" w:cs="宋体"/>
                <w:kern w:val="0"/>
                <w:sz w:val="20"/>
                <w:szCs w:val="20"/>
              </w:rPr>
            </w:pPr>
          </w:p>
        </w:tc>
        <w:tc>
          <w:tcPr>
            <w:tcW w:w="945" w:type="dxa"/>
            <w:shd w:val="clear" w:color="auto" w:fill="auto"/>
            <w:noWrap w:val="0"/>
            <w:vAlign w:val="center"/>
          </w:tcPr>
          <w:p w14:paraId="4158AFC8">
            <w:pPr>
              <w:widowControl/>
              <w:jc w:val="center"/>
              <w:rPr>
                <w:rFonts w:ascii="宋体" w:hAnsi="宋体" w:cs="宋体"/>
                <w:kern w:val="0"/>
                <w:sz w:val="20"/>
                <w:szCs w:val="20"/>
              </w:rPr>
            </w:pPr>
          </w:p>
        </w:tc>
        <w:tc>
          <w:tcPr>
            <w:tcW w:w="1111" w:type="dxa"/>
            <w:shd w:val="clear" w:color="auto" w:fill="auto"/>
            <w:noWrap w:val="0"/>
            <w:vAlign w:val="center"/>
          </w:tcPr>
          <w:p w14:paraId="69E5C421">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noWrap w:val="0"/>
            <w:vAlign w:val="center"/>
          </w:tcPr>
          <w:p w14:paraId="407AB324">
            <w:pPr>
              <w:widowControl/>
              <w:jc w:val="center"/>
              <w:rPr>
                <w:rFonts w:ascii="宋体" w:hAnsi="宋体" w:cs="宋体"/>
                <w:kern w:val="0"/>
                <w:sz w:val="20"/>
                <w:szCs w:val="20"/>
              </w:rPr>
            </w:pPr>
          </w:p>
        </w:tc>
        <w:tc>
          <w:tcPr>
            <w:tcW w:w="824" w:type="dxa"/>
            <w:shd w:val="clear" w:color="auto" w:fill="auto"/>
            <w:noWrap w:val="0"/>
            <w:vAlign w:val="center"/>
          </w:tcPr>
          <w:p w14:paraId="574B4EB8">
            <w:pPr>
              <w:widowControl/>
              <w:jc w:val="center"/>
              <w:rPr>
                <w:rFonts w:ascii="宋体" w:hAnsi="宋体" w:cs="宋体"/>
                <w:kern w:val="0"/>
                <w:sz w:val="20"/>
                <w:szCs w:val="20"/>
              </w:rPr>
            </w:pPr>
          </w:p>
        </w:tc>
        <w:tc>
          <w:tcPr>
            <w:tcW w:w="1153" w:type="dxa"/>
            <w:shd w:val="clear" w:color="auto" w:fill="auto"/>
            <w:noWrap w:val="0"/>
            <w:vAlign w:val="center"/>
          </w:tcPr>
          <w:p w14:paraId="48DF1B62">
            <w:pPr>
              <w:widowControl/>
              <w:jc w:val="center"/>
              <w:rPr>
                <w:rFonts w:ascii="宋体" w:hAnsi="宋体" w:cs="宋体"/>
                <w:kern w:val="0"/>
                <w:sz w:val="20"/>
                <w:szCs w:val="20"/>
              </w:rPr>
            </w:pPr>
          </w:p>
        </w:tc>
        <w:tc>
          <w:tcPr>
            <w:tcW w:w="1416" w:type="dxa"/>
            <w:shd w:val="clear" w:color="auto" w:fill="auto"/>
            <w:noWrap w:val="0"/>
            <w:vAlign w:val="center"/>
          </w:tcPr>
          <w:p w14:paraId="59D00BFA">
            <w:pPr>
              <w:widowControl/>
              <w:jc w:val="center"/>
              <w:rPr>
                <w:rFonts w:ascii="宋体" w:hAnsi="宋体" w:cs="宋体"/>
                <w:kern w:val="0"/>
                <w:sz w:val="20"/>
                <w:szCs w:val="20"/>
              </w:rPr>
            </w:pPr>
          </w:p>
        </w:tc>
      </w:tr>
    </w:tbl>
    <w:p w14:paraId="29BBC5C9">
      <w:pPr>
        <w:pStyle w:val="8"/>
        <w:sectPr>
          <w:pgSz w:w="16838" w:h="11906" w:orient="landscape"/>
          <w:pgMar w:top="1418" w:right="1985" w:bottom="1418" w:left="1928" w:header="851" w:footer="992" w:gutter="113"/>
          <w:cols w:space="425" w:num="1"/>
          <w:titlePg/>
          <w:docGrid w:linePitch="312" w:charSpace="0"/>
        </w:sectPr>
      </w:pPr>
    </w:p>
    <w:p w14:paraId="459AE8DC">
      <w:pPr>
        <w:pStyle w:val="9"/>
        <w:spacing w:before="240" w:after="360"/>
        <w:rPr>
          <w:rFonts w:hint="eastAsia" w:asciiTheme="majorEastAsia" w:hAnsiTheme="majorEastAsia" w:eastAsiaTheme="majorEastAsia" w:cstheme="majorEastAsia"/>
          <w:b/>
          <w:bCs/>
          <w:color w:val="000000"/>
        </w:rPr>
      </w:pPr>
      <w:bookmarkStart w:id="1" w:name="_Toc499456580"/>
      <w:r>
        <w:rPr>
          <w:rFonts w:hint="eastAsia" w:asciiTheme="majorEastAsia" w:hAnsiTheme="majorEastAsia" w:eastAsiaTheme="majorEastAsia" w:cstheme="majorEastAsia"/>
          <w:b/>
          <w:bCs/>
        </w:rPr>
        <w:t>A105050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《职工薪酬支出及纳税调整明细表》填报说明</w:t>
      </w:r>
      <w:bookmarkEnd w:id="1"/>
    </w:p>
    <w:p w14:paraId="71637CAC">
      <w:pPr>
        <w:spacing w:line="360" w:lineRule="auto"/>
        <w:ind w:firstLine="480" w:firstLineChars="200"/>
        <w:rPr>
          <w:rFonts w:ascii="宋体" w:hAnsi="宋体" w:cs="Calibri"/>
          <w:color w:val="000000"/>
          <w:sz w:val="24"/>
        </w:rPr>
      </w:pPr>
      <w:r>
        <w:rPr>
          <w:rFonts w:hint="eastAsia" w:ascii="宋体" w:hAnsi="宋体" w:cs="Calibri"/>
          <w:color w:val="000000"/>
          <w:sz w:val="24"/>
        </w:rPr>
        <w:t>纳税人根据税法、《国家税务总局关于企业工资薪金及职工福利费扣除问题的通知》（国税函〔2009〕3号）、《财政部 国家税务总局关于扶持动漫产业发展有关税收政策问题的通知》（财税〔2009〕65号）、《财政部 国家税务总局关于进一步鼓励软件产业和集成电路产业发展企业所得税政策的通知》（财税〔2012〕27号）、《国家税务总局关于我国居民企业实行股权激励计划有关企业所得税处理问题的公告》（国家税务总局公告2012年第18号）、《财政部 国家税务总局 商务部 科技部国家发展改革委关于完善技术先进型服务企业有关企业所得税政策问题的通知》（财税〔2014〕59号）、《国家税务总局关于企业工资薪金和职工福利费等支出税前扣除问题的公告》（国家税务总局公告2015年第34号）、《财政部 国家税务总局关于高新技术企业职工教育经费税前扣除政策的通知》（财税〔2015〕63号）等相关规定，以及国家统一企业会计制度，填报纳税人职工薪酬会计处理、税收规定，以及纳税调整情况。纳税人只要发生相关支出，不论是否纳税调整，均需填报。</w:t>
      </w:r>
    </w:p>
    <w:p w14:paraId="3D335AD2">
      <w:pPr>
        <w:pStyle w:val="10"/>
        <w:ind w:firstLine="482"/>
      </w:pPr>
      <w:r>
        <w:rPr>
          <w:rFonts w:hint="eastAsia"/>
        </w:rPr>
        <w:t>一、有关项目填报说明</w:t>
      </w:r>
    </w:p>
    <w:p w14:paraId="62B49F88">
      <w:pPr>
        <w:spacing w:line="360" w:lineRule="auto"/>
        <w:ind w:firstLine="480" w:firstLineChars="200"/>
        <w:rPr>
          <w:rFonts w:ascii="宋体" w:hAnsi="宋体"/>
          <w:color w:val="000000"/>
          <w:sz w:val="24"/>
        </w:rPr>
      </w:pPr>
      <w:r>
        <w:rPr>
          <w:rFonts w:hint="eastAsia" w:ascii="宋体" w:hAnsi="宋体"/>
          <w:color w:val="000000"/>
          <w:sz w:val="24"/>
        </w:rPr>
        <w:t>1.第1行“一、工资薪金支出”：填报纳税人本年度支付给在本企业任职或者受雇的员工的所有现金形式或非现金形式的劳动报酬及其会计核算、纳税调整等金额，具体如下：</w:t>
      </w:r>
    </w:p>
    <w:p w14:paraId="233EA7C3">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（1）第1列“账载金额”：填报纳税人会计核算计入成本费用的职工工资、奖金、津贴和补贴金额。</w:t>
      </w:r>
    </w:p>
    <w:p w14:paraId="50A93A7A">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（2）第2列“实际发生额”：分析填报纳税人“应付职工薪酬”会计科目借方发生额（实际发放的工资薪金）。</w:t>
      </w:r>
    </w:p>
    <w:p w14:paraId="26315CD2">
      <w:pPr>
        <w:spacing w:line="360" w:lineRule="auto"/>
        <w:ind w:firstLine="480" w:firstLineChars="200"/>
        <w:rPr>
          <w:rFonts w:ascii="宋体" w:hAnsi="宋体"/>
          <w:color w:val="000000"/>
          <w:sz w:val="24"/>
        </w:rPr>
      </w:pPr>
      <w:r>
        <w:rPr>
          <w:rFonts w:hint="eastAsia" w:ascii="宋体" w:hAnsi="宋体"/>
          <w:color w:val="000000"/>
          <w:sz w:val="24"/>
        </w:rPr>
        <w:t>（3）第5列“税收金额”：填报纳税人按照税收规定允许税前扣除的金额，按照第1列和第2列分析填报。</w:t>
      </w:r>
    </w:p>
    <w:p w14:paraId="256C2CEF">
      <w:pPr>
        <w:spacing w:line="360" w:lineRule="auto"/>
        <w:ind w:firstLine="480" w:firstLineChars="200"/>
        <w:rPr>
          <w:rFonts w:ascii="宋体" w:hAnsi="宋体"/>
          <w:color w:val="000000"/>
          <w:sz w:val="24"/>
        </w:rPr>
      </w:pPr>
      <w:r>
        <w:rPr>
          <w:rFonts w:hint="eastAsia" w:ascii="宋体" w:hAnsi="宋体"/>
          <w:color w:val="000000"/>
          <w:sz w:val="24"/>
        </w:rPr>
        <w:t>（4）第6列“纳税调整金额”：填报第1-5列的余额。</w:t>
      </w:r>
    </w:p>
    <w:p w14:paraId="5A5B9CAD">
      <w:pPr>
        <w:spacing w:line="360" w:lineRule="auto"/>
        <w:ind w:firstLine="480" w:firstLineChars="200"/>
        <w:rPr>
          <w:rFonts w:ascii="宋体" w:hAnsi="宋体"/>
          <w:color w:val="000000"/>
          <w:sz w:val="24"/>
        </w:rPr>
      </w:pPr>
      <w:r>
        <w:rPr>
          <w:rFonts w:hint="eastAsia" w:ascii="宋体" w:hAnsi="宋体"/>
          <w:color w:val="000000"/>
          <w:sz w:val="24"/>
        </w:rPr>
        <w:t>2.第2行“其中：股权激励”：本行由执行《上市公司股权激励管理办法》（中国证券监督管理委员会令第126号）的纳税人填报，具体如下：</w:t>
      </w:r>
    </w:p>
    <w:p w14:paraId="57872025">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（1）第1列“账载金额”：填报纳税人按照国家有关规定建立职工股权激励计划，会计核算计入成本费用的金额。</w:t>
      </w:r>
    </w:p>
    <w:p w14:paraId="443C887F">
      <w:pPr>
        <w:spacing w:line="360" w:lineRule="auto"/>
        <w:ind w:firstLine="480" w:firstLineChars="200"/>
        <w:rPr>
          <w:rFonts w:ascii="宋体" w:hAnsi="宋体"/>
          <w:color w:val="000000"/>
          <w:sz w:val="24"/>
        </w:rPr>
      </w:pPr>
      <w:r>
        <w:rPr>
          <w:rFonts w:hint="eastAsia" w:ascii="宋体" w:hAnsi="宋体"/>
          <w:color w:val="000000"/>
          <w:sz w:val="24"/>
        </w:rPr>
        <w:t>（2）第2列“实际发生额”：填报纳税人根据本年实际行权时股权的公允价格与激励对象实际行权支付价格的差额和数量计算确定的金额。</w:t>
      </w:r>
    </w:p>
    <w:p w14:paraId="06A99702">
      <w:pPr>
        <w:spacing w:line="360" w:lineRule="auto"/>
        <w:ind w:firstLine="480" w:firstLineChars="200"/>
        <w:rPr>
          <w:rFonts w:ascii="宋体" w:hAnsi="宋体"/>
          <w:color w:val="000000"/>
          <w:sz w:val="24"/>
        </w:rPr>
      </w:pPr>
      <w:r>
        <w:rPr>
          <w:rFonts w:hint="eastAsia" w:ascii="宋体" w:hAnsi="宋体"/>
          <w:color w:val="000000"/>
          <w:sz w:val="24"/>
        </w:rPr>
        <w:t>（3）第5列“税收金额”：填报行权时按照税收规定允许税前扣除的金额。按照第1列和第2列孰小值填报。</w:t>
      </w:r>
    </w:p>
    <w:p w14:paraId="5EB7D7BA">
      <w:pPr>
        <w:spacing w:line="360" w:lineRule="auto"/>
        <w:ind w:firstLine="480" w:firstLineChars="200"/>
        <w:rPr>
          <w:rFonts w:ascii="宋体" w:hAnsi="宋体"/>
          <w:color w:val="000000"/>
          <w:sz w:val="24"/>
        </w:rPr>
      </w:pPr>
      <w:r>
        <w:rPr>
          <w:rFonts w:hint="eastAsia" w:ascii="宋体" w:hAnsi="宋体"/>
          <w:color w:val="000000"/>
          <w:sz w:val="24"/>
        </w:rPr>
        <w:t>（4）第6列“纳税调整金额”：填报第1-5列的余额。</w:t>
      </w:r>
    </w:p>
    <w:p w14:paraId="759BE6B4">
      <w:pPr>
        <w:spacing w:line="360" w:lineRule="auto"/>
        <w:ind w:firstLine="480" w:firstLineChars="200"/>
        <w:rPr>
          <w:rFonts w:ascii="宋体" w:hAnsi="宋体"/>
          <w:color w:val="000000"/>
          <w:sz w:val="24"/>
        </w:rPr>
      </w:pPr>
      <w:r>
        <w:rPr>
          <w:rFonts w:hint="eastAsia" w:ascii="宋体" w:hAnsi="宋体"/>
          <w:color w:val="000000"/>
          <w:sz w:val="24"/>
        </w:rPr>
        <w:t>3.第3行“二、职工福利费支出”：填报纳税人本年度发生的职工福利费及其会计核算、纳税调整等金额，具体如下：</w:t>
      </w:r>
    </w:p>
    <w:p w14:paraId="2B0DC618">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（1）第1列“账载金额”：填报纳税人会计核算计入成本费用的职工福利费的金额。</w:t>
      </w:r>
    </w:p>
    <w:p w14:paraId="60FFEA1D">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（2）第2列“实际发生额”：分析填报纳税人“应付职工薪酬”会计科目下的职工福利费用实际发生额。</w:t>
      </w:r>
    </w:p>
    <w:p w14:paraId="01EDB596">
      <w:pPr>
        <w:spacing w:line="360" w:lineRule="auto"/>
        <w:ind w:firstLine="480" w:firstLineChars="200"/>
        <w:rPr>
          <w:rFonts w:ascii="宋体" w:hAnsi="宋体"/>
          <w:color w:val="000000"/>
          <w:sz w:val="24"/>
        </w:rPr>
      </w:pPr>
      <w:r>
        <w:rPr>
          <w:rFonts w:hint="eastAsia" w:ascii="宋体" w:hAnsi="宋体"/>
          <w:color w:val="000000"/>
          <w:sz w:val="24"/>
        </w:rPr>
        <w:t>（3）第3列“税收规定扣除率”：填报税收规定的扣除比例（14%）。</w:t>
      </w:r>
    </w:p>
    <w:p w14:paraId="75DE0121">
      <w:pPr>
        <w:spacing w:line="360" w:lineRule="auto"/>
        <w:ind w:firstLine="480" w:firstLineChars="200"/>
        <w:rPr>
          <w:rFonts w:ascii="宋体" w:hAnsi="宋体"/>
          <w:color w:val="000000"/>
          <w:sz w:val="24"/>
        </w:rPr>
      </w:pPr>
      <w:r>
        <w:rPr>
          <w:rFonts w:hint="eastAsia" w:ascii="宋体" w:hAnsi="宋体"/>
          <w:color w:val="000000"/>
          <w:sz w:val="24"/>
        </w:rPr>
        <w:t>（4）第5列“税收金额”：填报按照税收规定允许税前扣除的金额，按第1行第5列“工资薪金支出/税收金额”×14%、本表第3行第1列、本表第3行第2列三者孰小值填报。</w:t>
      </w:r>
    </w:p>
    <w:p w14:paraId="6E92DB25">
      <w:pPr>
        <w:spacing w:line="360" w:lineRule="auto"/>
        <w:ind w:firstLine="480" w:firstLineChars="200"/>
        <w:rPr>
          <w:rFonts w:ascii="宋体" w:hAnsi="宋体"/>
          <w:color w:val="000000"/>
          <w:sz w:val="24"/>
        </w:rPr>
      </w:pPr>
      <w:r>
        <w:rPr>
          <w:rFonts w:hint="eastAsia" w:ascii="宋体" w:hAnsi="宋体"/>
          <w:color w:val="000000"/>
          <w:sz w:val="24"/>
        </w:rPr>
        <w:t>（5）第6列“纳税调整金额”：填报第1-5列的余额。</w:t>
      </w:r>
    </w:p>
    <w:p w14:paraId="166FD416">
      <w:pPr>
        <w:spacing w:line="360" w:lineRule="auto"/>
        <w:ind w:firstLine="480" w:firstLineChars="200"/>
        <w:rPr>
          <w:rFonts w:ascii="宋体" w:hAnsi="宋体"/>
          <w:color w:val="FF0000"/>
          <w:sz w:val="24"/>
        </w:rPr>
      </w:pPr>
      <w:r>
        <w:rPr>
          <w:rFonts w:hint="eastAsia" w:ascii="宋体" w:hAnsi="宋体"/>
          <w:color w:val="000000"/>
          <w:sz w:val="24"/>
        </w:rPr>
        <w:t>4.第4行“三、职工教育经费支出”：填报第5行或者第5+6行金额。</w:t>
      </w:r>
    </w:p>
    <w:p w14:paraId="2159732E">
      <w:pPr>
        <w:spacing w:line="360" w:lineRule="auto"/>
        <w:ind w:firstLine="480" w:firstLineChars="200"/>
        <w:rPr>
          <w:rFonts w:ascii="宋体" w:hAnsi="宋体"/>
          <w:color w:val="000000"/>
          <w:sz w:val="24"/>
        </w:rPr>
      </w:pPr>
      <w:r>
        <w:rPr>
          <w:rFonts w:hint="eastAsia" w:ascii="宋体" w:hAnsi="宋体"/>
          <w:color w:val="000000"/>
          <w:sz w:val="24"/>
        </w:rPr>
        <w:t>5.第5行“其中：按税收规定比例扣除的职工教育经费”：适用于按照税收规定职工教育经费按比例税前扣除的纳税人填报，具体如下：</w:t>
      </w:r>
    </w:p>
    <w:p w14:paraId="796B789B">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（1）第1列“账载金额”填报纳税人会计核算计入成本费用的金额，不包括第6行可全额扣除的职工培训费用金额。</w:t>
      </w:r>
    </w:p>
    <w:p w14:paraId="4ECFD5CA">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（2）第2列“实际发生额”：分析填报纳税人“应付职工薪酬”会计科目下的职工教育经费实际发生额，不包括第6行可全额扣除的职工培训费用金额。</w:t>
      </w:r>
    </w:p>
    <w:p w14:paraId="6F48E5B2">
      <w:pPr>
        <w:spacing w:line="360" w:lineRule="auto"/>
        <w:ind w:firstLine="480" w:firstLineChars="200"/>
        <w:rPr>
          <w:rFonts w:ascii="宋体" w:hAnsi="宋体"/>
          <w:color w:val="000000"/>
          <w:sz w:val="24"/>
        </w:rPr>
      </w:pPr>
      <w:r>
        <w:rPr>
          <w:rFonts w:hint="eastAsia" w:ascii="宋体" w:hAnsi="宋体"/>
          <w:color w:val="000000"/>
          <w:sz w:val="24"/>
        </w:rPr>
        <w:t>（3）第3列“税收规定扣除率”：填报税收规定的扣除比例。</w:t>
      </w:r>
    </w:p>
    <w:p w14:paraId="08B7C1DE">
      <w:pPr>
        <w:spacing w:line="360" w:lineRule="auto"/>
        <w:ind w:firstLine="480" w:firstLineChars="200"/>
        <w:rPr>
          <w:rFonts w:ascii="宋体" w:hAnsi="宋体"/>
          <w:color w:val="000000"/>
          <w:sz w:val="24"/>
        </w:rPr>
      </w:pPr>
      <w:r>
        <w:rPr>
          <w:rFonts w:hint="eastAsia" w:ascii="宋体" w:hAnsi="宋体"/>
          <w:color w:val="000000"/>
          <w:sz w:val="24"/>
        </w:rPr>
        <w:t>（4）第4列“以前年度累计结转扣除额”：填报纳税人以前年度累计结转准予扣除的职工教育经费支出余额。</w:t>
      </w:r>
    </w:p>
    <w:p w14:paraId="41E89A3F">
      <w:pPr>
        <w:spacing w:line="360" w:lineRule="auto"/>
        <w:ind w:firstLine="480" w:firstLineChars="200"/>
        <w:rPr>
          <w:rFonts w:ascii="宋体" w:hAnsi="宋体"/>
          <w:color w:val="000000"/>
          <w:sz w:val="24"/>
        </w:rPr>
      </w:pPr>
      <w:r>
        <w:rPr>
          <w:rFonts w:hint="eastAsia" w:ascii="宋体" w:hAnsi="宋体"/>
          <w:color w:val="000000"/>
          <w:sz w:val="24"/>
        </w:rPr>
        <w:t>（5）第5列“税收金额”：填报纳税人按照税收规定允许税前扣除的金额（不包括第6行可全额扣除的职工培训费用金额），按第1行第5列“工资薪金支出—税收金额”×扣除比例与本行第1+4列之和的孰小值填报。</w:t>
      </w:r>
    </w:p>
    <w:p w14:paraId="4767CA73">
      <w:pPr>
        <w:spacing w:line="360" w:lineRule="auto"/>
        <w:ind w:firstLine="480" w:firstLineChars="200"/>
        <w:rPr>
          <w:rFonts w:ascii="宋体" w:hAnsi="宋体"/>
          <w:color w:val="000000"/>
          <w:sz w:val="24"/>
        </w:rPr>
      </w:pPr>
      <w:r>
        <w:rPr>
          <w:rFonts w:hint="eastAsia" w:ascii="宋体" w:hAnsi="宋体"/>
          <w:color w:val="000000"/>
          <w:sz w:val="24"/>
        </w:rPr>
        <w:t>（6）第6列“纳税调整金额”：填报第1-5列的余额。</w:t>
      </w:r>
    </w:p>
    <w:p w14:paraId="04DCE5B7">
      <w:pPr>
        <w:spacing w:line="360" w:lineRule="auto"/>
        <w:ind w:firstLine="480" w:firstLineChars="200"/>
        <w:rPr>
          <w:rFonts w:ascii="宋体" w:hAnsi="宋体"/>
          <w:color w:val="000000"/>
          <w:sz w:val="24"/>
        </w:rPr>
      </w:pPr>
      <w:r>
        <w:rPr>
          <w:rFonts w:hint="eastAsia" w:ascii="宋体" w:hAnsi="宋体"/>
          <w:color w:val="000000"/>
          <w:sz w:val="24"/>
        </w:rPr>
        <w:t>（7）第7列“累计结转以后年度扣除额”：填报第1+4-5列的金额。</w:t>
      </w:r>
    </w:p>
    <w:p w14:paraId="44EA8CB9">
      <w:pPr>
        <w:spacing w:line="360" w:lineRule="auto"/>
        <w:ind w:firstLine="480" w:firstLineChars="200"/>
        <w:rPr>
          <w:rFonts w:ascii="宋体" w:hAnsi="宋体"/>
          <w:color w:val="000000"/>
          <w:sz w:val="24"/>
        </w:rPr>
      </w:pPr>
      <w:r>
        <w:rPr>
          <w:rFonts w:hint="eastAsia" w:ascii="宋体" w:hAnsi="宋体"/>
          <w:color w:val="000000"/>
          <w:sz w:val="24"/>
        </w:rPr>
        <w:t>6.第6行“其中：按税收规定全额扣除的职工培训费用”：适用于按照税收规定职工培训费用允许全额税前扣除的纳税人填报，具体如下：</w:t>
      </w:r>
    </w:p>
    <w:p w14:paraId="5085B319">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w:t>
      </w:r>
    </w:p>
    <w:p w14:paraId="32DF4C03">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（2）第2列“实际发生额”：分析填报纳税人“应付职工薪酬”会计科目下的职工教育经费本年实际发生额（可全额扣除的职工培训费用金额）。</w:t>
      </w:r>
    </w:p>
    <w:p w14:paraId="0D04AE56">
      <w:pPr>
        <w:pStyle w:val="8"/>
      </w:pPr>
      <w:r>
        <w:rPr>
          <w:rFonts w:hint="eastAsia"/>
        </w:rPr>
        <w:t>（3）第3列“税收规定扣除率”：填报税收规定的扣除比例（100%）。</w:t>
      </w:r>
    </w:p>
    <w:p w14:paraId="3C75E540">
      <w:pPr>
        <w:pStyle w:val="8"/>
      </w:pPr>
      <w:r>
        <w:rPr>
          <w:rFonts w:hint="eastAsia"/>
        </w:rPr>
        <w:t>（4）第5列“税收金额”：填报按照税收规定允许税前扣除的金额。</w:t>
      </w:r>
    </w:p>
    <w:p w14:paraId="6DE3D639">
      <w:pPr>
        <w:pStyle w:val="8"/>
      </w:pPr>
      <w:r>
        <w:rPr>
          <w:rFonts w:hint="eastAsia"/>
        </w:rPr>
        <w:t>（5）第6列“纳税调整金额”：填报第1-5列的余额。</w:t>
      </w:r>
    </w:p>
    <w:p w14:paraId="2D8D51D0">
      <w:pPr>
        <w:pStyle w:val="8"/>
      </w:pPr>
      <w:r>
        <w:rPr>
          <w:rFonts w:hint="eastAsia"/>
        </w:rPr>
        <w:t>7.第7行“四、工会经费支出”：填报纳税人本年度拨缴工会经费及其会计核算、纳税调整等金额，具体如下：</w:t>
      </w:r>
    </w:p>
    <w:p w14:paraId="547328DA">
      <w:pPr>
        <w:pStyle w:val="8"/>
      </w:pPr>
      <w:r>
        <w:rPr>
          <w:rFonts w:hint="eastAsia"/>
        </w:rPr>
        <w:t>（1）第1列“账载金额”：填报纳税人会计核算计入成本费用的工会经费支出金额；</w:t>
      </w:r>
    </w:p>
    <w:p w14:paraId="63B336F9">
      <w:pPr>
        <w:pStyle w:val="8"/>
      </w:pPr>
      <w:r>
        <w:rPr>
          <w:rFonts w:hint="eastAsia"/>
        </w:rPr>
        <w:t>（2）第2列“实际发生额”：分析填报纳税人“应付职工薪酬”会计科目下的工会经费本年实际发生额。</w:t>
      </w:r>
    </w:p>
    <w:p w14:paraId="11BAEF95">
      <w:pPr>
        <w:pStyle w:val="8"/>
      </w:pPr>
      <w:r>
        <w:rPr>
          <w:rFonts w:hint="eastAsia"/>
        </w:rPr>
        <w:t>（3）第3列“税收规定扣除率”：填报税收规定的扣除比例（2%）。</w:t>
      </w:r>
    </w:p>
    <w:p w14:paraId="16EC83A6">
      <w:pPr>
        <w:pStyle w:val="8"/>
      </w:pPr>
      <w:r>
        <w:rPr>
          <w:rFonts w:hint="eastAsia"/>
        </w:rPr>
        <w:t>（4）第5列“税收金额”：填报按照税收规定允许税前扣除的金额，按第1行第5列“工资薪金支出/税收金额”×2%与本行第1列、本行第2列三者孰小值填报。</w:t>
      </w:r>
    </w:p>
    <w:p w14:paraId="3AE5E38C">
      <w:pPr>
        <w:pStyle w:val="8"/>
      </w:pPr>
      <w:r>
        <w:rPr>
          <w:rFonts w:hint="eastAsia"/>
        </w:rPr>
        <w:t>（5）第6列“纳税调整金额”：填报第1-5列的余额。</w:t>
      </w:r>
    </w:p>
    <w:p w14:paraId="257C7BFD">
      <w:pPr>
        <w:pStyle w:val="8"/>
      </w:pPr>
      <w:r>
        <w:rPr>
          <w:rFonts w:hint="eastAsia"/>
        </w:rPr>
        <w:t>8.第8行“五、各类基本社会保障性缴款”：填报纳税人依照国务院有关主管部门或者省级人民政府规定的范围和标准为职工缴纳的基本社会保险费及其会计核算、纳税调整金额，具体如下：</w:t>
      </w:r>
    </w:p>
    <w:p w14:paraId="54DEF7A2">
      <w:pPr>
        <w:pStyle w:val="8"/>
      </w:pPr>
      <w:r>
        <w:rPr>
          <w:rFonts w:hint="eastAsia"/>
        </w:rPr>
        <w:t>（1）第1列“账载金额”：填报纳税人会计核算的各类基本社会保障性缴款的金额。</w:t>
      </w:r>
    </w:p>
    <w:p w14:paraId="53B512EE">
      <w:pPr>
        <w:pStyle w:val="8"/>
      </w:pPr>
      <w:r>
        <w:rPr>
          <w:rFonts w:hint="eastAsia"/>
        </w:rPr>
        <w:t>（2）第2列“实际发生额”：分析填报纳税人“应付职工薪酬”会计科目下的各类基本社会保障性缴款本年实际发生额。</w:t>
      </w:r>
    </w:p>
    <w:p w14:paraId="5274A5D6">
      <w:pPr>
        <w:pStyle w:val="8"/>
      </w:pPr>
      <w:r>
        <w:rPr>
          <w:rFonts w:hint="eastAsia"/>
        </w:rPr>
        <w:t>（3）第5列“税收金额”：填报按照税收规定允许税前扣除的各类基本社会保障性缴款的金额，按本行第1列、第2列以及税收规定允许税前扣除的各类基本社会保障性缴款的金额孰小值填报。</w:t>
      </w:r>
    </w:p>
    <w:p w14:paraId="60DCB576">
      <w:pPr>
        <w:pStyle w:val="8"/>
      </w:pPr>
      <w:r>
        <w:rPr>
          <w:rFonts w:hint="eastAsia"/>
        </w:rPr>
        <w:t>（4）第6列“纳税调整金额”：填报第1-5列的余额。</w:t>
      </w:r>
    </w:p>
    <w:p w14:paraId="2EB66B34">
      <w:pPr>
        <w:pStyle w:val="8"/>
      </w:pPr>
      <w:r>
        <w:rPr>
          <w:rFonts w:hint="eastAsia"/>
        </w:rPr>
        <w:t>9.第9行“六、住房公积金”：填报纳税人依照国务院有关主管部门或者省级人民政府规定的范围和标准为职工缴纳的住房公积金及其会计核算、纳税调整金额，具体如下：</w:t>
      </w:r>
    </w:p>
    <w:p w14:paraId="4E0B3FE1">
      <w:pPr>
        <w:pStyle w:val="8"/>
      </w:pPr>
      <w:r>
        <w:rPr>
          <w:rFonts w:hint="eastAsia"/>
        </w:rPr>
        <w:t>（1）第1列“账载金额”：填报纳税人会计核算的住房公积金金额。</w:t>
      </w:r>
    </w:p>
    <w:p w14:paraId="78C3582B">
      <w:pPr>
        <w:pStyle w:val="8"/>
      </w:pPr>
      <w:r>
        <w:rPr>
          <w:rFonts w:hint="eastAsia"/>
        </w:rPr>
        <w:t>（2）第2列“实际发生额”：分析填报纳税人“应付职工薪酬”会计科目下的住房公积金本年实际发生额。</w:t>
      </w:r>
    </w:p>
    <w:p w14:paraId="43676E1E">
      <w:pPr>
        <w:pStyle w:val="8"/>
      </w:pPr>
      <w:r>
        <w:rPr>
          <w:rFonts w:hint="eastAsia"/>
        </w:rPr>
        <w:t>（3）第5列“税收金额”：填报按照税收规定允许税前扣除的住房公积金金额，按本行第1列、第2列以及税收规定允许税前扣除的住房公积金的金额孰小值填报。</w:t>
      </w:r>
    </w:p>
    <w:p w14:paraId="2DCA3E94">
      <w:pPr>
        <w:pStyle w:val="8"/>
      </w:pPr>
      <w:r>
        <w:rPr>
          <w:rFonts w:hint="eastAsia"/>
        </w:rPr>
        <w:t>（4）第6列“纳税调整金额”：填报第1-5列的余额。</w:t>
      </w:r>
    </w:p>
    <w:p w14:paraId="0B6746AC">
      <w:pPr>
        <w:pStyle w:val="8"/>
      </w:pPr>
      <w:r>
        <w:rPr>
          <w:rFonts w:hint="eastAsia"/>
        </w:rPr>
        <w:t>10.第10行“七、补充养老保险”：填报纳税人为投资者或者职工支付的补充养老保险费的会计核算、纳税调整金额，具体如下：</w:t>
      </w:r>
    </w:p>
    <w:p w14:paraId="73AFE9D6">
      <w:pPr>
        <w:pStyle w:val="8"/>
      </w:pPr>
      <w:r>
        <w:rPr>
          <w:rFonts w:hint="eastAsia"/>
        </w:rPr>
        <w:t>（1）第1列“账载金额”：填报纳税人会计核算的补充养老保险金额。</w:t>
      </w:r>
    </w:p>
    <w:p w14:paraId="68974B25">
      <w:pPr>
        <w:pStyle w:val="8"/>
      </w:pPr>
      <w:r>
        <w:rPr>
          <w:rFonts w:hint="eastAsia"/>
        </w:rPr>
        <w:t>（2）第2列“实际发生额”：分析填报纳税人“应付职工薪酬”会计科目下的补充养老保险本年实际发生额。</w:t>
      </w:r>
    </w:p>
    <w:p w14:paraId="5101B495">
      <w:pPr>
        <w:pStyle w:val="8"/>
      </w:pPr>
      <w:r>
        <w:rPr>
          <w:rFonts w:hint="eastAsia"/>
        </w:rPr>
        <w:t>（3）第3列“税收规定扣除率”：填报税收规定的扣除比例（5%）。</w:t>
      </w:r>
    </w:p>
    <w:p w14:paraId="4DCC7A24">
      <w:pPr>
        <w:pStyle w:val="8"/>
      </w:pPr>
      <w:r>
        <w:rPr>
          <w:rFonts w:hint="eastAsia"/>
        </w:rPr>
        <w:t>（4）第5列“税收金额”：填报按照税收规定允许税前扣除的补充养老保险的金额，按第1行第5列“工资薪金支出/税收金额”×5%、本行第1列、本行第2列的孰小值填报。</w:t>
      </w:r>
    </w:p>
    <w:p w14:paraId="4E268630">
      <w:pPr>
        <w:pStyle w:val="8"/>
      </w:pPr>
      <w:r>
        <w:rPr>
          <w:rFonts w:hint="eastAsia"/>
        </w:rPr>
        <w:t>（5）第6列“纳税调整金额”：填报第1-5列的余额。</w:t>
      </w:r>
    </w:p>
    <w:p w14:paraId="54EE1E09">
      <w:pPr>
        <w:pStyle w:val="8"/>
      </w:pPr>
      <w:r>
        <w:rPr>
          <w:rFonts w:hint="eastAsia"/>
        </w:rPr>
        <w:t>11.第11行“八、补充医疗保险”：填报纳税人为投资者或者职工支付的补充医疗保险费的会计核算、纳税调整金额，具体如下：</w:t>
      </w:r>
    </w:p>
    <w:p w14:paraId="53BE747E">
      <w:pPr>
        <w:pStyle w:val="8"/>
      </w:pPr>
      <w:r>
        <w:rPr>
          <w:rFonts w:hint="eastAsia"/>
        </w:rPr>
        <w:t>（1）第1列“账载金额”：填报纳税人会计核算的补充医疗保险金额。</w:t>
      </w:r>
    </w:p>
    <w:p w14:paraId="78E656FA">
      <w:pPr>
        <w:pStyle w:val="8"/>
      </w:pPr>
      <w:r>
        <w:rPr>
          <w:rFonts w:hint="eastAsia"/>
        </w:rPr>
        <w:t>（2）第2列“实际发生额”：分析填报纳税人“应付职工薪酬”会计科目下的补充医疗保险本年实际发生额。</w:t>
      </w:r>
    </w:p>
    <w:p w14:paraId="71F9BEDD">
      <w:pPr>
        <w:pStyle w:val="8"/>
      </w:pPr>
      <w:r>
        <w:rPr>
          <w:rFonts w:hint="eastAsia"/>
        </w:rPr>
        <w:t>（3）第3列“税收规定扣除率”：填报税收规定的扣除比例（5%）。</w:t>
      </w:r>
    </w:p>
    <w:p w14:paraId="6807E3A8">
      <w:pPr>
        <w:pStyle w:val="8"/>
      </w:pPr>
      <w:r>
        <w:rPr>
          <w:rFonts w:hint="eastAsia"/>
        </w:rPr>
        <w:t>（4）第5列“税收金额”：填报按照税收规定允许税前扣除的补充医疗保险的金额，按第1行第5列“工资薪金支出/税收金额”×5%、本行第1列、本行第2列的孰小值填报。</w:t>
      </w:r>
    </w:p>
    <w:p w14:paraId="417321C1">
      <w:pPr>
        <w:pStyle w:val="8"/>
      </w:pPr>
      <w:r>
        <w:rPr>
          <w:rFonts w:hint="eastAsia"/>
        </w:rPr>
        <w:t>（5）第6列“纳税调整金额”：填报第1-5列的余额。</w:t>
      </w:r>
    </w:p>
    <w:p w14:paraId="6DFBE64C">
      <w:pPr>
        <w:pStyle w:val="8"/>
      </w:pPr>
      <w:r>
        <w:rPr>
          <w:rFonts w:hint="eastAsia"/>
        </w:rPr>
        <w:t>12</w:t>
      </w:r>
      <w:r>
        <w:t>.</w:t>
      </w:r>
      <w:r>
        <w:rPr>
          <w:rFonts w:hint="eastAsia"/>
        </w:rPr>
        <w:t>第12行“九、其他”：填报其他职工薪酬的金额。</w:t>
      </w:r>
    </w:p>
    <w:p w14:paraId="79DCCAAE">
      <w:pPr>
        <w:pStyle w:val="8"/>
      </w:pPr>
      <w:r>
        <w:rPr>
          <w:rFonts w:hint="eastAsia"/>
        </w:rPr>
        <w:t>1</w:t>
      </w:r>
      <w:r>
        <w:t>3</w:t>
      </w:r>
      <w:r>
        <w:rPr>
          <w:rFonts w:hint="eastAsia"/>
        </w:rPr>
        <w:t>.第13行“合计”：填报第1+3+4+7+8+9+10+11+12行的合计金额。</w:t>
      </w:r>
    </w:p>
    <w:p w14:paraId="5CF7ABE7">
      <w:pPr>
        <w:pStyle w:val="10"/>
        <w:ind w:firstLine="482"/>
      </w:pPr>
      <w:r>
        <w:rPr>
          <w:rFonts w:hint="eastAsia"/>
        </w:rPr>
        <w:t>二、表内、表间关系</w:t>
      </w:r>
    </w:p>
    <w:p w14:paraId="090554E8">
      <w:pPr>
        <w:pStyle w:val="11"/>
      </w:pPr>
      <w:r>
        <w:rPr>
          <w:rFonts w:hint="eastAsia"/>
        </w:rPr>
        <w:t>（一）表内关系</w:t>
      </w:r>
    </w:p>
    <w:p w14:paraId="31813673">
      <w:pPr>
        <w:pStyle w:val="8"/>
        <w:rPr>
          <w:color w:val="000000"/>
        </w:rPr>
      </w:pPr>
      <w:r>
        <w:rPr>
          <w:rFonts w:hint="eastAsia"/>
          <w:color w:val="000000"/>
        </w:rPr>
        <w:t>1.第4行＝第5行或第5+6行。</w:t>
      </w:r>
    </w:p>
    <w:p w14:paraId="1A001F4E">
      <w:pPr>
        <w:pStyle w:val="8"/>
        <w:rPr>
          <w:color w:val="000000"/>
        </w:rPr>
      </w:pPr>
      <w:r>
        <w:rPr>
          <w:color w:val="000000"/>
        </w:rPr>
        <w:t>2</w:t>
      </w:r>
      <w:r>
        <w:rPr>
          <w:rFonts w:hint="eastAsia"/>
          <w:color w:val="000000"/>
        </w:rPr>
        <w:t>.第1</w:t>
      </w:r>
      <w:r>
        <w:rPr>
          <w:color w:val="000000"/>
        </w:rPr>
        <w:t>3</w:t>
      </w:r>
      <w:r>
        <w:rPr>
          <w:rFonts w:hint="eastAsia"/>
          <w:color w:val="000000"/>
        </w:rPr>
        <w:t>行＝第1+3+4+7+8+9+10+11+12行。</w:t>
      </w:r>
    </w:p>
    <w:p w14:paraId="307BE45B">
      <w:pPr>
        <w:pStyle w:val="8"/>
        <w:rPr>
          <w:color w:val="000000"/>
        </w:rPr>
      </w:pPr>
      <w:r>
        <w:rPr>
          <w:color w:val="000000"/>
        </w:rPr>
        <w:t>3</w:t>
      </w:r>
      <w:r>
        <w:rPr>
          <w:rFonts w:hint="eastAsia"/>
          <w:color w:val="000000"/>
        </w:rPr>
        <w:t>.第6列＝第1-5列。</w:t>
      </w:r>
    </w:p>
    <w:p w14:paraId="6A398F2A">
      <w:pPr>
        <w:pStyle w:val="8"/>
        <w:rPr>
          <w:color w:val="000000"/>
        </w:rPr>
      </w:pPr>
      <w:r>
        <w:rPr>
          <w:color w:val="000000"/>
        </w:rPr>
        <w:t>4</w:t>
      </w:r>
      <w:r>
        <w:rPr>
          <w:rFonts w:hint="eastAsia"/>
          <w:color w:val="000000"/>
        </w:rPr>
        <w:t>.第7列＝第1+4-5列。</w:t>
      </w:r>
    </w:p>
    <w:p w14:paraId="4872BF5C">
      <w:pPr>
        <w:pStyle w:val="11"/>
        <w:rPr>
          <w:color w:val="000000"/>
        </w:rPr>
      </w:pPr>
      <w:r>
        <w:rPr>
          <w:rFonts w:hint="eastAsia"/>
          <w:color w:val="000000"/>
        </w:rPr>
        <w:t>（二）表间关系</w:t>
      </w:r>
    </w:p>
    <w:p w14:paraId="02E50E3E">
      <w:pPr>
        <w:pStyle w:val="8"/>
        <w:rPr>
          <w:color w:val="000000"/>
        </w:rPr>
      </w:pPr>
      <w:r>
        <w:rPr>
          <w:rFonts w:hint="eastAsia"/>
          <w:color w:val="000000"/>
        </w:rPr>
        <w:t>1.第1</w:t>
      </w:r>
      <w:r>
        <w:rPr>
          <w:color w:val="000000"/>
        </w:rPr>
        <w:t>3</w:t>
      </w:r>
      <w:r>
        <w:rPr>
          <w:rFonts w:hint="eastAsia"/>
          <w:color w:val="000000"/>
        </w:rPr>
        <w:t>行第1列＝表A105000第14行第1列。</w:t>
      </w:r>
    </w:p>
    <w:p w14:paraId="7018B8B0">
      <w:pPr>
        <w:pStyle w:val="8"/>
        <w:rPr>
          <w:color w:val="000000"/>
        </w:rPr>
      </w:pPr>
      <w:r>
        <w:rPr>
          <w:rFonts w:hint="eastAsia"/>
          <w:color w:val="000000"/>
        </w:rPr>
        <w:t>2.第1</w:t>
      </w:r>
      <w:r>
        <w:rPr>
          <w:color w:val="000000"/>
        </w:rPr>
        <w:t>3</w:t>
      </w:r>
      <w:r>
        <w:rPr>
          <w:rFonts w:hint="eastAsia"/>
          <w:color w:val="000000"/>
        </w:rPr>
        <w:t>行第5列＝表A105000第14行第2列。</w:t>
      </w:r>
    </w:p>
    <w:p w14:paraId="271F7935">
      <w:pPr>
        <w:pStyle w:val="8"/>
      </w:pPr>
      <w:r>
        <w:rPr>
          <w:rFonts w:hint="eastAsia"/>
          <w:color w:val="000000"/>
        </w:rPr>
        <w:t>3.若第1</w:t>
      </w:r>
      <w:r>
        <w:rPr>
          <w:color w:val="000000"/>
        </w:rPr>
        <w:t>3</w:t>
      </w:r>
      <w:r>
        <w:rPr>
          <w:rFonts w:hint="eastAsia"/>
          <w:color w:val="000000"/>
        </w:rPr>
        <w:t>行第6列≥0，第1</w:t>
      </w:r>
      <w:r>
        <w:rPr>
          <w:color w:val="000000"/>
        </w:rPr>
        <w:t>3</w:t>
      </w:r>
      <w:r>
        <w:rPr>
          <w:rFonts w:hint="eastAsia"/>
          <w:color w:val="000000"/>
        </w:rPr>
        <w:t>行第6列＝表A105000第14行第3列；若第1</w:t>
      </w:r>
      <w:r>
        <w:rPr>
          <w:color w:val="000000"/>
        </w:rPr>
        <w:t>3</w:t>
      </w:r>
      <w:r>
        <w:rPr>
          <w:rFonts w:hint="eastAsia"/>
          <w:color w:val="000000"/>
        </w:rPr>
        <w:t>行第6列＜0，第1</w:t>
      </w:r>
      <w:r>
        <w:rPr>
          <w:color w:val="000000"/>
        </w:rPr>
        <w:t>3</w:t>
      </w:r>
      <w:r>
        <w:rPr>
          <w:rFonts w:hint="eastAsia"/>
          <w:color w:val="000000"/>
        </w:rPr>
        <w:t>行第6列的绝对值＝表A105000第14行第4列。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4D06529"/>
    <w:rsid w:val="26AE6283"/>
    <w:rsid w:val="4CFC467E"/>
    <w:rsid w:val="54D0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2024-08-10T11:53:00Z</dcterms:created>
  <dc:creator>www.shuiwu114.com</dc:creator>
  <cp:lastModifiedBy>www.shuiwu114.com</cp:lastModifiedBy>
  <dcterms:modified xsi:type="dcterms:W3CDTF">2024-08-10T11:54:51Z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B358C05AE1E74BE6B907150202415C0A_11</vt:lpwstr>
  </property>
</Properties>
</file>