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652AF">
      <w:pPr>
        <w:pStyle w:val="6"/>
      </w:pPr>
      <w:bookmarkStart w:id="0" w:name="_Toc499456587"/>
      <w:r>
        <w:rPr>
          <w:rFonts w:hint="eastAsia"/>
        </w:rPr>
        <w:t>A105090</w:t>
      </w:r>
      <w:r>
        <w:tab/>
      </w:r>
      <w:r>
        <w:rPr>
          <w:rFonts w:hint="eastAsia"/>
          <w:lang w:val="en-US" w:eastAsia="zh-CN"/>
        </w:rPr>
        <w:t xml:space="preserve">                            </w:t>
      </w:r>
      <w:r>
        <w:rPr>
          <w:rFonts w:hint="eastAsia"/>
        </w:rPr>
        <w:t>资产损失税前扣除及纳税调整明细表</w:t>
      </w:r>
      <w:bookmarkEnd w:id="0"/>
    </w:p>
    <w:tbl>
      <w:tblPr>
        <w:tblStyle w:val="3"/>
        <w:tblW w:w="144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0"/>
        <w:gridCol w:w="4780"/>
        <w:gridCol w:w="1520"/>
        <w:gridCol w:w="1520"/>
        <w:gridCol w:w="1520"/>
        <w:gridCol w:w="1520"/>
        <w:gridCol w:w="1520"/>
        <w:gridCol w:w="1520"/>
      </w:tblGrid>
      <w:tr w14:paraId="2F293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vMerge w:val="restart"/>
            <w:shd w:val="clear" w:color="auto" w:fill="auto"/>
            <w:noWrap/>
            <w:vAlign w:val="center"/>
          </w:tcPr>
          <w:p w14:paraId="3181DEC9">
            <w:pPr>
              <w:widowControl/>
              <w:jc w:val="center"/>
              <w:rPr>
                <w:rFonts w:ascii="宋体" w:hAnsi="宋体" w:cs="宋体"/>
                <w:kern w:val="0"/>
                <w:sz w:val="20"/>
                <w:szCs w:val="20"/>
              </w:rPr>
            </w:pPr>
            <w:r>
              <w:rPr>
                <w:rFonts w:hint="eastAsia" w:ascii="宋体" w:hAnsi="宋体" w:cs="宋体"/>
                <w:kern w:val="0"/>
                <w:sz w:val="20"/>
                <w:szCs w:val="20"/>
              </w:rPr>
              <w:t>行次</w:t>
            </w:r>
          </w:p>
        </w:tc>
        <w:tc>
          <w:tcPr>
            <w:tcW w:w="4780" w:type="dxa"/>
            <w:vMerge w:val="restart"/>
            <w:shd w:val="clear" w:color="auto" w:fill="auto"/>
            <w:noWrap/>
            <w:vAlign w:val="center"/>
          </w:tcPr>
          <w:p w14:paraId="1E138363">
            <w:pPr>
              <w:widowControl/>
              <w:jc w:val="center"/>
              <w:rPr>
                <w:rFonts w:ascii="宋体" w:hAnsi="宋体" w:cs="宋体"/>
                <w:kern w:val="0"/>
                <w:sz w:val="20"/>
                <w:szCs w:val="20"/>
              </w:rPr>
            </w:pPr>
            <w:r>
              <w:rPr>
                <w:rFonts w:hint="eastAsia" w:ascii="宋体" w:hAnsi="宋体" w:cs="宋体"/>
                <w:spacing w:val="500"/>
                <w:kern w:val="0"/>
                <w:sz w:val="20"/>
                <w:szCs w:val="20"/>
                <w:fitText w:val="1400" w:id="411639777"/>
              </w:rPr>
              <w:t>项</w:t>
            </w:r>
            <w:r>
              <w:rPr>
                <w:rFonts w:hint="eastAsia" w:ascii="宋体" w:hAnsi="宋体" w:cs="宋体"/>
                <w:spacing w:val="0"/>
                <w:kern w:val="0"/>
                <w:sz w:val="20"/>
                <w:szCs w:val="20"/>
                <w:fitText w:val="1400" w:id="411639777"/>
              </w:rPr>
              <w:t>目</w:t>
            </w:r>
          </w:p>
        </w:tc>
        <w:tc>
          <w:tcPr>
            <w:tcW w:w="1520" w:type="dxa"/>
            <w:shd w:val="clear" w:color="auto" w:fill="auto"/>
            <w:noWrap w:val="0"/>
            <w:vAlign w:val="center"/>
          </w:tcPr>
          <w:p w14:paraId="072A21E4">
            <w:pPr>
              <w:widowControl/>
              <w:jc w:val="center"/>
              <w:rPr>
                <w:rFonts w:ascii="宋体" w:hAnsi="宋体" w:cs="宋体"/>
                <w:kern w:val="0"/>
                <w:sz w:val="20"/>
                <w:szCs w:val="20"/>
              </w:rPr>
            </w:pPr>
            <w:r>
              <w:rPr>
                <w:rFonts w:hint="eastAsia" w:ascii="宋体" w:hAnsi="宋体" w:cs="宋体"/>
                <w:kern w:val="0"/>
                <w:sz w:val="20"/>
                <w:szCs w:val="20"/>
              </w:rPr>
              <w:t>资产损失的账载金额</w:t>
            </w:r>
          </w:p>
        </w:tc>
        <w:tc>
          <w:tcPr>
            <w:tcW w:w="1520" w:type="dxa"/>
            <w:shd w:val="clear" w:color="auto" w:fill="auto"/>
            <w:noWrap w:val="0"/>
            <w:vAlign w:val="center"/>
          </w:tcPr>
          <w:p w14:paraId="0388A514">
            <w:pPr>
              <w:widowControl/>
              <w:jc w:val="center"/>
              <w:rPr>
                <w:rFonts w:ascii="宋体" w:hAnsi="宋体" w:cs="宋体"/>
                <w:kern w:val="0"/>
                <w:sz w:val="20"/>
                <w:szCs w:val="20"/>
              </w:rPr>
            </w:pPr>
            <w:r>
              <w:rPr>
                <w:rFonts w:hint="eastAsia" w:ascii="宋体" w:hAnsi="宋体" w:cs="宋体"/>
                <w:kern w:val="0"/>
                <w:sz w:val="20"/>
                <w:szCs w:val="20"/>
              </w:rPr>
              <w:t>资产处置收入</w:t>
            </w:r>
          </w:p>
        </w:tc>
        <w:tc>
          <w:tcPr>
            <w:tcW w:w="1520" w:type="dxa"/>
            <w:shd w:val="clear" w:color="auto" w:fill="auto"/>
            <w:noWrap w:val="0"/>
            <w:vAlign w:val="center"/>
          </w:tcPr>
          <w:p w14:paraId="295A3FD1">
            <w:pPr>
              <w:widowControl/>
              <w:jc w:val="center"/>
              <w:rPr>
                <w:rFonts w:ascii="宋体" w:hAnsi="宋体" w:cs="宋体"/>
                <w:kern w:val="0"/>
                <w:sz w:val="20"/>
                <w:szCs w:val="20"/>
              </w:rPr>
            </w:pPr>
            <w:r>
              <w:rPr>
                <w:rFonts w:hint="eastAsia" w:ascii="宋体" w:hAnsi="宋体" w:cs="宋体"/>
                <w:kern w:val="0"/>
                <w:sz w:val="20"/>
                <w:szCs w:val="20"/>
              </w:rPr>
              <w:t>赔偿收入</w:t>
            </w:r>
          </w:p>
        </w:tc>
        <w:tc>
          <w:tcPr>
            <w:tcW w:w="1520" w:type="dxa"/>
            <w:shd w:val="clear" w:color="auto" w:fill="auto"/>
            <w:noWrap w:val="0"/>
            <w:vAlign w:val="center"/>
          </w:tcPr>
          <w:p w14:paraId="3F7899CF">
            <w:pPr>
              <w:widowControl/>
              <w:jc w:val="center"/>
              <w:rPr>
                <w:rFonts w:ascii="宋体" w:hAnsi="宋体" w:cs="宋体"/>
                <w:kern w:val="0"/>
                <w:sz w:val="20"/>
                <w:szCs w:val="20"/>
              </w:rPr>
            </w:pPr>
            <w:r>
              <w:rPr>
                <w:rFonts w:hint="eastAsia" w:ascii="宋体" w:hAnsi="宋体" w:cs="宋体"/>
                <w:kern w:val="0"/>
                <w:sz w:val="20"/>
                <w:szCs w:val="20"/>
              </w:rPr>
              <w:t>资产计税基础</w:t>
            </w:r>
          </w:p>
        </w:tc>
        <w:tc>
          <w:tcPr>
            <w:tcW w:w="1520" w:type="dxa"/>
            <w:shd w:val="clear" w:color="auto" w:fill="auto"/>
            <w:noWrap w:val="0"/>
            <w:vAlign w:val="center"/>
          </w:tcPr>
          <w:p w14:paraId="602A9C27">
            <w:pPr>
              <w:widowControl/>
              <w:jc w:val="center"/>
              <w:rPr>
                <w:rFonts w:ascii="宋体" w:hAnsi="宋体" w:cs="宋体"/>
                <w:kern w:val="0"/>
                <w:sz w:val="20"/>
                <w:szCs w:val="20"/>
              </w:rPr>
            </w:pPr>
            <w:r>
              <w:rPr>
                <w:rFonts w:hint="eastAsia" w:ascii="宋体" w:hAnsi="宋体" w:cs="宋体"/>
                <w:kern w:val="0"/>
                <w:sz w:val="20"/>
                <w:szCs w:val="20"/>
              </w:rPr>
              <w:t>资产损失的税收金额</w:t>
            </w:r>
          </w:p>
        </w:tc>
        <w:tc>
          <w:tcPr>
            <w:tcW w:w="1520" w:type="dxa"/>
            <w:shd w:val="clear" w:color="auto" w:fill="auto"/>
            <w:noWrap w:val="0"/>
            <w:vAlign w:val="center"/>
          </w:tcPr>
          <w:p w14:paraId="7D6BA997">
            <w:pPr>
              <w:widowControl/>
              <w:jc w:val="center"/>
              <w:rPr>
                <w:rFonts w:ascii="宋体" w:hAnsi="宋体" w:cs="宋体"/>
                <w:kern w:val="0"/>
                <w:sz w:val="20"/>
                <w:szCs w:val="20"/>
              </w:rPr>
            </w:pPr>
            <w:r>
              <w:rPr>
                <w:rFonts w:hint="eastAsia" w:ascii="宋体" w:hAnsi="宋体" w:cs="宋体"/>
                <w:kern w:val="0"/>
                <w:sz w:val="20"/>
                <w:szCs w:val="20"/>
              </w:rPr>
              <w:t>纳税调整金额</w:t>
            </w:r>
          </w:p>
        </w:tc>
      </w:tr>
      <w:tr w14:paraId="2921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580" w:type="dxa"/>
            <w:vMerge w:val="continue"/>
            <w:tcBorders>
              <w:bottom w:val="single" w:color="auto" w:sz="12" w:space="0"/>
            </w:tcBorders>
            <w:shd w:val="clear" w:color="auto" w:fill="auto"/>
            <w:noWrap w:val="0"/>
            <w:vAlign w:val="center"/>
          </w:tcPr>
          <w:p w14:paraId="5EC15EF6">
            <w:pPr>
              <w:widowControl/>
              <w:jc w:val="center"/>
              <w:rPr>
                <w:rFonts w:ascii="宋体" w:hAnsi="宋体" w:cs="宋体"/>
                <w:kern w:val="0"/>
                <w:sz w:val="20"/>
                <w:szCs w:val="20"/>
              </w:rPr>
            </w:pPr>
          </w:p>
        </w:tc>
        <w:tc>
          <w:tcPr>
            <w:tcW w:w="4780" w:type="dxa"/>
            <w:vMerge w:val="continue"/>
            <w:tcBorders>
              <w:bottom w:val="single" w:color="auto" w:sz="12" w:space="0"/>
            </w:tcBorders>
            <w:shd w:val="clear" w:color="auto" w:fill="auto"/>
            <w:noWrap/>
            <w:vAlign w:val="center"/>
          </w:tcPr>
          <w:p w14:paraId="5DD75798">
            <w:pPr>
              <w:widowControl/>
              <w:jc w:val="center"/>
              <w:rPr>
                <w:rFonts w:ascii="宋体" w:hAnsi="宋体" w:cs="宋体"/>
                <w:kern w:val="0"/>
                <w:sz w:val="20"/>
                <w:szCs w:val="20"/>
              </w:rPr>
            </w:pPr>
          </w:p>
        </w:tc>
        <w:tc>
          <w:tcPr>
            <w:tcW w:w="1520" w:type="dxa"/>
            <w:tcBorders>
              <w:bottom w:val="single" w:color="auto" w:sz="12" w:space="0"/>
            </w:tcBorders>
            <w:shd w:val="clear" w:color="auto" w:fill="auto"/>
            <w:noWrap/>
            <w:vAlign w:val="center"/>
          </w:tcPr>
          <w:p w14:paraId="390F7AAD">
            <w:pPr>
              <w:widowControl/>
              <w:jc w:val="center"/>
              <w:rPr>
                <w:rFonts w:ascii="宋体" w:hAnsi="宋体" w:cs="宋体"/>
                <w:kern w:val="0"/>
                <w:sz w:val="20"/>
                <w:szCs w:val="20"/>
              </w:rPr>
            </w:pPr>
            <w:r>
              <w:rPr>
                <w:rFonts w:ascii="宋体" w:hAnsi="宋体" w:cs="宋体"/>
                <w:kern w:val="0"/>
                <w:sz w:val="20"/>
                <w:szCs w:val="20"/>
              </w:rPr>
              <w:t>1</w:t>
            </w:r>
          </w:p>
        </w:tc>
        <w:tc>
          <w:tcPr>
            <w:tcW w:w="1520" w:type="dxa"/>
            <w:tcBorders>
              <w:bottom w:val="single" w:color="auto" w:sz="12" w:space="0"/>
            </w:tcBorders>
            <w:shd w:val="clear" w:color="auto" w:fill="auto"/>
            <w:noWrap/>
            <w:vAlign w:val="center"/>
          </w:tcPr>
          <w:p w14:paraId="37A14813">
            <w:pPr>
              <w:widowControl/>
              <w:jc w:val="center"/>
              <w:rPr>
                <w:rFonts w:ascii="宋体" w:hAnsi="宋体" w:cs="宋体"/>
                <w:kern w:val="0"/>
                <w:sz w:val="20"/>
                <w:szCs w:val="20"/>
              </w:rPr>
            </w:pPr>
            <w:r>
              <w:rPr>
                <w:rFonts w:ascii="宋体" w:hAnsi="宋体" w:cs="宋体"/>
                <w:kern w:val="0"/>
                <w:sz w:val="20"/>
                <w:szCs w:val="20"/>
              </w:rPr>
              <w:t>2</w:t>
            </w:r>
          </w:p>
        </w:tc>
        <w:tc>
          <w:tcPr>
            <w:tcW w:w="1520" w:type="dxa"/>
            <w:tcBorders>
              <w:bottom w:val="single" w:color="auto" w:sz="12" w:space="0"/>
            </w:tcBorders>
            <w:shd w:val="clear" w:color="auto" w:fill="auto"/>
            <w:noWrap/>
            <w:vAlign w:val="center"/>
          </w:tcPr>
          <w:p w14:paraId="51D65184">
            <w:pPr>
              <w:widowControl/>
              <w:jc w:val="center"/>
              <w:rPr>
                <w:rFonts w:ascii="宋体" w:hAnsi="宋体" w:cs="宋体"/>
                <w:kern w:val="0"/>
                <w:sz w:val="20"/>
                <w:szCs w:val="20"/>
              </w:rPr>
            </w:pPr>
            <w:r>
              <w:rPr>
                <w:rFonts w:ascii="宋体" w:hAnsi="宋体" w:cs="宋体"/>
                <w:kern w:val="0"/>
                <w:sz w:val="20"/>
                <w:szCs w:val="20"/>
              </w:rPr>
              <w:t>3</w:t>
            </w:r>
          </w:p>
        </w:tc>
        <w:tc>
          <w:tcPr>
            <w:tcW w:w="1520" w:type="dxa"/>
            <w:tcBorders>
              <w:bottom w:val="single" w:color="auto" w:sz="12" w:space="0"/>
            </w:tcBorders>
            <w:shd w:val="clear" w:color="auto" w:fill="auto"/>
            <w:noWrap/>
            <w:vAlign w:val="center"/>
          </w:tcPr>
          <w:p w14:paraId="29F6839C">
            <w:pPr>
              <w:widowControl/>
              <w:jc w:val="center"/>
              <w:rPr>
                <w:rFonts w:ascii="宋体" w:hAnsi="宋体" w:cs="宋体"/>
                <w:kern w:val="0"/>
                <w:sz w:val="20"/>
                <w:szCs w:val="20"/>
              </w:rPr>
            </w:pPr>
            <w:r>
              <w:rPr>
                <w:rFonts w:ascii="宋体" w:hAnsi="宋体" w:cs="宋体"/>
                <w:kern w:val="0"/>
                <w:sz w:val="20"/>
                <w:szCs w:val="20"/>
              </w:rPr>
              <w:t>4</w:t>
            </w:r>
          </w:p>
        </w:tc>
        <w:tc>
          <w:tcPr>
            <w:tcW w:w="1520" w:type="dxa"/>
            <w:tcBorders>
              <w:bottom w:val="single" w:color="auto" w:sz="12" w:space="0"/>
            </w:tcBorders>
            <w:shd w:val="clear" w:color="auto" w:fill="auto"/>
            <w:noWrap/>
            <w:vAlign w:val="center"/>
          </w:tcPr>
          <w:p w14:paraId="65DE97EC">
            <w:pPr>
              <w:widowControl/>
              <w:jc w:val="center"/>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p>
        </w:tc>
        <w:tc>
          <w:tcPr>
            <w:tcW w:w="1520" w:type="dxa"/>
            <w:tcBorders>
              <w:bottom w:val="single" w:color="auto" w:sz="12" w:space="0"/>
            </w:tcBorders>
            <w:shd w:val="clear" w:color="auto" w:fill="auto"/>
            <w:noWrap w:val="0"/>
            <w:vAlign w:val="center"/>
          </w:tcPr>
          <w:p w14:paraId="787D950C">
            <w:pPr>
              <w:widowControl/>
              <w:jc w:val="center"/>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w:t>
            </w:r>
          </w:p>
        </w:tc>
      </w:tr>
      <w:tr w14:paraId="484A5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12" w:space="0"/>
              <w:bottom w:val="single" w:color="auto" w:sz="6" w:space="0"/>
            </w:tcBorders>
            <w:shd w:val="clear" w:color="auto" w:fill="auto"/>
            <w:noWrap w:val="0"/>
            <w:vAlign w:val="center"/>
          </w:tcPr>
          <w:p w14:paraId="5B4150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780" w:type="dxa"/>
            <w:tcBorders>
              <w:top w:val="single" w:color="auto" w:sz="12" w:space="0"/>
              <w:bottom w:val="single" w:color="auto" w:sz="6" w:space="0"/>
            </w:tcBorders>
            <w:shd w:val="clear" w:color="auto" w:fill="auto"/>
            <w:noWrap w:val="0"/>
            <w:vAlign w:val="center"/>
          </w:tcPr>
          <w:p w14:paraId="024D359E">
            <w:pPr>
              <w:widowControl/>
              <w:rPr>
                <w:rFonts w:ascii="宋体" w:hAnsi="宋体" w:cs="宋体"/>
                <w:kern w:val="0"/>
                <w:sz w:val="20"/>
                <w:szCs w:val="20"/>
              </w:rPr>
            </w:pPr>
            <w:r>
              <w:rPr>
                <w:rFonts w:hint="eastAsia" w:ascii="宋体" w:hAnsi="宋体" w:cs="宋体"/>
                <w:kern w:val="0"/>
                <w:sz w:val="20"/>
                <w:szCs w:val="20"/>
              </w:rPr>
              <w:t>一、清单申报资产损失（2+3+4+5+6+7+8）</w:t>
            </w:r>
          </w:p>
        </w:tc>
        <w:tc>
          <w:tcPr>
            <w:tcW w:w="1520" w:type="dxa"/>
            <w:tcBorders>
              <w:top w:val="single" w:color="auto" w:sz="12" w:space="0"/>
              <w:bottom w:val="single" w:color="auto" w:sz="6" w:space="0"/>
            </w:tcBorders>
            <w:shd w:val="clear" w:color="auto" w:fill="auto"/>
            <w:noWrap w:val="0"/>
            <w:vAlign w:val="center"/>
          </w:tcPr>
          <w:p w14:paraId="45C4469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noWrap/>
            <w:vAlign w:val="center"/>
          </w:tcPr>
          <w:p w14:paraId="429692B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noWrap/>
            <w:vAlign w:val="center"/>
          </w:tcPr>
          <w:p w14:paraId="4618687D">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noWrap/>
            <w:vAlign w:val="center"/>
          </w:tcPr>
          <w:p w14:paraId="014A342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noWrap w:val="0"/>
            <w:vAlign w:val="center"/>
          </w:tcPr>
          <w:p w14:paraId="6BD7A465">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12" w:space="0"/>
              <w:bottom w:val="single" w:color="auto" w:sz="6" w:space="0"/>
            </w:tcBorders>
            <w:shd w:val="clear" w:color="auto" w:fill="auto"/>
            <w:noWrap/>
            <w:vAlign w:val="center"/>
          </w:tcPr>
          <w:p w14:paraId="70F29F67">
            <w:pPr>
              <w:widowControl/>
              <w:jc w:val="right"/>
              <w:rPr>
                <w:rFonts w:ascii="宋体" w:hAnsi="宋体" w:cs="宋体"/>
                <w:kern w:val="0"/>
                <w:sz w:val="20"/>
                <w:szCs w:val="20"/>
              </w:rPr>
            </w:pPr>
            <w:r>
              <w:rPr>
                <w:rFonts w:hint="eastAsia" w:ascii="宋体" w:hAnsi="宋体" w:cs="宋体"/>
                <w:kern w:val="0"/>
                <w:sz w:val="20"/>
                <w:szCs w:val="20"/>
              </w:rPr>
              <w:t>　</w:t>
            </w:r>
          </w:p>
        </w:tc>
      </w:tr>
      <w:tr w14:paraId="5B70F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09A72C7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780" w:type="dxa"/>
            <w:tcBorders>
              <w:top w:val="single" w:color="auto" w:sz="6" w:space="0"/>
              <w:bottom w:val="single" w:color="auto" w:sz="6" w:space="0"/>
            </w:tcBorders>
            <w:shd w:val="clear" w:color="auto" w:fill="auto"/>
            <w:noWrap w:val="0"/>
            <w:vAlign w:val="center"/>
          </w:tcPr>
          <w:p w14:paraId="7198F247">
            <w:pPr>
              <w:widowControl/>
              <w:ind w:left="420" w:leftChars="200"/>
              <w:rPr>
                <w:rFonts w:ascii="宋体" w:hAnsi="宋体" w:cs="宋体"/>
                <w:kern w:val="0"/>
                <w:sz w:val="20"/>
                <w:szCs w:val="20"/>
              </w:rPr>
            </w:pPr>
            <w:r>
              <w:rPr>
                <w:rFonts w:hint="eastAsia" w:ascii="宋体" w:hAnsi="宋体" w:cs="宋体"/>
                <w:kern w:val="0"/>
                <w:sz w:val="20"/>
                <w:szCs w:val="20"/>
              </w:rPr>
              <w:t>（一）正常经营管理活动中，按照公允价格销售、转让、变卖非货币资产的损失</w:t>
            </w:r>
          </w:p>
        </w:tc>
        <w:tc>
          <w:tcPr>
            <w:tcW w:w="1520" w:type="dxa"/>
            <w:tcBorders>
              <w:top w:val="single" w:color="auto" w:sz="6" w:space="0"/>
              <w:bottom w:val="single" w:color="auto" w:sz="6" w:space="0"/>
            </w:tcBorders>
            <w:shd w:val="clear" w:color="auto" w:fill="auto"/>
            <w:noWrap w:val="0"/>
            <w:vAlign w:val="center"/>
          </w:tcPr>
          <w:p w14:paraId="7124FF17">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0E57DF78">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035D2721">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3249F001">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1EB15BF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1AB6C5E9">
            <w:pPr>
              <w:widowControl/>
              <w:jc w:val="right"/>
              <w:rPr>
                <w:rFonts w:ascii="宋体" w:hAnsi="宋体" w:cs="宋体"/>
                <w:kern w:val="0"/>
                <w:sz w:val="20"/>
                <w:szCs w:val="20"/>
              </w:rPr>
            </w:pPr>
            <w:r>
              <w:rPr>
                <w:rFonts w:hint="eastAsia" w:ascii="宋体" w:hAnsi="宋体" w:cs="宋体"/>
                <w:kern w:val="0"/>
                <w:sz w:val="20"/>
                <w:szCs w:val="20"/>
              </w:rPr>
              <w:t>　</w:t>
            </w:r>
          </w:p>
        </w:tc>
      </w:tr>
      <w:tr w14:paraId="3AF5C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41757F9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780" w:type="dxa"/>
            <w:tcBorders>
              <w:top w:val="single" w:color="auto" w:sz="6" w:space="0"/>
              <w:bottom w:val="single" w:color="auto" w:sz="6" w:space="0"/>
            </w:tcBorders>
            <w:shd w:val="clear" w:color="auto" w:fill="auto"/>
            <w:noWrap w:val="0"/>
            <w:vAlign w:val="center"/>
          </w:tcPr>
          <w:p w14:paraId="746A99C9">
            <w:pPr>
              <w:widowControl/>
              <w:ind w:left="420" w:leftChars="200"/>
              <w:rPr>
                <w:rFonts w:ascii="宋体" w:hAnsi="宋体" w:cs="宋体"/>
                <w:kern w:val="0"/>
                <w:sz w:val="20"/>
                <w:szCs w:val="20"/>
              </w:rPr>
            </w:pPr>
            <w:r>
              <w:rPr>
                <w:rFonts w:hint="eastAsia" w:ascii="宋体" w:hAnsi="宋体" w:cs="宋体"/>
                <w:kern w:val="0"/>
                <w:sz w:val="20"/>
                <w:szCs w:val="20"/>
              </w:rPr>
              <w:t>（二）存货发生的正常损耗</w:t>
            </w:r>
          </w:p>
        </w:tc>
        <w:tc>
          <w:tcPr>
            <w:tcW w:w="1520" w:type="dxa"/>
            <w:tcBorders>
              <w:top w:val="single" w:color="auto" w:sz="6" w:space="0"/>
              <w:bottom w:val="single" w:color="auto" w:sz="6" w:space="0"/>
            </w:tcBorders>
            <w:shd w:val="clear" w:color="auto" w:fill="auto"/>
            <w:noWrap w:val="0"/>
            <w:vAlign w:val="center"/>
          </w:tcPr>
          <w:p w14:paraId="3C91DD2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374B6A46">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0516AC7D">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6158B0BB">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7E76D99C">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500C654D">
            <w:pPr>
              <w:widowControl/>
              <w:jc w:val="right"/>
              <w:rPr>
                <w:rFonts w:ascii="宋体" w:hAnsi="宋体" w:cs="宋体"/>
                <w:kern w:val="0"/>
                <w:sz w:val="20"/>
                <w:szCs w:val="20"/>
              </w:rPr>
            </w:pPr>
            <w:r>
              <w:rPr>
                <w:rFonts w:hint="eastAsia" w:ascii="宋体" w:hAnsi="宋体" w:cs="宋体"/>
                <w:kern w:val="0"/>
                <w:sz w:val="20"/>
                <w:szCs w:val="20"/>
              </w:rPr>
              <w:t>　</w:t>
            </w:r>
          </w:p>
        </w:tc>
      </w:tr>
      <w:tr w14:paraId="72B29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66D81C0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780" w:type="dxa"/>
            <w:tcBorders>
              <w:top w:val="single" w:color="auto" w:sz="6" w:space="0"/>
              <w:bottom w:val="single" w:color="auto" w:sz="6" w:space="0"/>
            </w:tcBorders>
            <w:shd w:val="clear" w:color="auto" w:fill="auto"/>
            <w:noWrap w:val="0"/>
            <w:vAlign w:val="center"/>
          </w:tcPr>
          <w:p w14:paraId="46D792C6">
            <w:pPr>
              <w:widowControl/>
              <w:ind w:left="420" w:leftChars="200"/>
              <w:rPr>
                <w:rFonts w:ascii="宋体" w:hAnsi="宋体" w:cs="宋体"/>
                <w:kern w:val="0"/>
                <w:sz w:val="20"/>
                <w:szCs w:val="20"/>
              </w:rPr>
            </w:pPr>
            <w:r>
              <w:rPr>
                <w:rFonts w:hint="eastAsia" w:ascii="宋体" w:hAnsi="宋体" w:cs="宋体"/>
                <w:kern w:val="0"/>
                <w:sz w:val="20"/>
                <w:szCs w:val="20"/>
              </w:rPr>
              <w:t>（三）固定资产达到或超过使用年限而正常报废清理的损失</w:t>
            </w:r>
          </w:p>
        </w:tc>
        <w:tc>
          <w:tcPr>
            <w:tcW w:w="1520" w:type="dxa"/>
            <w:tcBorders>
              <w:top w:val="single" w:color="auto" w:sz="6" w:space="0"/>
              <w:bottom w:val="single" w:color="auto" w:sz="6" w:space="0"/>
            </w:tcBorders>
            <w:shd w:val="clear" w:color="auto" w:fill="auto"/>
            <w:noWrap w:val="0"/>
            <w:vAlign w:val="center"/>
          </w:tcPr>
          <w:p w14:paraId="656CB828">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25C1D3E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681C446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1EFE525F">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26D1302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384F9DCF">
            <w:pPr>
              <w:widowControl/>
              <w:jc w:val="right"/>
              <w:rPr>
                <w:rFonts w:ascii="宋体" w:hAnsi="宋体" w:cs="宋体"/>
                <w:kern w:val="0"/>
                <w:sz w:val="20"/>
                <w:szCs w:val="20"/>
              </w:rPr>
            </w:pPr>
            <w:r>
              <w:rPr>
                <w:rFonts w:hint="eastAsia" w:ascii="宋体" w:hAnsi="宋体" w:cs="宋体"/>
                <w:kern w:val="0"/>
                <w:sz w:val="20"/>
                <w:szCs w:val="20"/>
              </w:rPr>
              <w:t>　</w:t>
            </w:r>
          </w:p>
        </w:tc>
      </w:tr>
      <w:tr w14:paraId="6F41B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1D76F61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780" w:type="dxa"/>
            <w:tcBorders>
              <w:top w:val="single" w:color="auto" w:sz="6" w:space="0"/>
              <w:bottom w:val="single" w:color="auto" w:sz="6" w:space="0"/>
            </w:tcBorders>
            <w:shd w:val="clear" w:color="auto" w:fill="auto"/>
            <w:noWrap w:val="0"/>
            <w:vAlign w:val="center"/>
          </w:tcPr>
          <w:p w14:paraId="0FACD02B">
            <w:pPr>
              <w:widowControl/>
              <w:ind w:left="420" w:leftChars="200"/>
              <w:rPr>
                <w:rFonts w:ascii="宋体" w:hAnsi="宋体" w:cs="宋体"/>
                <w:kern w:val="0"/>
                <w:sz w:val="20"/>
                <w:szCs w:val="20"/>
              </w:rPr>
            </w:pPr>
            <w:r>
              <w:rPr>
                <w:rFonts w:hint="eastAsia" w:ascii="宋体" w:hAnsi="宋体" w:cs="宋体"/>
                <w:kern w:val="0"/>
                <w:sz w:val="20"/>
                <w:szCs w:val="20"/>
              </w:rPr>
              <w:t>（四）生产性生物资产达到或超过使用年限而正常死亡发生的资产损失</w:t>
            </w:r>
          </w:p>
        </w:tc>
        <w:tc>
          <w:tcPr>
            <w:tcW w:w="1520" w:type="dxa"/>
            <w:tcBorders>
              <w:top w:val="single" w:color="auto" w:sz="6" w:space="0"/>
              <w:bottom w:val="single" w:color="auto" w:sz="6" w:space="0"/>
            </w:tcBorders>
            <w:shd w:val="clear" w:color="auto" w:fill="auto"/>
            <w:noWrap w:val="0"/>
            <w:vAlign w:val="center"/>
          </w:tcPr>
          <w:p w14:paraId="59FCDA2E">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3E560BB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4DABB90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1FF1ED4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2D07B5C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247A7F35">
            <w:pPr>
              <w:widowControl/>
              <w:jc w:val="right"/>
              <w:rPr>
                <w:rFonts w:ascii="宋体" w:hAnsi="宋体" w:cs="宋体"/>
                <w:kern w:val="0"/>
                <w:sz w:val="20"/>
                <w:szCs w:val="20"/>
              </w:rPr>
            </w:pPr>
            <w:r>
              <w:rPr>
                <w:rFonts w:hint="eastAsia" w:ascii="宋体" w:hAnsi="宋体" w:cs="宋体"/>
                <w:kern w:val="0"/>
                <w:sz w:val="20"/>
                <w:szCs w:val="20"/>
              </w:rPr>
              <w:t>　</w:t>
            </w:r>
          </w:p>
        </w:tc>
      </w:tr>
      <w:tr w14:paraId="2B0BA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210B31B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780" w:type="dxa"/>
            <w:tcBorders>
              <w:top w:val="single" w:color="auto" w:sz="6" w:space="0"/>
              <w:bottom w:val="single" w:color="auto" w:sz="6" w:space="0"/>
            </w:tcBorders>
            <w:shd w:val="clear" w:color="auto" w:fill="auto"/>
            <w:noWrap w:val="0"/>
            <w:vAlign w:val="center"/>
          </w:tcPr>
          <w:p w14:paraId="4FF3F8B7">
            <w:pPr>
              <w:widowControl/>
              <w:ind w:left="420" w:leftChars="200"/>
              <w:rPr>
                <w:rFonts w:ascii="宋体" w:hAnsi="宋体" w:cs="宋体"/>
                <w:kern w:val="0"/>
                <w:sz w:val="20"/>
                <w:szCs w:val="20"/>
              </w:rPr>
            </w:pPr>
            <w:r>
              <w:rPr>
                <w:rFonts w:hint="eastAsia" w:ascii="宋体" w:hAnsi="宋体" w:cs="宋体"/>
                <w:kern w:val="0"/>
                <w:sz w:val="20"/>
                <w:szCs w:val="20"/>
              </w:rPr>
              <w:t>（五）按照市场公平交易原则，通过各种交易场所、市场等买卖债券、股票、期货、基金以及金融衍生产品等发生的损失</w:t>
            </w:r>
          </w:p>
        </w:tc>
        <w:tc>
          <w:tcPr>
            <w:tcW w:w="1520" w:type="dxa"/>
            <w:tcBorders>
              <w:top w:val="single" w:color="auto" w:sz="6" w:space="0"/>
              <w:bottom w:val="single" w:color="auto" w:sz="6" w:space="0"/>
            </w:tcBorders>
            <w:shd w:val="clear" w:color="auto" w:fill="auto"/>
            <w:noWrap w:val="0"/>
            <w:vAlign w:val="center"/>
          </w:tcPr>
          <w:p w14:paraId="6A5CE6EA">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7DCF1703">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14DCA5B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57DE0A9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3E0AA14E">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471FD61B">
            <w:pPr>
              <w:widowControl/>
              <w:jc w:val="right"/>
              <w:rPr>
                <w:rFonts w:ascii="宋体" w:hAnsi="宋体" w:cs="宋体"/>
                <w:kern w:val="0"/>
                <w:sz w:val="20"/>
                <w:szCs w:val="20"/>
              </w:rPr>
            </w:pPr>
            <w:r>
              <w:rPr>
                <w:rFonts w:hint="eastAsia" w:ascii="宋体" w:hAnsi="宋体" w:cs="宋体"/>
                <w:kern w:val="0"/>
                <w:sz w:val="20"/>
                <w:szCs w:val="20"/>
              </w:rPr>
              <w:t>　</w:t>
            </w:r>
          </w:p>
        </w:tc>
      </w:tr>
      <w:tr w14:paraId="4FFA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noWrap w:val="0"/>
            <w:vAlign w:val="center"/>
          </w:tcPr>
          <w:p w14:paraId="4A074DFC">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780" w:type="dxa"/>
            <w:tcBorders>
              <w:top w:val="single" w:color="auto" w:sz="6" w:space="0"/>
              <w:bottom w:val="single" w:color="auto" w:sz="6" w:space="0"/>
            </w:tcBorders>
            <w:shd w:val="clear" w:color="auto" w:fill="auto"/>
            <w:noWrap w:val="0"/>
            <w:vAlign w:val="center"/>
          </w:tcPr>
          <w:p w14:paraId="64B2DAB1">
            <w:pPr>
              <w:widowControl/>
              <w:ind w:left="420" w:leftChars="200"/>
              <w:rPr>
                <w:rFonts w:ascii="宋体" w:hAnsi="宋体" w:cs="宋体"/>
                <w:kern w:val="0"/>
                <w:sz w:val="20"/>
                <w:szCs w:val="20"/>
              </w:rPr>
            </w:pPr>
            <w:r>
              <w:rPr>
                <w:rFonts w:hint="eastAsia" w:ascii="宋体" w:hAnsi="宋体" w:cs="宋体"/>
                <w:kern w:val="0"/>
                <w:sz w:val="20"/>
                <w:szCs w:val="20"/>
              </w:rPr>
              <w:t>（六）分支机构上报的资产损失</w:t>
            </w:r>
          </w:p>
        </w:tc>
        <w:tc>
          <w:tcPr>
            <w:tcW w:w="1520" w:type="dxa"/>
            <w:tcBorders>
              <w:top w:val="single" w:color="auto" w:sz="6" w:space="0"/>
              <w:bottom w:val="single" w:color="auto" w:sz="6" w:space="0"/>
            </w:tcBorders>
            <w:shd w:val="clear" w:color="auto" w:fill="auto"/>
            <w:noWrap w:val="0"/>
            <w:vAlign w:val="center"/>
          </w:tcPr>
          <w:p w14:paraId="616072C9">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6" w:space="0"/>
            </w:tcBorders>
            <w:shd w:val="clear" w:color="auto" w:fill="auto"/>
            <w:noWrap/>
            <w:vAlign w:val="center"/>
          </w:tcPr>
          <w:p w14:paraId="7499FA7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206BD34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ign w:val="center"/>
          </w:tcPr>
          <w:p w14:paraId="306D505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noWrap w:val="0"/>
            <w:vAlign w:val="center"/>
          </w:tcPr>
          <w:p w14:paraId="386FC5CF">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6" w:space="0"/>
            </w:tcBorders>
            <w:shd w:val="clear" w:color="auto" w:fill="auto"/>
            <w:noWrap/>
            <w:vAlign w:val="center"/>
          </w:tcPr>
          <w:p w14:paraId="0ABF94BD">
            <w:pPr>
              <w:widowControl/>
              <w:jc w:val="right"/>
              <w:rPr>
                <w:rFonts w:ascii="宋体" w:hAnsi="宋体" w:cs="宋体"/>
                <w:kern w:val="0"/>
                <w:sz w:val="20"/>
                <w:szCs w:val="20"/>
              </w:rPr>
            </w:pPr>
            <w:r>
              <w:rPr>
                <w:rFonts w:hint="eastAsia" w:ascii="宋体" w:hAnsi="宋体" w:cs="宋体"/>
                <w:kern w:val="0"/>
                <w:sz w:val="20"/>
                <w:szCs w:val="20"/>
              </w:rPr>
              <w:t>　</w:t>
            </w:r>
          </w:p>
        </w:tc>
      </w:tr>
      <w:tr w14:paraId="6565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12" w:space="0"/>
            </w:tcBorders>
            <w:shd w:val="clear" w:color="auto" w:fill="auto"/>
            <w:noWrap w:val="0"/>
            <w:vAlign w:val="center"/>
          </w:tcPr>
          <w:p w14:paraId="17085EF7">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780" w:type="dxa"/>
            <w:tcBorders>
              <w:top w:val="single" w:color="auto" w:sz="6" w:space="0"/>
              <w:bottom w:val="single" w:color="auto" w:sz="12" w:space="0"/>
            </w:tcBorders>
            <w:shd w:val="clear" w:color="auto" w:fill="auto"/>
            <w:noWrap w:val="0"/>
            <w:vAlign w:val="center"/>
          </w:tcPr>
          <w:p w14:paraId="6D5D44E4">
            <w:pPr>
              <w:widowControl/>
              <w:ind w:left="420" w:leftChars="200"/>
              <w:rPr>
                <w:rFonts w:ascii="宋体" w:hAnsi="宋体" w:cs="宋体"/>
                <w:kern w:val="0"/>
                <w:sz w:val="20"/>
                <w:szCs w:val="20"/>
              </w:rPr>
            </w:pPr>
            <w:r>
              <w:rPr>
                <w:rFonts w:hint="eastAsia" w:ascii="宋体" w:hAnsi="宋体" w:cs="宋体"/>
                <w:kern w:val="0"/>
                <w:sz w:val="20"/>
                <w:szCs w:val="20"/>
              </w:rPr>
              <w:t>（七）其他</w:t>
            </w:r>
          </w:p>
        </w:tc>
        <w:tc>
          <w:tcPr>
            <w:tcW w:w="1520" w:type="dxa"/>
            <w:tcBorders>
              <w:top w:val="single" w:color="auto" w:sz="6" w:space="0"/>
              <w:bottom w:val="single" w:color="auto" w:sz="12" w:space="0"/>
            </w:tcBorders>
            <w:shd w:val="clear" w:color="auto" w:fill="auto"/>
            <w:noWrap w:val="0"/>
            <w:vAlign w:val="center"/>
          </w:tcPr>
          <w:p w14:paraId="10A6C6D2">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12" w:space="0"/>
            </w:tcBorders>
            <w:shd w:val="clear" w:color="auto" w:fill="auto"/>
            <w:noWrap/>
            <w:vAlign w:val="center"/>
          </w:tcPr>
          <w:p w14:paraId="67C0AD9A">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noWrap/>
            <w:vAlign w:val="center"/>
          </w:tcPr>
          <w:p w14:paraId="37317E53">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noWrap/>
            <w:vAlign w:val="center"/>
          </w:tcPr>
          <w:p w14:paraId="777E10C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noWrap w:val="0"/>
            <w:vAlign w:val="center"/>
          </w:tcPr>
          <w:p w14:paraId="3EF68018">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12" w:space="0"/>
            </w:tcBorders>
            <w:shd w:val="clear" w:color="auto" w:fill="auto"/>
            <w:noWrap/>
            <w:vAlign w:val="center"/>
          </w:tcPr>
          <w:p w14:paraId="2C975DE5">
            <w:pPr>
              <w:widowControl/>
              <w:jc w:val="right"/>
              <w:rPr>
                <w:rFonts w:ascii="宋体" w:hAnsi="宋体" w:cs="宋体"/>
                <w:kern w:val="0"/>
                <w:sz w:val="20"/>
                <w:szCs w:val="20"/>
              </w:rPr>
            </w:pPr>
            <w:r>
              <w:rPr>
                <w:rFonts w:hint="eastAsia" w:ascii="宋体" w:hAnsi="宋体" w:cs="宋体"/>
                <w:kern w:val="0"/>
                <w:sz w:val="20"/>
                <w:szCs w:val="20"/>
              </w:rPr>
              <w:t>　</w:t>
            </w:r>
          </w:p>
        </w:tc>
      </w:tr>
      <w:tr w14:paraId="3C27C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12" w:space="0"/>
            </w:tcBorders>
            <w:shd w:val="clear" w:color="auto" w:fill="auto"/>
            <w:noWrap w:val="0"/>
            <w:vAlign w:val="center"/>
          </w:tcPr>
          <w:p w14:paraId="6753ABC6">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780" w:type="dxa"/>
            <w:tcBorders>
              <w:top w:val="single" w:color="auto" w:sz="12" w:space="0"/>
            </w:tcBorders>
            <w:shd w:val="clear" w:color="auto" w:fill="auto"/>
            <w:noWrap w:val="0"/>
            <w:vAlign w:val="center"/>
          </w:tcPr>
          <w:p w14:paraId="1983D116">
            <w:pPr>
              <w:widowControl/>
              <w:rPr>
                <w:rFonts w:ascii="宋体" w:hAnsi="宋体" w:cs="宋体"/>
                <w:kern w:val="0"/>
                <w:sz w:val="20"/>
                <w:szCs w:val="20"/>
              </w:rPr>
            </w:pPr>
            <w:r>
              <w:rPr>
                <w:rFonts w:hint="eastAsia" w:ascii="宋体" w:hAnsi="宋体" w:cs="宋体"/>
                <w:kern w:val="0"/>
                <w:sz w:val="20"/>
                <w:szCs w:val="20"/>
              </w:rPr>
              <w:t>二、专项申报资产损失（10+11+12+13）</w:t>
            </w:r>
          </w:p>
        </w:tc>
        <w:tc>
          <w:tcPr>
            <w:tcW w:w="1520" w:type="dxa"/>
            <w:tcBorders>
              <w:top w:val="single" w:color="auto" w:sz="12" w:space="0"/>
            </w:tcBorders>
            <w:shd w:val="clear" w:color="auto" w:fill="auto"/>
            <w:noWrap w:val="0"/>
            <w:vAlign w:val="center"/>
          </w:tcPr>
          <w:p w14:paraId="3DE493AB">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noWrap w:val="0"/>
            <w:vAlign w:val="center"/>
          </w:tcPr>
          <w:p w14:paraId="45702D8C">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noWrap w:val="0"/>
            <w:vAlign w:val="center"/>
          </w:tcPr>
          <w:p w14:paraId="4B26FDC1">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noWrap w:val="0"/>
            <w:vAlign w:val="center"/>
          </w:tcPr>
          <w:p w14:paraId="4D12630A">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noWrap w:val="0"/>
            <w:vAlign w:val="center"/>
          </w:tcPr>
          <w:p w14:paraId="03076101">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noWrap/>
            <w:vAlign w:val="center"/>
          </w:tcPr>
          <w:p w14:paraId="3B3F0A7D">
            <w:pPr>
              <w:widowControl/>
              <w:jc w:val="right"/>
              <w:rPr>
                <w:rFonts w:ascii="宋体" w:hAnsi="宋体" w:cs="宋体"/>
                <w:kern w:val="0"/>
                <w:sz w:val="20"/>
                <w:szCs w:val="20"/>
              </w:rPr>
            </w:pPr>
            <w:r>
              <w:rPr>
                <w:rFonts w:hint="eastAsia" w:ascii="宋体" w:hAnsi="宋体" w:cs="宋体"/>
                <w:kern w:val="0"/>
                <w:sz w:val="20"/>
                <w:szCs w:val="20"/>
              </w:rPr>
              <w:t>　</w:t>
            </w:r>
          </w:p>
        </w:tc>
      </w:tr>
      <w:tr w14:paraId="61FAC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shd w:val="clear" w:color="auto" w:fill="auto"/>
            <w:noWrap w:val="0"/>
            <w:vAlign w:val="center"/>
          </w:tcPr>
          <w:p w14:paraId="6333DC6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780" w:type="dxa"/>
            <w:shd w:val="clear" w:color="auto" w:fill="auto"/>
            <w:noWrap/>
            <w:vAlign w:val="center"/>
          </w:tcPr>
          <w:p w14:paraId="5D77CCB3">
            <w:pPr>
              <w:widowControl/>
              <w:ind w:firstLine="400" w:firstLineChars="200"/>
              <w:rPr>
                <w:rFonts w:ascii="宋体" w:hAnsi="宋体" w:cs="宋体"/>
                <w:kern w:val="0"/>
                <w:sz w:val="20"/>
                <w:szCs w:val="20"/>
              </w:rPr>
            </w:pPr>
            <w:r>
              <w:rPr>
                <w:rFonts w:hint="eastAsia" w:ascii="宋体" w:hAnsi="宋体" w:cs="宋体"/>
                <w:kern w:val="0"/>
                <w:sz w:val="20"/>
                <w:szCs w:val="20"/>
              </w:rPr>
              <w:t>（一）货币资产损失</w:t>
            </w:r>
          </w:p>
        </w:tc>
        <w:tc>
          <w:tcPr>
            <w:tcW w:w="1520" w:type="dxa"/>
            <w:shd w:val="clear" w:color="auto" w:fill="auto"/>
            <w:noWrap/>
            <w:vAlign w:val="center"/>
          </w:tcPr>
          <w:p w14:paraId="3981F82B">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12A20E20">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2736E307">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68E8B3EC">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6E18435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6ABFB365">
            <w:pPr>
              <w:widowControl/>
              <w:jc w:val="right"/>
              <w:rPr>
                <w:rFonts w:ascii="宋体" w:hAnsi="宋体" w:cs="宋体"/>
                <w:kern w:val="0"/>
                <w:sz w:val="20"/>
                <w:szCs w:val="20"/>
              </w:rPr>
            </w:pPr>
            <w:r>
              <w:rPr>
                <w:rFonts w:hint="eastAsia" w:ascii="宋体" w:hAnsi="宋体" w:cs="宋体"/>
                <w:kern w:val="0"/>
                <w:sz w:val="20"/>
                <w:szCs w:val="20"/>
              </w:rPr>
              <w:t>　</w:t>
            </w:r>
          </w:p>
        </w:tc>
      </w:tr>
      <w:tr w14:paraId="04BA3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shd w:val="clear" w:color="auto" w:fill="auto"/>
            <w:noWrap w:val="0"/>
            <w:vAlign w:val="center"/>
          </w:tcPr>
          <w:p w14:paraId="4CAD6FC6">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4780" w:type="dxa"/>
            <w:shd w:val="clear" w:color="auto" w:fill="auto"/>
            <w:noWrap/>
            <w:vAlign w:val="center"/>
          </w:tcPr>
          <w:p w14:paraId="7BAED19B">
            <w:pPr>
              <w:widowControl/>
              <w:ind w:firstLine="400" w:firstLineChars="200"/>
              <w:rPr>
                <w:rFonts w:ascii="宋体" w:hAnsi="宋体" w:cs="宋体"/>
                <w:kern w:val="0"/>
                <w:sz w:val="20"/>
                <w:szCs w:val="20"/>
              </w:rPr>
            </w:pPr>
            <w:r>
              <w:rPr>
                <w:rFonts w:hint="eastAsia" w:ascii="宋体" w:hAnsi="宋体" w:cs="宋体"/>
                <w:kern w:val="0"/>
                <w:sz w:val="20"/>
                <w:szCs w:val="20"/>
              </w:rPr>
              <w:t>（二）非货币资产损失</w:t>
            </w:r>
          </w:p>
        </w:tc>
        <w:tc>
          <w:tcPr>
            <w:tcW w:w="1520" w:type="dxa"/>
            <w:shd w:val="clear" w:color="auto" w:fill="auto"/>
            <w:noWrap/>
            <w:vAlign w:val="center"/>
          </w:tcPr>
          <w:p w14:paraId="3D0DB32D">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35660E0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19A78B99">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07863DA4">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09D7D6FA">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2D2796DC">
            <w:pPr>
              <w:widowControl/>
              <w:jc w:val="right"/>
              <w:rPr>
                <w:rFonts w:ascii="宋体" w:hAnsi="宋体" w:cs="宋体"/>
                <w:kern w:val="0"/>
                <w:sz w:val="20"/>
                <w:szCs w:val="20"/>
              </w:rPr>
            </w:pPr>
            <w:r>
              <w:rPr>
                <w:rFonts w:hint="eastAsia" w:ascii="宋体" w:hAnsi="宋体" w:cs="宋体"/>
                <w:kern w:val="0"/>
                <w:sz w:val="20"/>
                <w:szCs w:val="20"/>
              </w:rPr>
              <w:t>　</w:t>
            </w:r>
          </w:p>
        </w:tc>
      </w:tr>
      <w:tr w14:paraId="15D92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shd w:val="clear" w:color="auto" w:fill="auto"/>
            <w:noWrap w:val="0"/>
            <w:vAlign w:val="center"/>
          </w:tcPr>
          <w:p w14:paraId="5E521B01">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780" w:type="dxa"/>
            <w:shd w:val="clear" w:color="auto" w:fill="auto"/>
            <w:noWrap/>
            <w:vAlign w:val="center"/>
          </w:tcPr>
          <w:p w14:paraId="669CD67E">
            <w:pPr>
              <w:widowControl/>
              <w:ind w:firstLine="400" w:firstLineChars="200"/>
              <w:rPr>
                <w:rFonts w:ascii="宋体" w:hAnsi="宋体" w:cs="宋体"/>
                <w:kern w:val="0"/>
                <w:sz w:val="20"/>
                <w:szCs w:val="20"/>
              </w:rPr>
            </w:pPr>
            <w:r>
              <w:rPr>
                <w:rFonts w:hint="eastAsia" w:ascii="宋体" w:hAnsi="宋体" w:cs="宋体"/>
                <w:kern w:val="0"/>
                <w:sz w:val="20"/>
                <w:szCs w:val="20"/>
              </w:rPr>
              <w:t>（三）投资损失</w:t>
            </w:r>
          </w:p>
        </w:tc>
        <w:tc>
          <w:tcPr>
            <w:tcW w:w="1520" w:type="dxa"/>
            <w:shd w:val="clear" w:color="auto" w:fill="auto"/>
            <w:noWrap/>
            <w:vAlign w:val="center"/>
          </w:tcPr>
          <w:p w14:paraId="08A0085A">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34B7C22C">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12532E1F">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216CA7F1">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07FBFB8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noWrap/>
            <w:vAlign w:val="center"/>
          </w:tcPr>
          <w:p w14:paraId="4667A222">
            <w:pPr>
              <w:widowControl/>
              <w:jc w:val="right"/>
              <w:rPr>
                <w:rFonts w:ascii="宋体" w:hAnsi="宋体" w:cs="宋体"/>
                <w:kern w:val="0"/>
                <w:sz w:val="20"/>
                <w:szCs w:val="20"/>
              </w:rPr>
            </w:pPr>
            <w:r>
              <w:rPr>
                <w:rFonts w:hint="eastAsia" w:ascii="宋体" w:hAnsi="宋体" w:cs="宋体"/>
                <w:kern w:val="0"/>
                <w:sz w:val="20"/>
                <w:szCs w:val="20"/>
              </w:rPr>
              <w:t>　</w:t>
            </w:r>
          </w:p>
        </w:tc>
      </w:tr>
      <w:tr w14:paraId="795AD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bottom w:val="single" w:color="auto" w:sz="12" w:space="0"/>
            </w:tcBorders>
            <w:shd w:val="clear" w:color="auto" w:fill="auto"/>
            <w:noWrap w:val="0"/>
            <w:vAlign w:val="center"/>
          </w:tcPr>
          <w:p w14:paraId="3B344D67">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780" w:type="dxa"/>
            <w:tcBorders>
              <w:bottom w:val="single" w:color="auto" w:sz="12" w:space="0"/>
            </w:tcBorders>
            <w:shd w:val="clear" w:color="auto" w:fill="auto"/>
            <w:noWrap/>
            <w:vAlign w:val="center"/>
          </w:tcPr>
          <w:p w14:paraId="7146CEB1">
            <w:pPr>
              <w:widowControl/>
              <w:ind w:firstLine="400" w:firstLineChars="200"/>
              <w:rPr>
                <w:rFonts w:ascii="宋体" w:hAnsi="宋体" w:cs="宋体"/>
                <w:kern w:val="0"/>
                <w:sz w:val="20"/>
                <w:szCs w:val="20"/>
              </w:rPr>
            </w:pPr>
            <w:r>
              <w:rPr>
                <w:rFonts w:hint="eastAsia" w:ascii="宋体" w:hAnsi="宋体" w:cs="宋体"/>
                <w:kern w:val="0"/>
                <w:sz w:val="20"/>
                <w:szCs w:val="20"/>
              </w:rPr>
              <w:t>（四）其他</w:t>
            </w:r>
          </w:p>
        </w:tc>
        <w:tc>
          <w:tcPr>
            <w:tcW w:w="1520" w:type="dxa"/>
            <w:tcBorders>
              <w:bottom w:val="single" w:color="auto" w:sz="12" w:space="0"/>
            </w:tcBorders>
            <w:shd w:val="clear" w:color="auto" w:fill="auto"/>
            <w:noWrap/>
            <w:vAlign w:val="center"/>
          </w:tcPr>
          <w:p w14:paraId="0AAFA7C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noWrap/>
            <w:vAlign w:val="center"/>
          </w:tcPr>
          <w:p w14:paraId="184B4D43">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noWrap/>
            <w:vAlign w:val="center"/>
          </w:tcPr>
          <w:p w14:paraId="64AA3317">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noWrap/>
            <w:vAlign w:val="center"/>
          </w:tcPr>
          <w:p w14:paraId="6E1ECA7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noWrap/>
            <w:vAlign w:val="center"/>
          </w:tcPr>
          <w:p w14:paraId="74AB6C68">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noWrap/>
            <w:vAlign w:val="center"/>
          </w:tcPr>
          <w:p w14:paraId="5873CA80">
            <w:pPr>
              <w:widowControl/>
              <w:jc w:val="right"/>
              <w:rPr>
                <w:rFonts w:ascii="宋体" w:hAnsi="宋体" w:cs="宋体"/>
                <w:kern w:val="0"/>
                <w:sz w:val="20"/>
                <w:szCs w:val="20"/>
              </w:rPr>
            </w:pPr>
            <w:r>
              <w:rPr>
                <w:rFonts w:hint="eastAsia" w:ascii="宋体" w:hAnsi="宋体" w:cs="宋体"/>
                <w:kern w:val="0"/>
                <w:sz w:val="20"/>
                <w:szCs w:val="20"/>
              </w:rPr>
              <w:t>　</w:t>
            </w:r>
          </w:p>
        </w:tc>
      </w:tr>
      <w:tr w14:paraId="2FA8D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0" w:type="dxa"/>
            <w:tcBorders>
              <w:top w:val="single" w:color="auto" w:sz="12" w:space="0"/>
              <w:bottom w:val="single" w:color="auto" w:sz="12" w:space="0"/>
            </w:tcBorders>
            <w:shd w:val="clear" w:color="auto" w:fill="auto"/>
            <w:noWrap w:val="0"/>
            <w:vAlign w:val="center"/>
          </w:tcPr>
          <w:p w14:paraId="0990F98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780" w:type="dxa"/>
            <w:tcBorders>
              <w:top w:val="single" w:color="auto" w:sz="12" w:space="0"/>
              <w:bottom w:val="single" w:color="auto" w:sz="12" w:space="0"/>
            </w:tcBorders>
            <w:shd w:val="clear" w:color="auto" w:fill="auto"/>
            <w:noWrap/>
            <w:vAlign w:val="center"/>
          </w:tcPr>
          <w:p w14:paraId="2010D761">
            <w:pPr>
              <w:widowControl/>
              <w:rPr>
                <w:rFonts w:ascii="宋体" w:hAnsi="宋体" w:cs="宋体"/>
                <w:kern w:val="0"/>
                <w:sz w:val="20"/>
                <w:szCs w:val="20"/>
              </w:rPr>
            </w:pPr>
            <w:r>
              <w:rPr>
                <w:rFonts w:hint="eastAsia" w:ascii="宋体" w:hAnsi="宋体" w:cs="宋体"/>
                <w:kern w:val="0"/>
                <w:sz w:val="20"/>
                <w:szCs w:val="20"/>
              </w:rPr>
              <w:t>合计（1+9）</w:t>
            </w:r>
          </w:p>
        </w:tc>
        <w:tc>
          <w:tcPr>
            <w:tcW w:w="1520" w:type="dxa"/>
            <w:tcBorders>
              <w:top w:val="single" w:color="auto" w:sz="12" w:space="0"/>
              <w:bottom w:val="single" w:color="auto" w:sz="12" w:space="0"/>
            </w:tcBorders>
            <w:shd w:val="clear" w:color="auto" w:fill="auto"/>
            <w:noWrap/>
            <w:vAlign w:val="center"/>
          </w:tcPr>
          <w:p w14:paraId="7C0F6F2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noWrap/>
            <w:vAlign w:val="center"/>
          </w:tcPr>
          <w:p w14:paraId="5A5AF0C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noWrap/>
            <w:vAlign w:val="center"/>
          </w:tcPr>
          <w:p w14:paraId="4DB145D5">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noWrap/>
            <w:vAlign w:val="center"/>
          </w:tcPr>
          <w:p w14:paraId="4A12F692">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noWrap/>
            <w:vAlign w:val="center"/>
          </w:tcPr>
          <w:p w14:paraId="289B3AC6">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noWrap/>
            <w:vAlign w:val="center"/>
          </w:tcPr>
          <w:p w14:paraId="35B6BF62">
            <w:pPr>
              <w:widowControl/>
              <w:jc w:val="right"/>
              <w:rPr>
                <w:rFonts w:ascii="宋体" w:hAnsi="宋体" w:cs="宋体"/>
                <w:kern w:val="0"/>
                <w:sz w:val="20"/>
                <w:szCs w:val="20"/>
              </w:rPr>
            </w:pPr>
            <w:r>
              <w:rPr>
                <w:rFonts w:hint="eastAsia" w:ascii="宋体" w:hAnsi="宋体" w:cs="宋体"/>
                <w:kern w:val="0"/>
                <w:sz w:val="20"/>
                <w:szCs w:val="20"/>
              </w:rPr>
              <w:t>　</w:t>
            </w:r>
          </w:p>
        </w:tc>
      </w:tr>
    </w:tbl>
    <w:p w14:paraId="56CE6DBE">
      <w:pPr>
        <w:pStyle w:val="8"/>
      </w:pPr>
    </w:p>
    <w:p w14:paraId="2965BE4E">
      <w:pPr>
        <w:pStyle w:val="8"/>
        <w:ind w:firstLine="0" w:firstLineChars="0"/>
        <w:rPr>
          <w:color w:val="000000"/>
        </w:rPr>
        <w:sectPr>
          <w:pgSz w:w="16838" w:h="11906" w:orient="landscape"/>
          <w:pgMar w:top="1418" w:right="1985" w:bottom="1418" w:left="1928" w:header="851" w:footer="992" w:gutter="113"/>
          <w:cols w:space="425" w:num="1"/>
          <w:docGrid w:linePitch="312" w:charSpace="0"/>
        </w:sectPr>
      </w:pPr>
    </w:p>
    <w:p w14:paraId="2B35832A">
      <w:pPr>
        <w:pStyle w:val="9"/>
        <w:spacing w:before="240" w:after="360"/>
        <w:rPr>
          <w:rFonts w:hint="eastAsia" w:asciiTheme="minorEastAsia" w:hAnsiTheme="minorEastAsia" w:eastAsiaTheme="minorEastAsia" w:cstheme="minorEastAsia"/>
          <w:b/>
          <w:bCs/>
          <w:color w:val="000000"/>
        </w:rPr>
      </w:pPr>
      <w:bookmarkStart w:id="2" w:name="_GoBack"/>
      <w:bookmarkStart w:id="1" w:name="_Toc499456588"/>
      <w:r>
        <w:rPr>
          <w:rFonts w:hint="eastAsia" w:asciiTheme="minorEastAsia" w:hAnsiTheme="minorEastAsia" w:eastAsiaTheme="minorEastAsia" w:cstheme="minorEastAsia"/>
          <w:b/>
          <w:bCs/>
          <w:color w:val="000000"/>
        </w:rPr>
        <w:t>A105090</w:t>
      </w:r>
      <w:r>
        <w:rPr>
          <w:rFonts w:hint="eastAsia" w:asciiTheme="minorEastAsia" w:hAnsiTheme="minorEastAsia" w:eastAsiaTheme="minorEastAsia" w:cstheme="minorEastAsia"/>
          <w:b/>
          <w:bCs/>
          <w:color w:val="000000"/>
        </w:rPr>
        <w:tab/>
      </w:r>
      <w:r>
        <w:rPr>
          <w:rFonts w:hint="eastAsia" w:asciiTheme="minorEastAsia" w:hAnsiTheme="minorEastAsia" w:eastAsiaTheme="minorEastAsia" w:cstheme="minorEastAsia"/>
          <w:b/>
          <w:bCs/>
          <w:color w:val="000000"/>
        </w:rPr>
        <w:t>《资产损失税前扣除及纳税调整明细表》填报说明</w:t>
      </w:r>
      <w:bookmarkEnd w:id="1"/>
    </w:p>
    <w:bookmarkEnd w:id="2"/>
    <w:p w14:paraId="4E238FCD">
      <w:pPr>
        <w:pStyle w:val="8"/>
        <w:rPr>
          <w:color w:val="000000"/>
        </w:rPr>
      </w:pPr>
      <w:r>
        <w:rPr>
          <w:rFonts w:hint="eastAsia"/>
          <w:color w:val="000000"/>
        </w:rPr>
        <w:t>本表适用于发生资产损失税前扣除项目及纳税调整项目的纳税人填报。纳税人根据税法、《财政部 国家税务总局关于企业资产损失税前扣除政策的通知》（财税〔2009〕57号）、《国家税务总局关于发布〈企业资产损失所得税税前扣除管理办法〉的公告》（国家税务总局公告2011年第25号）、《国家税务总局关于商业零售企业存货损失税前扣除问题的公告》（国家税务总局公告2014年第3号）、《国家税务总局关于企业因国务院决定事项形成的资产损失税前扣除问题的公告》（国家税务总局公告2014年第18号）等相关规定，及国家统一企业会计制度，填报资产损失的会计处理、税收规定，以及纳税调整情况。</w:t>
      </w:r>
    </w:p>
    <w:p w14:paraId="6F0DEC0E">
      <w:pPr>
        <w:pStyle w:val="10"/>
        <w:ind w:firstLine="482"/>
      </w:pPr>
      <w:r>
        <w:rPr>
          <w:rFonts w:hint="eastAsia"/>
        </w:rPr>
        <w:t>一、有关项目填报说明</w:t>
      </w:r>
    </w:p>
    <w:p w14:paraId="16FC31F8">
      <w:pPr>
        <w:pStyle w:val="11"/>
      </w:pPr>
      <w:r>
        <w:rPr>
          <w:rFonts w:hint="eastAsia"/>
        </w:rPr>
        <w:t>（一）行次填报</w:t>
      </w:r>
    </w:p>
    <w:p w14:paraId="71E1578C">
      <w:pPr>
        <w:pStyle w:val="8"/>
        <w:rPr>
          <w:rFonts w:hint="eastAsia"/>
        </w:rPr>
      </w:pPr>
      <w:r>
        <w:rPr>
          <w:rFonts w:hint="eastAsia"/>
        </w:rPr>
        <w:t>跨地区经营汇总纳税企业第1行至第6行、第8行填报总机构情况，第7行填报各分支机构汇总后情况。</w:t>
      </w:r>
    </w:p>
    <w:p w14:paraId="3D1F0D75">
      <w:pPr>
        <w:pStyle w:val="8"/>
      </w:pPr>
      <w:r>
        <w:rPr>
          <w:rFonts w:hint="eastAsia"/>
        </w:rPr>
        <w:t>1.第1行“一、清单申报资产损失”：填报以清单申报的方式向税务机关申报扣除的资产损失的账载金额、资产处置收入、赔偿收入、资产计税基础、资产损失的税收金额以及纳税调整金额。本行金额等于第2行至第8行的合计金额。</w:t>
      </w:r>
    </w:p>
    <w:p w14:paraId="48061E98">
      <w:pPr>
        <w:pStyle w:val="8"/>
      </w:pPr>
      <w:r>
        <w:rPr>
          <w:rFonts w:hint="eastAsia"/>
        </w:rPr>
        <w:t>2.第2行至第8行，分别填报相应清单申报资产损失类型的会计处理、税收规定及纳税调整情况。</w:t>
      </w:r>
    </w:p>
    <w:p w14:paraId="475B8AC1">
      <w:pPr>
        <w:pStyle w:val="8"/>
      </w:pPr>
      <w:r>
        <w:rPr>
          <w:rFonts w:hint="eastAsia"/>
        </w:rPr>
        <w:t>3.第9行“二、专项申报资产损失”：填报以专项申报的方式向税务机关申报扣除的资产损失的账载金额、资产处置收入、赔偿收入、资产计税基础、资产损失的税收金额以及纳税调整金额。本行金额等于第10行至第13行的合计金额。</w:t>
      </w:r>
    </w:p>
    <w:p w14:paraId="41C40225">
      <w:pPr>
        <w:pStyle w:val="8"/>
      </w:pPr>
      <w:r>
        <w:rPr>
          <w:rFonts w:hint="eastAsia"/>
        </w:rPr>
        <w:t>4.第10行“（一）货币资产损失”：填报企业当年发生的货币资产损失（包括现金损失、银行存款损失和应收及预付款项损失等）的账载金额、资产处置收入、赔偿收入、资产计税基础、货币资产损失的税收金额以及纳税调整金额。</w:t>
      </w:r>
    </w:p>
    <w:p w14:paraId="1402EDDA">
      <w:pPr>
        <w:pStyle w:val="8"/>
      </w:pPr>
      <w:r>
        <w:rPr>
          <w:rFonts w:hint="eastAsia"/>
        </w:rPr>
        <w:t>5.第11行“（二）非货币资产损失”：填报应进行专项申报扣除的非货币资产损失的账载金额、资产处置收入、赔偿收入、资产计税基础、非货币资产损失的税收金额以及纳税调整金额。</w:t>
      </w:r>
    </w:p>
    <w:p w14:paraId="01651AEE">
      <w:pPr>
        <w:pStyle w:val="8"/>
      </w:pPr>
      <w:r>
        <w:rPr>
          <w:rFonts w:hint="eastAsia"/>
        </w:rPr>
        <w:t>6.第12行“（三）投资损失”：填报应进行专项申报扣除的投资损失的账载金额、资产处置收入、赔偿收入、资产计税基础、投资损失的税收金额以及纳税调整金额。</w:t>
      </w:r>
    </w:p>
    <w:p w14:paraId="54C188DF">
      <w:pPr>
        <w:pStyle w:val="8"/>
      </w:pPr>
      <w:r>
        <w:rPr>
          <w:rFonts w:hint="eastAsia"/>
        </w:rPr>
        <w:t>7.第13行“（四）其他”：填报应进行专项申报扣除的其他资产损失的账载金额、资产处置收入、赔偿收入、资产计税基础、其他资产损失的税收金额以及纳税调整金额。</w:t>
      </w:r>
    </w:p>
    <w:p w14:paraId="73762D20">
      <w:pPr>
        <w:pStyle w:val="8"/>
      </w:pPr>
      <w:r>
        <w:rPr>
          <w:rFonts w:hint="eastAsia"/>
        </w:rPr>
        <w:t>8.第14行“合计”行次：填报第1+9行的合计金额。</w:t>
      </w:r>
    </w:p>
    <w:p w14:paraId="2ED04D0A">
      <w:pPr>
        <w:pStyle w:val="11"/>
      </w:pPr>
      <w:r>
        <w:rPr>
          <w:rFonts w:hint="eastAsia"/>
        </w:rPr>
        <w:t>（二）列次填报</w:t>
      </w:r>
    </w:p>
    <w:p w14:paraId="6EEE9DDA">
      <w:pPr>
        <w:pStyle w:val="8"/>
      </w:pPr>
      <w:r>
        <w:t>1</w:t>
      </w:r>
      <w:r>
        <w:rPr>
          <w:rFonts w:hint="eastAsia"/>
        </w:rPr>
        <w:t>.第</w:t>
      </w:r>
      <w:r>
        <w:t>1</w:t>
      </w:r>
      <w:r>
        <w:rPr>
          <w:rFonts w:hint="eastAsia"/>
        </w:rPr>
        <w:t>列“资产损失的账载金额”：填报纳税人会计核算计入当期损益的资产损失金额。</w:t>
      </w:r>
    </w:p>
    <w:p w14:paraId="223F9783">
      <w:pPr>
        <w:pStyle w:val="8"/>
      </w:pPr>
      <w:r>
        <w:t>2</w:t>
      </w:r>
      <w:r>
        <w:rPr>
          <w:rFonts w:hint="eastAsia"/>
        </w:rPr>
        <w:t>.第</w:t>
      </w:r>
      <w:r>
        <w:t>2</w:t>
      </w:r>
      <w:r>
        <w:rPr>
          <w:rFonts w:hint="eastAsia"/>
        </w:rPr>
        <w:t>列“资产处置收入”：填报纳税人处置发生损失的资产可收回的残值或处置收益。</w:t>
      </w:r>
    </w:p>
    <w:p w14:paraId="5C61A899">
      <w:pPr>
        <w:pStyle w:val="8"/>
      </w:pPr>
      <w:r>
        <w:t>3</w:t>
      </w:r>
      <w:r>
        <w:rPr>
          <w:rFonts w:hint="eastAsia"/>
        </w:rPr>
        <w:t>.第</w:t>
      </w:r>
      <w:r>
        <w:t>3</w:t>
      </w:r>
      <w:r>
        <w:rPr>
          <w:rFonts w:hint="eastAsia"/>
        </w:rPr>
        <w:t>列“赔偿收入”：填报纳税人发生的资产损失，取得的相关责任人、保险公司赔偿的金额。</w:t>
      </w:r>
    </w:p>
    <w:p w14:paraId="5075E059">
      <w:pPr>
        <w:pStyle w:val="8"/>
      </w:pPr>
      <w:r>
        <w:t>4</w:t>
      </w:r>
      <w:r>
        <w:rPr>
          <w:rFonts w:hint="eastAsia"/>
        </w:rPr>
        <w:t>.第</w:t>
      </w:r>
      <w:r>
        <w:t>4</w:t>
      </w:r>
      <w:r>
        <w:rPr>
          <w:rFonts w:hint="eastAsia"/>
        </w:rPr>
        <w:t>列“资产计税基础”：填报按税收规定计算的发生损失时资产的计税基础，含损失资产涉及的不得抵扣增值税进项税额。</w:t>
      </w:r>
    </w:p>
    <w:p w14:paraId="320F1974">
      <w:pPr>
        <w:pStyle w:val="8"/>
      </w:pPr>
      <w:r>
        <w:t>5</w:t>
      </w:r>
      <w:r>
        <w:rPr>
          <w:rFonts w:hint="eastAsia"/>
        </w:rPr>
        <w:t>.第</w:t>
      </w:r>
      <w:r>
        <w:t>5</w:t>
      </w:r>
      <w:r>
        <w:rPr>
          <w:rFonts w:hint="eastAsia"/>
        </w:rPr>
        <w:t>列“资产损失的税收金额”：填报按税收规定允许当期税前扣除的资产损失金额，为第</w:t>
      </w:r>
      <w:r>
        <w:t>4</w:t>
      </w:r>
      <w:r>
        <w:rPr>
          <w:rFonts w:hint="eastAsia"/>
        </w:rPr>
        <w:t>-</w:t>
      </w:r>
      <w:r>
        <w:t>2</w:t>
      </w:r>
      <w:r>
        <w:rPr>
          <w:rFonts w:hint="eastAsia"/>
        </w:rPr>
        <w:t>-</w:t>
      </w:r>
      <w:r>
        <w:t>3</w:t>
      </w:r>
      <w:r>
        <w:rPr>
          <w:rFonts w:hint="eastAsia"/>
        </w:rPr>
        <w:t>列的余额。</w:t>
      </w:r>
    </w:p>
    <w:p w14:paraId="6114CD19">
      <w:pPr>
        <w:pStyle w:val="8"/>
      </w:pPr>
      <w:r>
        <w:t>6</w:t>
      </w:r>
      <w:r>
        <w:rPr>
          <w:rFonts w:hint="eastAsia"/>
        </w:rPr>
        <w:t>.第</w:t>
      </w:r>
      <w:r>
        <w:t>6</w:t>
      </w:r>
      <w:r>
        <w:rPr>
          <w:rFonts w:hint="eastAsia"/>
        </w:rPr>
        <w:t>列“纳税调整金额”：填报第</w:t>
      </w:r>
      <w:r>
        <w:t>1</w:t>
      </w:r>
      <w:r>
        <w:rPr>
          <w:rFonts w:hint="eastAsia"/>
        </w:rPr>
        <w:t>-</w:t>
      </w:r>
      <w:r>
        <w:t>5</w:t>
      </w:r>
      <w:r>
        <w:rPr>
          <w:rFonts w:hint="eastAsia"/>
        </w:rPr>
        <w:t>列的余额。</w:t>
      </w:r>
    </w:p>
    <w:p w14:paraId="292D258C">
      <w:pPr>
        <w:pStyle w:val="10"/>
        <w:ind w:firstLine="482"/>
      </w:pPr>
      <w:r>
        <w:rPr>
          <w:rFonts w:hint="eastAsia"/>
        </w:rPr>
        <w:t>二、表内、表间关系</w:t>
      </w:r>
    </w:p>
    <w:p w14:paraId="06115CCA">
      <w:pPr>
        <w:pStyle w:val="11"/>
        <w:rPr>
          <w:color w:val="000000"/>
        </w:rPr>
      </w:pPr>
      <w:r>
        <w:rPr>
          <w:rFonts w:hint="eastAsia"/>
          <w:color w:val="000000"/>
        </w:rPr>
        <w:t>（一）表内关系</w:t>
      </w:r>
    </w:p>
    <w:p w14:paraId="155EE5FD">
      <w:pPr>
        <w:pStyle w:val="8"/>
      </w:pPr>
      <w:r>
        <w:rPr>
          <w:rFonts w:hint="eastAsia"/>
        </w:rPr>
        <w:t>1.第1行＝第2+3+…+8行。</w:t>
      </w:r>
    </w:p>
    <w:p w14:paraId="2857AB40">
      <w:pPr>
        <w:pStyle w:val="8"/>
      </w:pPr>
      <w:r>
        <w:rPr>
          <w:rFonts w:hint="eastAsia"/>
        </w:rPr>
        <w:t>2.第9行＝第10+11+12+13行</w:t>
      </w:r>
    </w:p>
    <w:p w14:paraId="159B7B99">
      <w:pPr>
        <w:pStyle w:val="8"/>
      </w:pPr>
      <w:r>
        <w:rPr>
          <w:rFonts w:hint="eastAsia"/>
        </w:rPr>
        <w:t>3.第14行＝第1+9行。</w:t>
      </w:r>
    </w:p>
    <w:p w14:paraId="4C8FFBCA">
      <w:pPr>
        <w:pStyle w:val="8"/>
      </w:pPr>
      <w:r>
        <w:rPr>
          <w:rFonts w:hint="eastAsia"/>
        </w:rPr>
        <w:t>4.第</w:t>
      </w:r>
      <w:r>
        <w:t>5</w:t>
      </w:r>
      <w:r>
        <w:rPr>
          <w:rFonts w:hint="eastAsia"/>
        </w:rPr>
        <w:t>列＝第</w:t>
      </w:r>
      <w:r>
        <w:t>4</w:t>
      </w:r>
      <w:r>
        <w:rPr>
          <w:rFonts w:hint="eastAsia"/>
        </w:rPr>
        <w:t>-</w:t>
      </w:r>
      <w:r>
        <w:t>2</w:t>
      </w:r>
      <w:r>
        <w:rPr>
          <w:rFonts w:hint="eastAsia"/>
        </w:rPr>
        <w:t>-</w:t>
      </w:r>
      <w:r>
        <w:t>3</w:t>
      </w:r>
      <w:r>
        <w:rPr>
          <w:rFonts w:hint="eastAsia"/>
        </w:rPr>
        <w:t>列。</w:t>
      </w:r>
    </w:p>
    <w:p w14:paraId="0BEAC0A6">
      <w:pPr>
        <w:pStyle w:val="8"/>
      </w:pPr>
      <w:r>
        <w:rPr>
          <w:rFonts w:hint="eastAsia"/>
        </w:rPr>
        <w:t>5.第</w:t>
      </w:r>
      <w:r>
        <w:t>6</w:t>
      </w:r>
      <w:r>
        <w:rPr>
          <w:rFonts w:hint="eastAsia"/>
        </w:rPr>
        <w:t>列＝第</w:t>
      </w:r>
      <w:r>
        <w:t>1</w:t>
      </w:r>
      <w:r>
        <w:rPr>
          <w:rFonts w:hint="eastAsia"/>
        </w:rPr>
        <w:t>-</w:t>
      </w:r>
      <w:r>
        <w:t>5</w:t>
      </w:r>
      <w:r>
        <w:rPr>
          <w:rFonts w:hint="eastAsia"/>
        </w:rPr>
        <w:t>列。</w:t>
      </w:r>
    </w:p>
    <w:p w14:paraId="191EA0DC">
      <w:pPr>
        <w:pStyle w:val="11"/>
      </w:pPr>
      <w:r>
        <w:rPr>
          <w:rFonts w:hint="eastAsia"/>
        </w:rPr>
        <w:t>（二）表间关系</w:t>
      </w:r>
    </w:p>
    <w:p w14:paraId="6C9F74D9">
      <w:pPr>
        <w:pStyle w:val="8"/>
        <w:rPr>
          <w:color w:val="000000"/>
        </w:rPr>
      </w:pPr>
      <w:r>
        <w:rPr>
          <w:rFonts w:hint="eastAsia"/>
          <w:color w:val="000000"/>
        </w:rPr>
        <w:t>1.第14行第</w:t>
      </w:r>
      <w:r>
        <w:rPr>
          <w:color w:val="000000"/>
        </w:rPr>
        <w:t>1</w:t>
      </w:r>
      <w:r>
        <w:rPr>
          <w:rFonts w:hint="eastAsia"/>
          <w:color w:val="000000"/>
        </w:rPr>
        <w:t>列＝表A105000第3</w:t>
      </w:r>
      <w:r>
        <w:rPr>
          <w:color w:val="000000"/>
        </w:rPr>
        <w:t>4</w:t>
      </w:r>
      <w:r>
        <w:rPr>
          <w:rFonts w:hint="eastAsia"/>
          <w:color w:val="000000"/>
        </w:rPr>
        <w:t>行第1列。</w:t>
      </w:r>
    </w:p>
    <w:p w14:paraId="4142BB38">
      <w:pPr>
        <w:pStyle w:val="8"/>
        <w:rPr>
          <w:color w:val="000000"/>
        </w:rPr>
      </w:pPr>
      <w:r>
        <w:rPr>
          <w:rFonts w:hint="eastAsia"/>
          <w:color w:val="000000"/>
        </w:rPr>
        <w:t>2.第14行第</w:t>
      </w:r>
      <w:r>
        <w:rPr>
          <w:color w:val="000000"/>
        </w:rPr>
        <w:t>5</w:t>
      </w:r>
      <w:r>
        <w:rPr>
          <w:rFonts w:hint="eastAsia"/>
          <w:color w:val="000000"/>
        </w:rPr>
        <w:t>列＝表A105000第3</w:t>
      </w:r>
      <w:r>
        <w:rPr>
          <w:color w:val="000000"/>
        </w:rPr>
        <w:t>4</w:t>
      </w:r>
      <w:r>
        <w:rPr>
          <w:rFonts w:hint="eastAsia"/>
          <w:color w:val="000000"/>
        </w:rPr>
        <w:t>行第2列。</w:t>
      </w:r>
    </w:p>
    <w:p w14:paraId="27A2C338">
      <w:pPr>
        <w:pStyle w:val="8"/>
      </w:pPr>
      <w:r>
        <w:rPr>
          <w:rFonts w:hint="eastAsia"/>
          <w:color w:val="000000"/>
        </w:rPr>
        <w:t>3.若第14行第</w:t>
      </w:r>
      <w:r>
        <w:rPr>
          <w:color w:val="000000"/>
        </w:rPr>
        <w:t>6</w:t>
      </w:r>
      <w:r>
        <w:rPr>
          <w:rFonts w:hint="eastAsia"/>
          <w:color w:val="000000"/>
        </w:rPr>
        <w:t>列≥0，第14行第</w:t>
      </w:r>
      <w:r>
        <w:rPr>
          <w:color w:val="000000"/>
        </w:rPr>
        <w:t>6</w:t>
      </w:r>
      <w:r>
        <w:rPr>
          <w:rFonts w:hint="eastAsia"/>
          <w:color w:val="000000"/>
        </w:rPr>
        <w:t>列＝表A105000第</w:t>
      </w:r>
      <w:r>
        <w:rPr>
          <w:color w:val="000000"/>
        </w:rPr>
        <w:t>3</w:t>
      </w:r>
      <w:r>
        <w:rPr>
          <w:rFonts w:hint="eastAsia"/>
          <w:color w:val="000000"/>
        </w:rPr>
        <w:t>4行第3列；若第14行第</w:t>
      </w:r>
      <w:r>
        <w:rPr>
          <w:color w:val="000000"/>
        </w:rPr>
        <w:t>6</w:t>
      </w:r>
      <w:r>
        <w:rPr>
          <w:rFonts w:hint="eastAsia"/>
          <w:color w:val="000000"/>
        </w:rPr>
        <w:t>列＜0，第14行第</w:t>
      </w:r>
      <w:r>
        <w:rPr>
          <w:color w:val="000000"/>
        </w:rPr>
        <w:t>6</w:t>
      </w:r>
      <w:r>
        <w:rPr>
          <w:rFonts w:hint="eastAsia"/>
          <w:color w:val="000000"/>
        </w:rPr>
        <w:t>列的绝对值＝表A105000第</w:t>
      </w:r>
      <w:r>
        <w:rPr>
          <w:color w:val="000000"/>
        </w:rPr>
        <w:t>3</w:t>
      </w:r>
      <w:r>
        <w:rPr>
          <w:rFonts w:hint="eastAsia"/>
          <w:color w:val="000000"/>
        </w:rPr>
        <w:t>4行第4列。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93C0A79"/>
    <w:rsid w:val="1A3B5015"/>
    <w:rsid w:val="493C0A79"/>
    <w:rsid w:val="4CFC467E"/>
    <w:rsid w:val="6E05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2024-08-10T12:19:00Z</dcterms:created>
  <dc:creator>www.shuiwu114.com</dc:creator>
  <cp:lastModifiedBy>www.shuiwu114.com</cp:lastModifiedBy>
  <dcterms:modified xsi:type="dcterms:W3CDTF">2024-08-10T12:20:38Z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AE612EF3F3794E70860EF724DB8D63EF_11</vt:lpwstr>
  </property>
</Properties>
</file>