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15752">
      <w:pPr>
        <w:spacing w:before="312" w:line="221" w:lineRule="auto"/>
        <w:ind w:left="3833" w:firstLine="562" w:firstLineChars="200"/>
        <w:jc w:val="both"/>
        <w:outlineLvl w:val="0"/>
        <w:rPr>
          <w:rFonts w:ascii="宋体" w:hAnsi="宋体" w:eastAsia="宋体" w:cs="宋体"/>
          <w:sz w:val="28"/>
          <w:szCs w:val="28"/>
        </w:rPr>
      </w:pPr>
      <w:r>
        <w:rPr>
          <w:rFonts w:ascii="宋体" w:hAnsi="宋体" w:eastAsia="宋体" w:cs="宋体"/>
          <w:b/>
          <w:bCs/>
          <w:sz w:val="28"/>
          <w:szCs w:val="28"/>
        </w:rPr>
        <w:t>A105100</w:t>
      </w:r>
      <w:r>
        <w:rPr>
          <w:rFonts w:ascii="宋体" w:hAnsi="宋体" w:eastAsia="宋体" w:cs="宋体"/>
          <w:sz w:val="28"/>
          <w:szCs w:val="28"/>
        </w:rPr>
        <w:t xml:space="preserve">  </w:t>
      </w:r>
      <w:r>
        <w:rPr>
          <w:rFonts w:ascii="宋体" w:hAnsi="宋体" w:eastAsia="宋体" w:cs="宋体"/>
          <w:b/>
          <w:bCs/>
          <w:sz w:val="28"/>
          <w:szCs w:val="28"/>
        </w:rPr>
        <w:t>企业重组及递延纳</w:t>
      </w:r>
      <w:r>
        <w:rPr>
          <w:rFonts w:ascii="宋体" w:hAnsi="宋体" w:eastAsia="宋体" w:cs="宋体"/>
          <w:b/>
          <w:bCs/>
          <w:spacing w:val="-1"/>
          <w:sz w:val="28"/>
          <w:szCs w:val="28"/>
        </w:rPr>
        <w:t>税事项纳税调整明细表</w:t>
      </w:r>
    </w:p>
    <w:p w14:paraId="4C1B9DC5">
      <w:pPr>
        <w:spacing w:line="138" w:lineRule="exact"/>
      </w:pPr>
    </w:p>
    <w:tbl>
      <w:tblPr>
        <w:tblStyle w:val="7"/>
        <w:tblW w:w="1484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6134"/>
        <w:gridCol w:w="1123"/>
        <w:gridCol w:w="1288"/>
        <w:gridCol w:w="973"/>
        <w:gridCol w:w="1085"/>
        <w:gridCol w:w="1178"/>
        <w:gridCol w:w="1178"/>
        <w:gridCol w:w="1192"/>
      </w:tblGrid>
      <w:tr w14:paraId="4F668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690" w:type="dxa"/>
            <w:vMerge w:val="restart"/>
            <w:tcBorders>
              <w:top w:val="single" w:color="000000" w:sz="10" w:space="0"/>
              <w:left w:val="single" w:color="000000" w:sz="10" w:space="0"/>
              <w:bottom w:val="nil"/>
            </w:tcBorders>
            <w:vAlign w:val="top"/>
          </w:tcPr>
          <w:p w14:paraId="23D30551">
            <w:pPr>
              <w:pStyle w:val="6"/>
              <w:spacing w:line="259" w:lineRule="auto"/>
            </w:pPr>
          </w:p>
          <w:p w14:paraId="151E712D">
            <w:pPr>
              <w:pStyle w:val="6"/>
              <w:spacing w:line="260" w:lineRule="auto"/>
            </w:pPr>
          </w:p>
          <w:p w14:paraId="37DEB11B">
            <w:pPr>
              <w:spacing w:before="62" w:line="229" w:lineRule="auto"/>
              <w:ind w:left="137"/>
              <w:rPr>
                <w:rFonts w:ascii="宋体" w:hAnsi="宋体" w:eastAsia="宋体" w:cs="宋体"/>
                <w:sz w:val="19"/>
                <w:szCs w:val="19"/>
              </w:rPr>
            </w:pPr>
            <w:r>
              <w:rPr>
                <w:rFonts w:ascii="宋体" w:hAnsi="宋体" w:eastAsia="宋体" w:cs="宋体"/>
                <w:spacing w:val="3"/>
                <w:sz w:val="19"/>
                <w:szCs w:val="19"/>
              </w:rPr>
              <w:t>行次</w:t>
            </w:r>
          </w:p>
        </w:tc>
        <w:tc>
          <w:tcPr>
            <w:tcW w:w="6134" w:type="dxa"/>
            <w:vMerge w:val="restart"/>
            <w:tcBorders>
              <w:top w:val="single" w:color="000000" w:sz="10" w:space="0"/>
              <w:bottom w:val="nil"/>
            </w:tcBorders>
            <w:vAlign w:val="top"/>
          </w:tcPr>
          <w:p w14:paraId="52AC7798">
            <w:pPr>
              <w:pStyle w:val="6"/>
              <w:spacing w:line="259" w:lineRule="auto"/>
            </w:pPr>
          </w:p>
          <w:p w14:paraId="0270C00D">
            <w:pPr>
              <w:pStyle w:val="6"/>
              <w:spacing w:line="260" w:lineRule="auto"/>
            </w:pPr>
          </w:p>
          <w:p w14:paraId="5749264F">
            <w:pPr>
              <w:spacing w:before="62" w:line="230" w:lineRule="auto"/>
              <w:ind w:left="2467"/>
              <w:rPr>
                <w:rFonts w:ascii="宋体" w:hAnsi="宋体" w:eastAsia="宋体" w:cs="宋体"/>
                <w:sz w:val="19"/>
                <w:szCs w:val="19"/>
              </w:rPr>
            </w:pPr>
            <w:r>
              <w:rPr>
                <w:rFonts w:ascii="宋体" w:hAnsi="宋体" w:eastAsia="宋体" w:cs="宋体"/>
                <w:spacing w:val="-1"/>
                <w:sz w:val="19"/>
                <w:szCs w:val="19"/>
              </w:rPr>
              <w:t>项</w:t>
            </w:r>
            <w:r>
              <w:rPr>
                <w:rFonts w:ascii="宋体" w:hAnsi="宋体" w:eastAsia="宋体" w:cs="宋体"/>
                <w:spacing w:val="10"/>
                <w:sz w:val="19"/>
                <w:szCs w:val="19"/>
              </w:rPr>
              <w:t xml:space="preserve">        </w:t>
            </w:r>
            <w:r>
              <w:rPr>
                <w:rFonts w:ascii="宋体" w:hAnsi="宋体" w:eastAsia="宋体" w:cs="宋体"/>
                <w:spacing w:val="-1"/>
                <w:sz w:val="19"/>
                <w:szCs w:val="19"/>
              </w:rPr>
              <w:t>目</w:t>
            </w:r>
          </w:p>
        </w:tc>
        <w:tc>
          <w:tcPr>
            <w:tcW w:w="3384" w:type="dxa"/>
            <w:gridSpan w:val="3"/>
            <w:tcBorders>
              <w:top w:val="single" w:color="000000" w:sz="10" w:space="0"/>
            </w:tcBorders>
            <w:vAlign w:val="top"/>
          </w:tcPr>
          <w:p w14:paraId="5D48C066">
            <w:pPr>
              <w:spacing w:before="70" w:line="229" w:lineRule="auto"/>
              <w:ind w:left="999"/>
              <w:rPr>
                <w:rFonts w:ascii="宋体" w:hAnsi="宋体" w:eastAsia="宋体" w:cs="宋体"/>
                <w:sz w:val="19"/>
                <w:szCs w:val="19"/>
              </w:rPr>
            </w:pPr>
            <w:r>
              <w:rPr>
                <w:rFonts w:ascii="宋体" w:hAnsi="宋体" w:eastAsia="宋体" w:cs="宋体"/>
                <w:spacing w:val="8"/>
                <w:sz w:val="19"/>
                <w:szCs w:val="19"/>
              </w:rPr>
              <w:t>一般性税务处理</w:t>
            </w:r>
          </w:p>
        </w:tc>
        <w:tc>
          <w:tcPr>
            <w:tcW w:w="3441" w:type="dxa"/>
            <w:gridSpan w:val="3"/>
            <w:tcBorders>
              <w:top w:val="single" w:color="000000" w:sz="10" w:space="0"/>
            </w:tcBorders>
            <w:vAlign w:val="top"/>
          </w:tcPr>
          <w:p w14:paraId="4AF70624">
            <w:pPr>
              <w:spacing w:before="70" w:line="229" w:lineRule="auto"/>
              <w:ind w:left="429"/>
              <w:rPr>
                <w:rFonts w:ascii="宋体" w:hAnsi="宋体" w:eastAsia="宋体" w:cs="宋体"/>
                <w:sz w:val="19"/>
                <w:szCs w:val="19"/>
              </w:rPr>
            </w:pPr>
            <w:r>
              <w:rPr>
                <w:rFonts w:ascii="宋体" w:hAnsi="宋体" w:eastAsia="宋体" w:cs="宋体"/>
                <w:spacing w:val="8"/>
                <w:sz w:val="19"/>
                <w:szCs w:val="19"/>
              </w:rPr>
              <w:t>特殊性税务处理（递延纳税）</w:t>
            </w:r>
          </w:p>
        </w:tc>
        <w:tc>
          <w:tcPr>
            <w:tcW w:w="1192" w:type="dxa"/>
            <w:vMerge w:val="restart"/>
            <w:tcBorders>
              <w:top w:val="single" w:color="000000" w:sz="10" w:space="0"/>
              <w:bottom w:val="nil"/>
              <w:right w:val="single" w:color="000000" w:sz="10" w:space="0"/>
            </w:tcBorders>
            <w:vAlign w:val="top"/>
          </w:tcPr>
          <w:p w14:paraId="384D608A">
            <w:pPr>
              <w:spacing w:before="244" w:line="309" w:lineRule="auto"/>
              <w:ind w:left="405" w:right="178" w:hanging="199"/>
              <w:rPr>
                <w:rFonts w:ascii="宋体" w:hAnsi="宋体" w:eastAsia="宋体" w:cs="宋体"/>
                <w:sz w:val="19"/>
                <w:szCs w:val="19"/>
              </w:rPr>
            </w:pPr>
            <w:r>
              <w:rPr>
                <w:rFonts w:ascii="宋体" w:hAnsi="宋体" w:eastAsia="宋体" w:cs="宋体"/>
                <w:spacing w:val="7"/>
                <w:sz w:val="19"/>
                <w:szCs w:val="19"/>
              </w:rPr>
              <w:t>纳税调整</w:t>
            </w:r>
            <w:r>
              <w:rPr>
                <w:rFonts w:ascii="宋体" w:hAnsi="宋体" w:eastAsia="宋体" w:cs="宋体"/>
                <w:sz w:val="19"/>
                <w:szCs w:val="19"/>
              </w:rPr>
              <w:t xml:space="preserve"> </w:t>
            </w:r>
            <w:r>
              <w:rPr>
                <w:rFonts w:ascii="宋体" w:hAnsi="宋体" w:eastAsia="宋体" w:cs="宋体"/>
                <w:spacing w:val="4"/>
                <w:sz w:val="19"/>
                <w:szCs w:val="19"/>
              </w:rPr>
              <w:t>金额</w:t>
            </w:r>
          </w:p>
        </w:tc>
      </w:tr>
      <w:tr w14:paraId="083A8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690" w:type="dxa"/>
            <w:vMerge w:val="continue"/>
            <w:tcBorders>
              <w:top w:val="nil"/>
              <w:left w:val="single" w:color="000000" w:sz="10" w:space="0"/>
              <w:bottom w:val="nil"/>
            </w:tcBorders>
            <w:vAlign w:val="top"/>
          </w:tcPr>
          <w:p w14:paraId="4F8FAE57">
            <w:pPr>
              <w:pStyle w:val="6"/>
            </w:pPr>
          </w:p>
        </w:tc>
        <w:tc>
          <w:tcPr>
            <w:tcW w:w="6134" w:type="dxa"/>
            <w:vMerge w:val="continue"/>
            <w:tcBorders>
              <w:top w:val="nil"/>
              <w:bottom w:val="nil"/>
            </w:tcBorders>
            <w:vAlign w:val="top"/>
          </w:tcPr>
          <w:p w14:paraId="49C0250F">
            <w:pPr>
              <w:pStyle w:val="6"/>
            </w:pPr>
          </w:p>
        </w:tc>
        <w:tc>
          <w:tcPr>
            <w:tcW w:w="1123" w:type="dxa"/>
            <w:vAlign w:val="top"/>
          </w:tcPr>
          <w:p w14:paraId="483C12E7">
            <w:pPr>
              <w:spacing w:before="231" w:line="229" w:lineRule="auto"/>
              <w:ind w:left="166"/>
              <w:rPr>
                <w:rFonts w:ascii="宋体" w:hAnsi="宋体" w:eastAsia="宋体" w:cs="宋体"/>
                <w:sz w:val="19"/>
                <w:szCs w:val="19"/>
              </w:rPr>
            </w:pPr>
            <w:r>
              <w:rPr>
                <w:rFonts w:ascii="宋体" w:hAnsi="宋体" w:eastAsia="宋体" w:cs="宋体"/>
                <w:spacing w:val="7"/>
                <w:sz w:val="19"/>
                <w:szCs w:val="19"/>
              </w:rPr>
              <w:t>账载金额</w:t>
            </w:r>
          </w:p>
        </w:tc>
        <w:tc>
          <w:tcPr>
            <w:tcW w:w="1288" w:type="dxa"/>
            <w:vAlign w:val="top"/>
          </w:tcPr>
          <w:p w14:paraId="60310EF4">
            <w:pPr>
              <w:spacing w:before="231" w:line="229" w:lineRule="auto"/>
              <w:ind w:left="248"/>
              <w:rPr>
                <w:rFonts w:ascii="宋体" w:hAnsi="宋体" w:eastAsia="宋体" w:cs="宋体"/>
                <w:sz w:val="19"/>
                <w:szCs w:val="19"/>
              </w:rPr>
            </w:pPr>
            <w:r>
              <w:rPr>
                <w:rFonts w:ascii="宋体" w:hAnsi="宋体" w:eastAsia="宋体" w:cs="宋体"/>
                <w:spacing w:val="8"/>
                <w:sz w:val="19"/>
                <w:szCs w:val="19"/>
              </w:rPr>
              <w:t>税收金额</w:t>
            </w:r>
          </w:p>
        </w:tc>
        <w:tc>
          <w:tcPr>
            <w:tcW w:w="973" w:type="dxa"/>
            <w:vAlign w:val="top"/>
          </w:tcPr>
          <w:p w14:paraId="10475CE9">
            <w:pPr>
              <w:spacing w:before="65" w:line="287" w:lineRule="auto"/>
              <w:ind w:left="193" w:right="178"/>
              <w:rPr>
                <w:rFonts w:ascii="宋体" w:hAnsi="宋体" w:eastAsia="宋体" w:cs="宋体"/>
                <w:sz w:val="19"/>
                <w:szCs w:val="19"/>
              </w:rPr>
            </w:pPr>
            <w:r>
              <w:rPr>
                <w:rFonts w:ascii="宋体" w:hAnsi="宋体" w:eastAsia="宋体" w:cs="宋体"/>
                <w:spacing w:val="6"/>
                <w:sz w:val="19"/>
                <w:szCs w:val="19"/>
              </w:rPr>
              <w:t>纳税调</w:t>
            </w:r>
            <w:r>
              <w:rPr>
                <w:rFonts w:ascii="宋体" w:hAnsi="宋体" w:eastAsia="宋体" w:cs="宋体"/>
                <w:spacing w:val="1"/>
                <w:sz w:val="19"/>
                <w:szCs w:val="19"/>
              </w:rPr>
              <w:t xml:space="preserve"> </w:t>
            </w:r>
            <w:r>
              <w:rPr>
                <w:rFonts w:ascii="宋体" w:hAnsi="宋体" w:eastAsia="宋体" w:cs="宋体"/>
                <w:spacing w:val="7"/>
                <w:sz w:val="19"/>
                <w:szCs w:val="19"/>
              </w:rPr>
              <w:t>整金额</w:t>
            </w:r>
          </w:p>
        </w:tc>
        <w:tc>
          <w:tcPr>
            <w:tcW w:w="1085" w:type="dxa"/>
            <w:vAlign w:val="top"/>
          </w:tcPr>
          <w:p w14:paraId="6682DE6C">
            <w:pPr>
              <w:spacing w:before="231" w:line="229" w:lineRule="auto"/>
              <w:ind w:left="154"/>
              <w:rPr>
                <w:rFonts w:ascii="宋体" w:hAnsi="宋体" w:eastAsia="宋体" w:cs="宋体"/>
                <w:sz w:val="19"/>
                <w:szCs w:val="19"/>
              </w:rPr>
            </w:pPr>
            <w:r>
              <w:rPr>
                <w:rFonts w:ascii="宋体" w:hAnsi="宋体" w:eastAsia="宋体" w:cs="宋体"/>
                <w:spacing w:val="7"/>
                <w:sz w:val="19"/>
                <w:szCs w:val="19"/>
              </w:rPr>
              <w:t>账载金额</w:t>
            </w:r>
          </w:p>
        </w:tc>
        <w:tc>
          <w:tcPr>
            <w:tcW w:w="1178" w:type="dxa"/>
            <w:vAlign w:val="top"/>
          </w:tcPr>
          <w:p w14:paraId="488EF671">
            <w:pPr>
              <w:spacing w:before="231" w:line="229" w:lineRule="auto"/>
              <w:ind w:left="198"/>
              <w:rPr>
                <w:rFonts w:ascii="宋体" w:hAnsi="宋体" w:eastAsia="宋体" w:cs="宋体"/>
                <w:sz w:val="19"/>
                <w:szCs w:val="19"/>
              </w:rPr>
            </w:pPr>
            <w:r>
              <w:rPr>
                <w:rFonts w:ascii="宋体" w:hAnsi="宋体" w:eastAsia="宋体" w:cs="宋体"/>
                <w:spacing w:val="8"/>
                <w:sz w:val="19"/>
                <w:szCs w:val="19"/>
              </w:rPr>
              <w:t>税收金额</w:t>
            </w:r>
          </w:p>
        </w:tc>
        <w:tc>
          <w:tcPr>
            <w:tcW w:w="1178" w:type="dxa"/>
            <w:vAlign w:val="top"/>
          </w:tcPr>
          <w:p w14:paraId="540F9372">
            <w:pPr>
              <w:spacing w:before="65" w:line="287" w:lineRule="auto"/>
              <w:ind w:left="402" w:right="175" w:hanging="199"/>
              <w:rPr>
                <w:rFonts w:ascii="宋体" w:hAnsi="宋体" w:eastAsia="宋体" w:cs="宋体"/>
                <w:sz w:val="19"/>
                <w:szCs w:val="19"/>
              </w:rPr>
            </w:pPr>
            <w:r>
              <w:rPr>
                <w:rFonts w:ascii="宋体" w:hAnsi="宋体" w:eastAsia="宋体" w:cs="宋体"/>
                <w:spacing w:val="7"/>
                <w:sz w:val="19"/>
                <w:szCs w:val="19"/>
              </w:rPr>
              <w:t>纳税调整</w:t>
            </w:r>
            <w:r>
              <w:rPr>
                <w:rFonts w:ascii="宋体" w:hAnsi="宋体" w:eastAsia="宋体" w:cs="宋体"/>
                <w:sz w:val="19"/>
                <w:szCs w:val="19"/>
              </w:rPr>
              <w:t xml:space="preserve"> </w:t>
            </w:r>
            <w:r>
              <w:rPr>
                <w:rFonts w:ascii="宋体" w:hAnsi="宋体" w:eastAsia="宋体" w:cs="宋体"/>
                <w:spacing w:val="4"/>
                <w:sz w:val="19"/>
                <w:szCs w:val="19"/>
              </w:rPr>
              <w:t>金额</w:t>
            </w:r>
          </w:p>
        </w:tc>
        <w:tc>
          <w:tcPr>
            <w:tcW w:w="1192" w:type="dxa"/>
            <w:vMerge w:val="continue"/>
            <w:tcBorders>
              <w:top w:val="nil"/>
              <w:right w:val="single" w:color="000000" w:sz="10" w:space="0"/>
            </w:tcBorders>
            <w:vAlign w:val="top"/>
          </w:tcPr>
          <w:p w14:paraId="7BFF47F2">
            <w:pPr>
              <w:pStyle w:val="6"/>
            </w:pPr>
          </w:p>
        </w:tc>
      </w:tr>
      <w:tr w14:paraId="1C49F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690" w:type="dxa"/>
            <w:vMerge w:val="continue"/>
            <w:tcBorders>
              <w:top w:val="nil"/>
              <w:left w:val="single" w:color="000000" w:sz="10" w:space="0"/>
              <w:bottom w:val="single" w:color="000000" w:sz="10" w:space="0"/>
            </w:tcBorders>
            <w:vAlign w:val="top"/>
          </w:tcPr>
          <w:p w14:paraId="63F48C37">
            <w:pPr>
              <w:pStyle w:val="6"/>
            </w:pPr>
          </w:p>
        </w:tc>
        <w:tc>
          <w:tcPr>
            <w:tcW w:w="6134" w:type="dxa"/>
            <w:vMerge w:val="continue"/>
            <w:tcBorders>
              <w:top w:val="nil"/>
              <w:bottom w:val="single" w:color="000000" w:sz="10" w:space="0"/>
            </w:tcBorders>
            <w:vAlign w:val="top"/>
          </w:tcPr>
          <w:p w14:paraId="785D2030">
            <w:pPr>
              <w:pStyle w:val="6"/>
            </w:pPr>
          </w:p>
        </w:tc>
        <w:tc>
          <w:tcPr>
            <w:tcW w:w="1123" w:type="dxa"/>
            <w:tcBorders>
              <w:bottom w:val="single" w:color="000000" w:sz="10" w:space="0"/>
            </w:tcBorders>
            <w:vAlign w:val="top"/>
          </w:tcPr>
          <w:p w14:paraId="0853A963">
            <w:pPr>
              <w:spacing w:before="99" w:line="190" w:lineRule="auto"/>
              <w:ind w:left="528"/>
              <w:rPr>
                <w:rFonts w:ascii="宋体" w:hAnsi="宋体" w:eastAsia="宋体" w:cs="宋体"/>
                <w:sz w:val="19"/>
                <w:szCs w:val="19"/>
              </w:rPr>
            </w:pPr>
            <w:r>
              <w:rPr>
                <w:rFonts w:ascii="宋体" w:hAnsi="宋体" w:eastAsia="宋体" w:cs="宋体"/>
                <w:sz w:val="19"/>
                <w:szCs w:val="19"/>
              </w:rPr>
              <w:t>1</w:t>
            </w:r>
          </w:p>
        </w:tc>
        <w:tc>
          <w:tcPr>
            <w:tcW w:w="1288" w:type="dxa"/>
            <w:tcBorders>
              <w:bottom w:val="single" w:color="000000" w:sz="10" w:space="0"/>
            </w:tcBorders>
            <w:vAlign w:val="top"/>
          </w:tcPr>
          <w:p w14:paraId="25678D16">
            <w:pPr>
              <w:spacing w:before="100" w:line="189" w:lineRule="auto"/>
              <w:ind w:left="600"/>
              <w:rPr>
                <w:rFonts w:ascii="宋体" w:hAnsi="宋体" w:eastAsia="宋体" w:cs="宋体"/>
                <w:sz w:val="19"/>
                <w:szCs w:val="19"/>
              </w:rPr>
            </w:pPr>
            <w:r>
              <w:rPr>
                <w:rFonts w:ascii="宋体" w:hAnsi="宋体" w:eastAsia="宋体" w:cs="宋体"/>
                <w:sz w:val="19"/>
                <w:szCs w:val="19"/>
              </w:rPr>
              <w:t>2</w:t>
            </w:r>
          </w:p>
        </w:tc>
        <w:tc>
          <w:tcPr>
            <w:tcW w:w="973" w:type="dxa"/>
            <w:tcBorders>
              <w:bottom w:val="single" w:color="000000" w:sz="10" w:space="0"/>
            </w:tcBorders>
            <w:vAlign w:val="top"/>
          </w:tcPr>
          <w:p w14:paraId="31A4CD5B">
            <w:pPr>
              <w:spacing w:before="68" w:line="232" w:lineRule="auto"/>
              <w:ind w:left="196"/>
              <w:rPr>
                <w:rFonts w:ascii="宋体" w:hAnsi="宋体" w:eastAsia="宋体" w:cs="宋体"/>
                <w:sz w:val="19"/>
                <w:szCs w:val="19"/>
              </w:rPr>
            </w:pPr>
            <w:r>
              <w:rPr>
                <w:rFonts w:ascii="宋体" w:hAnsi="宋体" w:eastAsia="宋体" w:cs="宋体"/>
                <w:spacing w:val="3"/>
                <w:sz w:val="19"/>
                <w:szCs w:val="19"/>
              </w:rPr>
              <w:t>3(2-1)</w:t>
            </w:r>
          </w:p>
        </w:tc>
        <w:tc>
          <w:tcPr>
            <w:tcW w:w="1085" w:type="dxa"/>
            <w:tcBorders>
              <w:bottom w:val="single" w:color="000000" w:sz="10" w:space="0"/>
            </w:tcBorders>
            <w:vAlign w:val="top"/>
          </w:tcPr>
          <w:p w14:paraId="0F11C5F4">
            <w:pPr>
              <w:spacing w:before="100" w:line="189" w:lineRule="auto"/>
              <w:ind w:left="500"/>
              <w:rPr>
                <w:rFonts w:ascii="宋体" w:hAnsi="宋体" w:eastAsia="宋体" w:cs="宋体"/>
                <w:sz w:val="19"/>
                <w:szCs w:val="19"/>
              </w:rPr>
            </w:pPr>
            <w:r>
              <w:rPr>
                <w:rFonts w:ascii="宋体" w:hAnsi="宋体" w:eastAsia="宋体" w:cs="宋体"/>
                <w:sz w:val="19"/>
                <w:szCs w:val="19"/>
              </w:rPr>
              <w:t>4</w:t>
            </w:r>
          </w:p>
        </w:tc>
        <w:tc>
          <w:tcPr>
            <w:tcW w:w="1178" w:type="dxa"/>
            <w:tcBorders>
              <w:bottom w:val="single" w:color="000000" w:sz="10" w:space="0"/>
            </w:tcBorders>
            <w:vAlign w:val="top"/>
          </w:tcPr>
          <w:p w14:paraId="58539BB4">
            <w:pPr>
              <w:spacing w:before="101" w:line="188" w:lineRule="auto"/>
              <w:ind w:left="553"/>
              <w:rPr>
                <w:rFonts w:ascii="宋体" w:hAnsi="宋体" w:eastAsia="宋体" w:cs="宋体"/>
                <w:sz w:val="19"/>
                <w:szCs w:val="19"/>
              </w:rPr>
            </w:pPr>
            <w:r>
              <w:rPr>
                <w:rFonts w:ascii="宋体" w:hAnsi="宋体" w:eastAsia="宋体" w:cs="宋体"/>
                <w:sz w:val="19"/>
                <w:szCs w:val="19"/>
              </w:rPr>
              <w:t>5</w:t>
            </w:r>
          </w:p>
        </w:tc>
        <w:tc>
          <w:tcPr>
            <w:tcW w:w="1178" w:type="dxa"/>
            <w:tcBorders>
              <w:bottom w:val="single" w:color="000000" w:sz="10" w:space="0"/>
            </w:tcBorders>
            <w:vAlign w:val="top"/>
          </w:tcPr>
          <w:p w14:paraId="264D35E5">
            <w:pPr>
              <w:spacing w:before="68" w:line="232" w:lineRule="auto"/>
              <w:ind w:left="304"/>
              <w:rPr>
                <w:rFonts w:ascii="宋体" w:hAnsi="宋体" w:eastAsia="宋体" w:cs="宋体"/>
                <w:sz w:val="19"/>
                <w:szCs w:val="19"/>
              </w:rPr>
            </w:pPr>
            <w:r>
              <w:rPr>
                <w:rFonts w:ascii="宋体" w:hAnsi="宋体" w:eastAsia="宋体" w:cs="宋体"/>
                <w:spacing w:val="3"/>
                <w:sz w:val="19"/>
                <w:szCs w:val="19"/>
              </w:rPr>
              <w:t>6(5-4)</w:t>
            </w:r>
          </w:p>
        </w:tc>
        <w:tc>
          <w:tcPr>
            <w:tcW w:w="1192" w:type="dxa"/>
            <w:tcBorders>
              <w:bottom w:val="single" w:color="000000" w:sz="10" w:space="0"/>
              <w:right w:val="single" w:color="000000" w:sz="10" w:space="0"/>
            </w:tcBorders>
            <w:vAlign w:val="top"/>
          </w:tcPr>
          <w:p w14:paraId="4866E403">
            <w:pPr>
              <w:spacing w:before="68" w:line="232" w:lineRule="auto"/>
              <w:ind w:left="307"/>
              <w:rPr>
                <w:rFonts w:ascii="宋体" w:hAnsi="宋体" w:eastAsia="宋体" w:cs="宋体"/>
                <w:sz w:val="19"/>
                <w:szCs w:val="19"/>
              </w:rPr>
            </w:pPr>
            <w:r>
              <w:rPr>
                <w:rFonts w:ascii="宋体" w:hAnsi="宋体" w:eastAsia="宋体" w:cs="宋体"/>
                <w:spacing w:val="3"/>
                <w:sz w:val="19"/>
                <w:szCs w:val="19"/>
              </w:rPr>
              <w:t>7(3+6)</w:t>
            </w:r>
          </w:p>
        </w:tc>
      </w:tr>
      <w:tr w14:paraId="310BB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690" w:type="dxa"/>
            <w:tcBorders>
              <w:top w:val="single" w:color="000000" w:sz="10" w:space="0"/>
              <w:left w:val="single" w:color="000000" w:sz="10" w:space="0"/>
            </w:tcBorders>
            <w:vAlign w:val="top"/>
          </w:tcPr>
          <w:p w14:paraId="3669A70B">
            <w:pPr>
              <w:spacing w:before="94" w:line="190" w:lineRule="auto"/>
              <w:ind w:left="300"/>
              <w:rPr>
                <w:rFonts w:ascii="宋体" w:hAnsi="宋体" w:eastAsia="宋体" w:cs="宋体"/>
                <w:sz w:val="19"/>
                <w:szCs w:val="19"/>
              </w:rPr>
            </w:pPr>
            <w:r>
              <w:rPr>
                <w:rFonts w:ascii="宋体" w:hAnsi="宋体" w:eastAsia="宋体" w:cs="宋体"/>
                <w:sz w:val="19"/>
                <w:szCs w:val="19"/>
              </w:rPr>
              <w:t>1</w:t>
            </w:r>
          </w:p>
        </w:tc>
        <w:tc>
          <w:tcPr>
            <w:tcW w:w="6134" w:type="dxa"/>
            <w:tcBorders>
              <w:top w:val="single" w:color="000000" w:sz="10" w:space="0"/>
            </w:tcBorders>
            <w:vAlign w:val="top"/>
          </w:tcPr>
          <w:p w14:paraId="34A1840D">
            <w:pPr>
              <w:spacing w:before="63" w:line="229" w:lineRule="auto"/>
              <w:ind w:left="103"/>
              <w:rPr>
                <w:rFonts w:ascii="宋体" w:hAnsi="宋体" w:eastAsia="宋体" w:cs="宋体"/>
                <w:sz w:val="19"/>
                <w:szCs w:val="19"/>
              </w:rPr>
            </w:pPr>
            <w:r>
              <w:rPr>
                <w:rFonts w:ascii="宋体" w:hAnsi="宋体" w:eastAsia="宋体" w:cs="宋体"/>
                <w:spacing w:val="8"/>
                <w:sz w:val="19"/>
                <w:szCs w:val="19"/>
              </w:rPr>
              <w:t>一、债务重组</w:t>
            </w:r>
          </w:p>
        </w:tc>
        <w:tc>
          <w:tcPr>
            <w:tcW w:w="1123" w:type="dxa"/>
            <w:tcBorders>
              <w:top w:val="single" w:color="000000" w:sz="10" w:space="0"/>
            </w:tcBorders>
            <w:vAlign w:val="top"/>
          </w:tcPr>
          <w:p w14:paraId="7FF1E367">
            <w:pPr>
              <w:pStyle w:val="6"/>
            </w:pPr>
          </w:p>
        </w:tc>
        <w:tc>
          <w:tcPr>
            <w:tcW w:w="1288" w:type="dxa"/>
            <w:tcBorders>
              <w:top w:val="single" w:color="000000" w:sz="10" w:space="0"/>
            </w:tcBorders>
            <w:vAlign w:val="top"/>
          </w:tcPr>
          <w:p w14:paraId="37EF4E10">
            <w:pPr>
              <w:pStyle w:val="6"/>
            </w:pPr>
          </w:p>
        </w:tc>
        <w:tc>
          <w:tcPr>
            <w:tcW w:w="973" w:type="dxa"/>
            <w:tcBorders>
              <w:top w:val="single" w:color="000000" w:sz="10" w:space="0"/>
            </w:tcBorders>
            <w:vAlign w:val="top"/>
          </w:tcPr>
          <w:p w14:paraId="58DD6B9A">
            <w:pPr>
              <w:pStyle w:val="6"/>
            </w:pPr>
          </w:p>
        </w:tc>
        <w:tc>
          <w:tcPr>
            <w:tcW w:w="1085" w:type="dxa"/>
            <w:tcBorders>
              <w:top w:val="single" w:color="000000" w:sz="10" w:space="0"/>
            </w:tcBorders>
            <w:vAlign w:val="top"/>
          </w:tcPr>
          <w:p w14:paraId="60D24491">
            <w:pPr>
              <w:pStyle w:val="6"/>
            </w:pPr>
          </w:p>
        </w:tc>
        <w:tc>
          <w:tcPr>
            <w:tcW w:w="1178" w:type="dxa"/>
            <w:tcBorders>
              <w:top w:val="single" w:color="000000" w:sz="10" w:space="0"/>
            </w:tcBorders>
            <w:vAlign w:val="top"/>
          </w:tcPr>
          <w:p w14:paraId="64E183D7">
            <w:pPr>
              <w:pStyle w:val="6"/>
            </w:pPr>
          </w:p>
        </w:tc>
        <w:tc>
          <w:tcPr>
            <w:tcW w:w="1178" w:type="dxa"/>
            <w:tcBorders>
              <w:top w:val="single" w:color="000000" w:sz="10" w:space="0"/>
            </w:tcBorders>
            <w:vAlign w:val="top"/>
          </w:tcPr>
          <w:p w14:paraId="769251B7">
            <w:pPr>
              <w:pStyle w:val="6"/>
            </w:pPr>
          </w:p>
        </w:tc>
        <w:tc>
          <w:tcPr>
            <w:tcW w:w="1192" w:type="dxa"/>
            <w:tcBorders>
              <w:top w:val="single" w:color="000000" w:sz="10" w:space="0"/>
              <w:right w:val="single" w:color="000000" w:sz="10" w:space="0"/>
            </w:tcBorders>
            <w:vAlign w:val="top"/>
          </w:tcPr>
          <w:p w14:paraId="44D239D2">
            <w:pPr>
              <w:pStyle w:val="6"/>
            </w:pPr>
          </w:p>
        </w:tc>
      </w:tr>
      <w:tr w14:paraId="2CE43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690" w:type="dxa"/>
            <w:tcBorders>
              <w:left w:val="single" w:color="000000" w:sz="10" w:space="0"/>
            </w:tcBorders>
            <w:vAlign w:val="top"/>
          </w:tcPr>
          <w:p w14:paraId="45E64A40">
            <w:pPr>
              <w:spacing w:before="102" w:line="189" w:lineRule="auto"/>
              <w:ind w:left="288"/>
              <w:rPr>
                <w:rFonts w:ascii="宋体" w:hAnsi="宋体" w:eastAsia="宋体" w:cs="宋体"/>
                <w:sz w:val="19"/>
                <w:szCs w:val="19"/>
              </w:rPr>
            </w:pPr>
            <w:r>
              <w:rPr>
                <w:rFonts w:ascii="宋体" w:hAnsi="宋体" w:eastAsia="宋体" w:cs="宋体"/>
                <w:sz w:val="19"/>
                <w:szCs w:val="19"/>
              </w:rPr>
              <w:t>2</w:t>
            </w:r>
          </w:p>
        </w:tc>
        <w:tc>
          <w:tcPr>
            <w:tcW w:w="6134" w:type="dxa"/>
            <w:vAlign w:val="top"/>
          </w:tcPr>
          <w:p w14:paraId="0554E350">
            <w:pPr>
              <w:spacing w:before="71" w:line="228" w:lineRule="auto"/>
              <w:ind w:left="499"/>
              <w:rPr>
                <w:rFonts w:ascii="宋体" w:hAnsi="宋体" w:eastAsia="宋体" w:cs="宋体"/>
                <w:sz w:val="19"/>
                <w:szCs w:val="19"/>
              </w:rPr>
            </w:pPr>
            <w:r>
              <w:rPr>
                <w:rFonts w:ascii="宋体" w:hAnsi="宋体" w:eastAsia="宋体" w:cs="宋体"/>
                <w:spacing w:val="6"/>
                <w:sz w:val="19"/>
                <w:szCs w:val="19"/>
              </w:rPr>
              <w:t>其中：</w:t>
            </w:r>
            <w:r>
              <w:rPr>
                <w:rFonts w:ascii="宋体" w:hAnsi="宋体" w:eastAsia="宋体" w:cs="宋体"/>
                <w:spacing w:val="-51"/>
                <w:sz w:val="19"/>
                <w:szCs w:val="19"/>
              </w:rPr>
              <w:t xml:space="preserve"> </w:t>
            </w:r>
            <w:r>
              <w:rPr>
                <w:rFonts w:ascii="宋体" w:hAnsi="宋体" w:eastAsia="宋体" w:cs="宋体"/>
                <w:spacing w:val="6"/>
                <w:sz w:val="19"/>
                <w:szCs w:val="19"/>
              </w:rPr>
              <w:t>以非货币性资产清偿债务</w:t>
            </w:r>
          </w:p>
        </w:tc>
        <w:tc>
          <w:tcPr>
            <w:tcW w:w="1123" w:type="dxa"/>
            <w:vAlign w:val="top"/>
          </w:tcPr>
          <w:p w14:paraId="500D4373">
            <w:pPr>
              <w:pStyle w:val="6"/>
            </w:pPr>
          </w:p>
        </w:tc>
        <w:tc>
          <w:tcPr>
            <w:tcW w:w="1288" w:type="dxa"/>
            <w:vAlign w:val="top"/>
          </w:tcPr>
          <w:p w14:paraId="5952A6D0">
            <w:pPr>
              <w:pStyle w:val="6"/>
            </w:pPr>
          </w:p>
        </w:tc>
        <w:tc>
          <w:tcPr>
            <w:tcW w:w="973" w:type="dxa"/>
            <w:vAlign w:val="top"/>
          </w:tcPr>
          <w:p w14:paraId="6599962A">
            <w:pPr>
              <w:pStyle w:val="6"/>
            </w:pPr>
          </w:p>
        </w:tc>
        <w:tc>
          <w:tcPr>
            <w:tcW w:w="1085" w:type="dxa"/>
            <w:vAlign w:val="top"/>
          </w:tcPr>
          <w:p w14:paraId="3A893EBC">
            <w:pPr>
              <w:pStyle w:val="6"/>
            </w:pPr>
          </w:p>
        </w:tc>
        <w:tc>
          <w:tcPr>
            <w:tcW w:w="1178" w:type="dxa"/>
            <w:vAlign w:val="top"/>
          </w:tcPr>
          <w:p w14:paraId="2FDD5FD6">
            <w:pPr>
              <w:pStyle w:val="6"/>
            </w:pPr>
          </w:p>
        </w:tc>
        <w:tc>
          <w:tcPr>
            <w:tcW w:w="1178" w:type="dxa"/>
            <w:vAlign w:val="top"/>
          </w:tcPr>
          <w:p w14:paraId="4F09B07D">
            <w:pPr>
              <w:pStyle w:val="6"/>
            </w:pPr>
          </w:p>
        </w:tc>
        <w:tc>
          <w:tcPr>
            <w:tcW w:w="1192" w:type="dxa"/>
            <w:tcBorders>
              <w:right w:val="single" w:color="000000" w:sz="10" w:space="0"/>
            </w:tcBorders>
            <w:vAlign w:val="top"/>
          </w:tcPr>
          <w:p w14:paraId="0C9198E8">
            <w:pPr>
              <w:pStyle w:val="6"/>
            </w:pPr>
          </w:p>
        </w:tc>
      </w:tr>
      <w:tr w14:paraId="4443A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690" w:type="dxa"/>
            <w:tcBorders>
              <w:left w:val="single" w:color="000000" w:sz="10" w:space="0"/>
            </w:tcBorders>
            <w:vAlign w:val="top"/>
          </w:tcPr>
          <w:p w14:paraId="1973C1CE">
            <w:pPr>
              <w:spacing w:before="104" w:line="189" w:lineRule="auto"/>
              <w:ind w:left="289"/>
              <w:rPr>
                <w:rFonts w:ascii="宋体" w:hAnsi="宋体" w:eastAsia="宋体" w:cs="宋体"/>
                <w:sz w:val="19"/>
                <w:szCs w:val="19"/>
              </w:rPr>
            </w:pPr>
            <w:r>
              <w:rPr>
                <w:rFonts w:ascii="宋体" w:hAnsi="宋体" w:eastAsia="宋体" w:cs="宋体"/>
                <w:sz w:val="19"/>
                <w:szCs w:val="19"/>
              </w:rPr>
              <w:t>3</w:t>
            </w:r>
          </w:p>
        </w:tc>
        <w:tc>
          <w:tcPr>
            <w:tcW w:w="6134" w:type="dxa"/>
            <w:vAlign w:val="top"/>
          </w:tcPr>
          <w:p w14:paraId="49A1F9C3">
            <w:pPr>
              <w:spacing w:before="73" w:line="229" w:lineRule="auto"/>
              <w:ind w:left="1099"/>
              <w:rPr>
                <w:rFonts w:ascii="宋体" w:hAnsi="宋体" w:eastAsia="宋体" w:cs="宋体"/>
                <w:sz w:val="19"/>
                <w:szCs w:val="19"/>
              </w:rPr>
            </w:pPr>
            <w:r>
              <w:rPr>
                <w:rFonts w:ascii="宋体" w:hAnsi="宋体" w:eastAsia="宋体" w:cs="宋体"/>
                <w:spacing w:val="7"/>
                <w:sz w:val="19"/>
                <w:szCs w:val="19"/>
              </w:rPr>
              <w:t>债转股</w:t>
            </w:r>
          </w:p>
        </w:tc>
        <w:tc>
          <w:tcPr>
            <w:tcW w:w="1123" w:type="dxa"/>
            <w:vAlign w:val="top"/>
          </w:tcPr>
          <w:p w14:paraId="2132FD19">
            <w:pPr>
              <w:pStyle w:val="6"/>
            </w:pPr>
          </w:p>
        </w:tc>
        <w:tc>
          <w:tcPr>
            <w:tcW w:w="1288" w:type="dxa"/>
            <w:vAlign w:val="top"/>
          </w:tcPr>
          <w:p w14:paraId="0B039F40">
            <w:pPr>
              <w:pStyle w:val="6"/>
            </w:pPr>
          </w:p>
        </w:tc>
        <w:tc>
          <w:tcPr>
            <w:tcW w:w="973" w:type="dxa"/>
            <w:vAlign w:val="top"/>
          </w:tcPr>
          <w:p w14:paraId="32799988">
            <w:pPr>
              <w:pStyle w:val="6"/>
            </w:pPr>
          </w:p>
        </w:tc>
        <w:tc>
          <w:tcPr>
            <w:tcW w:w="1085" w:type="dxa"/>
            <w:vAlign w:val="top"/>
          </w:tcPr>
          <w:p w14:paraId="1B02FF4F">
            <w:pPr>
              <w:pStyle w:val="6"/>
            </w:pPr>
          </w:p>
        </w:tc>
        <w:tc>
          <w:tcPr>
            <w:tcW w:w="1178" w:type="dxa"/>
            <w:vAlign w:val="top"/>
          </w:tcPr>
          <w:p w14:paraId="30B10C64">
            <w:pPr>
              <w:pStyle w:val="6"/>
            </w:pPr>
          </w:p>
        </w:tc>
        <w:tc>
          <w:tcPr>
            <w:tcW w:w="1178" w:type="dxa"/>
            <w:vAlign w:val="top"/>
          </w:tcPr>
          <w:p w14:paraId="0B48AB21">
            <w:pPr>
              <w:pStyle w:val="6"/>
            </w:pPr>
          </w:p>
        </w:tc>
        <w:tc>
          <w:tcPr>
            <w:tcW w:w="1192" w:type="dxa"/>
            <w:tcBorders>
              <w:right w:val="single" w:color="000000" w:sz="10" w:space="0"/>
            </w:tcBorders>
            <w:vAlign w:val="top"/>
          </w:tcPr>
          <w:p w14:paraId="0D26CC41">
            <w:pPr>
              <w:pStyle w:val="6"/>
            </w:pPr>
          </w:p>
        </w:tc>
      </w:tr>
      <w:tr w14:paraId="18E22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690" w:type="dxa"/>
            <w:tcBorders>
              <w:left w:val="single" w:color="000000" w:sz="10" w:space="0"/>
            </w:tcBorders>
            <w:vAlign w:val="top"/>
          </w:tcPr>
          <w:p w14:paraId="3D322475">
            <w:pPr>
              <w:spacing w:before="104" w:line="189" w:lineRule="auto"/>
              <w:ind w:left="285"/>
              <w:rPr>
                <w:rFonts w:ascii="宋体" w:hAnsi="宋体" w:eastAsia="宋体" w:cs="宋体"/>
                <w:sz w:val="19"/>
                <w:szCs w:val="19"/>
              </w:rPr>
            </w:pPr>
            <w:r>
              <w:rPr>
                <w:rFonts w:ascii="宋体" w:hAnsi="宋体" w:eastAsia="宋体" w:cs="宋体"/>
                <w:sz w:val="19"/>
                <w:szCs w:val="19"/>
              </w:rPr>
              <w:t>4</w:t>
            </w:r>
          </w:p>
        </w:tc>
        <w:tc>
          <w:tcPr>
            <w:tcW w:w="6134" w:type="dxa"/>
            <w:vAlign w:val="top"/>
          </w:tcPr>
          <w:p w14:paraId="70E57FF6">
            <w:pPr>
              <w:spacing w:before="72" w:line="229" w:lineRule="auto"/>
              <w:ind w:left="103"/>
              <w:rPr>
                <w:rFonts w:ascii="宋体" w:hAnsi="宋体" w:eastAsia="宋体" w:cs="宋体"/>
                <w:sz w:val="19"/>
                <w:szCs w:val="19"/>
              </w:rPr>
            </w:pPr>
            <w:r>
              <w:rPr>
                <w:rFonts w:ascii="宋体" w:hAnsi="宋体" w:eastAsia="宋体" w:cs="宋体"/>
                <w:spacing w:val="8"/>
                <w:sz w:val="19"/>
                <w:szCs w:val="19"/>
              </w:rPr>
              <w:t>二、股权收购</w:t>
            </w:r>
          </w:p>
        </w:tc>
        <w:tc>
          <w:tcPr>
            <w:tcW w:w="1123" w:type="dxa"/>
            <w:vAlign w:val="top"/>
          </w:tcPr>
          <w:p w14:paraId="0ADA3E14">
            <w:pPr>
              <w:pStyle w:val="6"/>
            </w:pPr>
          </w:p>
        </w:tc>
        <w:tc>
          <w:tcPr>
            <w:tcW w:w="1288" w:type="dxa"/>
            <w:vAlign w:val="top"/>
          </w:tcPr>
          <w:p w14:paraId="7D38187D">
            <w:pPr>
              <w:pStyle w:val="6"/>
            </w:pPr>
          </w:p>
        </w:tc>
        <w:tc>
          <w:tcPr>
            <w:tcW w:w="973" w:type="dxa"/>
            <w:vAlign w:val="top"/>
          </w:tcPr>
          <w:p w14:paraId="6B9B0AA2">
            <w:pPr>
              <w:pStyle w:val="6"/>
            </w:pPr>
          </w:p>
        </w:tc>
        <w:tc>
          <w:tcPr>
            <w:tcW w:w="1085" w:type="dxa"/>
            <w:vAlign w:val="top"/>
          </w:tcPr>
          <w:p w14:paraId="07C99DEC">
            <w:pPr>
              <w:pStyle w:val="6"/>
            </w:pPr>
          </w:p>
        </w:tc>
        <w:tc>
          <w:tcPr>
            <w:tcW w:w="1178" w:type="dxa"/>
            <w:vAlign w:val="top"/>
          </w:tcPr>
          <w:p w14:paraId="5E2CBA2A">
            <w:pPr>
              <w:pStyle w:val="6"/>
            </w:pPr>
          </w:p>
        </w:tc>
        <w:tc>
          <w:tcPr>
            <w:tcW w:w="1178" w:type="dxa"/>
            <w:vAlign w:val="top"/>
          </w:tcPr>
          <w:p w14:paraId="342BD128">
            <w:pPr>
              <w:pStyle w:val="6"/>
            </w:pPr>
          </w:p>
        </w:tc>
        <w:tc>
          <w:tcPr>
            <w:tcW w:w="1192" w:type="dxa"/>
            <w:tcBorders>
              <w:right w:val="single" w:color="000000" w:sz="10" w:space="0"/>
            </w:tcBorders>
            <w:vAlign w:val="top"/>
          </w:tcPr>
          <w:p w14:paraId="42BCF113">
            <w:pPr>
              <w:pStyle w:val="6"/>
            </w:pPr>
          </w:p>
        </w:tc>
      </w:tr>
      <w:tr w14:paraId="485BC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690" w:type="dxa"/>
            <w:tcBorders>
              <w:left w:val="single" w:color="000000" w:sz="10" w:space="0"/>
            </w:tcBorders>
            <w:vAlign w:val="top"/>
          </w:tcPr>
          <w:p w14:paraId="665B508D">
            <w:pPr>
              <w:spacing w:before="107" w:line="188" w:lineRule="auto"/>
              <w:ind w:left="289"/>
              <w:rPr>
                <w:rFonts w:ascii="宋体" w:hAnsi="宋体" w:eastAsia="宋体" w:cs="宋体"/>
                <w:sz w:val="19"/>
                <w:szCs w:val="19"/>
              </w:rPr>
            </w:pPr>
            <w:r>
              <w:rPr>
                <w:rFonts w:ascii="宋体" w:hAnsi="宋体" w:eastAsia="宋体" w:cs="宋体"/>
                <w:sz w:val="19"/>
                <w:szCs w:val="19"/>
              </w:rPr>
              <w:t>5</w:t>
            </w:r>
          </w:p>
        </w:tc>
        <w:tc>
          <w:tcPr>
            <w:tcW w:w="6134" w:type="dxa"/>
            <w:vAlign w:val="top"/>
          </w:tcPr>
          <w:p w14:paraId="6C97EFE9">
            <w:pPr>
              <w:spacing w:before="74" w:line="229" w:lineRule="auto"/>
              <w:ind w:left="499"/>
              <w:rPr>
                <w:rFonts w:ascii="宋体" w:hAnsi="宋体" w:eastAsia="宋体" w:cs="宋体"/>
                <w:sz w:val="19"/>
                <w:szCs w:val="19"/>
              </w:rPr>
            </w:pPr>
            <w:r>
              <w:rPr>
                <w:rFonts w:ascii="宋体" w:hAnsi="宋体" w:eastAsia="宋体" w:cs="宋体"/>
                <w:spacing w:val="9"/>
                <w:sz w:val="19"/>
                <w:szCs w:val="19"/>
              </w:rPr>
              <w:t>其中：涉及跨境重组的股权收购</w:t>
            </w:r>
          </w:p>
        </w:tc>
        <w:tc>
          <w:tcPr>
            <w:tcW w:w="1123" w:type="dxa"/>
            <w:vAlign w:val="top"/>
          </w:tcPr>
          <w:p w14:paraId="0FA9DDE7">
            <w:pPr>
              <w:pStyle w:val="6"/>
            </w:pPr>
          </w:p>
        </w:tc>
        <w:tc>
          <w:tcPr>
            <w:tcW w:w="1288" w:type="dxa"/>
            <w:vAlign w:val="top"/>
          </w:tcPr>
          <w:p w14:paraId="09D7BAE2">
            <w:pPr>
              <w:pStyle w:val="6"/>
            </w:pPr>
          </w:p>
        </w:tc>
        <w:tc>
          <w:tcPr>
            <w:tcW w:w="973" w:type="dxa"/>
            <w:vAlign w:val="top"/>
          </w:tcPr>
          <w:p w14:paraId="722BB53D">
            <w:pPr>
              <w:pStyle w:val="6"/>
            </w:pPr>
          </w:p>
        </w:tc>
        <w:tc>
          <w:tcPr>
            <w:tcW w:w="1085" w:type="dxa"/>
            <w:vAlign w:val="top"/>
          </w:tcPr>
          <w:p w14:paraId="31D9DA5C">
            <w:pPr>
              <w:pStyle w:val="6"/>
            </w:pPr>
          </w:p>
        </w:tc>
        <w:tc>
          <w:tcPr>
            <w:tcW w:w="1178" w:type="dxa"/>
            <w:vAlign w:val="top"/>
          </w:tcPr>
          <w:p w14:paraId="06D699DE">
            <w:pPr>
              <w:pStyle w:val="6"/>
            </w:pPr>
          </w:p>
        </w:tc>
        <w:tc>
          <w:tcPr>
            <w:tcW w:w="1178" w:type="dxa"/>
            <w:vAlign w:val="top"/>
          </w:tcPr>
          <w:p w14:paraId="56A8A284">
            <w:pPr>
              <w:pStyle w:val="6"/>
            </w:pPr>
          </w:p>
        </w:tc>
        <w:tc>
          <w:tcPr>
            <w:tcW w:w="1192" w:type="dxa"/>
            <w:tcBorders>
              <w:right w:val="single" w:color="000000" w:sz="10" w:space="0"/>
            </w:tcBorders>
            <w:vAlign w:val="top"/>
          </w:tcPr>
          <w:p w14:paraId="0148705A">
            <w:pPr>
              <w:pStyle w:val="6"/>
            </w:pPr>
          </w:p>
        </w:tc>
      </w:tr>
      <w:tr w14:paraId="28C55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690" w:type="dxa"/>
            <w:tcBorders>
              <w:left w:val="single" w:color="000000" w:sz="10" w:space="0"/>
            </w:tcBorders>
            <w:vAlign w:val="top"/>
          </w:tcPr>
          <w:p w14:paraId="532F4E03">
            <w:pPr>
              <w:spacing w:before="108" w:line="189" w:lineRule="auto"/>
              <w:ind w:left="287"/>
              <w:rPr>
                <w:rFonts w:ascii="宋体" w:hAnsi="宋体" w:eastAsia="宋体" w:cs="宋体"/>
                <w:sz w:val="19"/>
                <w:szCs w:val="19"/>
              </w:rPr>
            </w:pPr>
            <w:r>
              <w:rPr>
                <w:rFonts w:ascii="宋体" w:hAnsi="宋体" w:eastAsia="宋体" w:cs="宋体"/>
                <w:sz w:val="19"/>
                <w:szCs w:val="19"/>
              </w:rPr>
              <w:t>6</w:t>
            </w:r>
          </w:p>
        </w:tc>
        <w:tc>
          <w:tcPr>
            <w:tcW w:w="6134" w:type="dxa"/>
            <w:vAlign w:val="top"/>
          </w:tcPr>
          <w:p w14:paraId="0C4510F8">
            <w:pPr>
              <w:spacing w:before="76" w:line="229" w:lineRule="auto"/>
              <w:ind w:left="100"/>
              <w:rPr>
                <w:rFonts w:ascii="宋体" w:hAnsi="宋体" w:eastAsia="宋体" w:cs="宋体"/>
                <w:sz w:val="19"/>
                <w:szCs w:val="19"/>
              </w:rPr>
            </w:pPr>
            <w:r>
              <w:rPr>
                <w:rFonts w:ascii="宋体" w:hAnsi="宋体" w:eastAsia="宋体" w:cs="宋体"/>
                <w:spacing w:val="8"/>
                <w:sz w:val="19"/>
                <w:szCs w:val="19"/>
              </w:rPr>
              <w:t>三、资产收购</w:t>
            </w:r>
          </w:p>
        </w:tc>
        <w:tc>
          <w:tcPr>
            <w:tcW w:w="1123" w:type="dxa"/>
            <w:vAlign w:val="top"/>
          </w:tcPr>
          <w:p w14:paraId="1A118709">
            <w:pPr>
              <w:pStyle w:val="6"/>
            </w:pPr>
          </w:p>
        </w:tc>
        <w:tc>
          <w:tcPr>
            <w:tcW w:w="1288" w:type="dxa"/>
            <w:vAlign w:val="top"/>
          </w:tcPr>
          <w:p w14:paraId="051D39A3">
            <w:pPr>
              <w:pStyle w:val="6"/>
            </w:pPr>
          </w:p>
        </w:tc>
        <w:tc>
          <w:tcPr>
            <w:tcW w:w="973" w:type="dxa"/>
            <w:vAlign w:val="top"/>
          </w:tcPr>
          <w:p w14:paraId="4935771F">
            <w:pPr>
              <w:pStyle w:val="6"/>
            </w:pPr>
          </w:p>
        </w:tc>
        <w:tc>
          <w:tcPr>
            <w:tcW w:w="1085" w:type="dxa"/>
            <w:vAlign w:val="top"/>
          </w:tcPr>
          <w:p w14:paraId="0475D820">
            <w:pPr>
              <w:pStyle w:val="6"/>
            </w:pPr>
          </w:p>
        </w:tc>
        <w:tc>
          <w:tcPr>
            <w:tcW w:w="1178" w:type="dxa"/>
            <w:vAlign w:val="top"/>
          </w:tcPr>
          <w:p w14:paraId="7EE6BC6A">
            <w:pPr>
              <w:pStyle w:val="6"/>
            </w:pPr>
          </w:p>
        </w:tc>
        <w:tc>
          <w:tcPr>
            <w:tcW w:w="1178" w:type="dxa"/>
            <w:vAlign w:val="top"/>
          </w:tcPr>
          <w:p w14:paraId="32A47194">
            <w:pPr>
              <w:pStyle w:val="6"/>
            </w:pPr>
          </w:p>
        </w:tc>
        <w:tc>
          <w:tcPr>
            <w:tcW w:w="1192" w:type="dxa"/>
            <w:tcBorders>
              <w:right w:val="single" w:color="000000" w:sz="10" w:space="0"/>
            </w:tcBorders>
            <w:vAlign w:val="top"/>
          </w:tcPr>
          <w:p w14:paraId="6E223187">
            <w:pPr>
              <w:pStyle w:val="6"/>
            </w:pPr>
          </w:p>
        </w:tc>
      </w:tr>
      <w:tr w14:paraId="4230E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690" w:type="dxa"/>
            <w:tcBorders>
              <w:left w:val="single" w:color="000000" w:sz="10" w:space="0"/>
            </w:tcBorders>
            <w:vAlign w:val="top"/>
          </w:tcPr>
          <w:p w14:paraId="2702B023">
            <w:pPr>
              <w:spacing w:before="109" w:line="188" w:lineRule="auto"/>
              <w:ind w:left="290"/>
              <w:rPr>
                <w:rFonts w:ascii="宋体" w:hAnsi="宋体" w:eastAsia="宋体" w:cs="宋体"/>
                <w:sz w:val="19"/>
                <w:szCs w:val="19"/>
              </w:rPr>
            </w:pPr>
            <w:r>
              <w:rPr>
                <w:rFonts w:ascii="宋体" w:hAnsi="宋体" w:eastAsia="宋体" w:cs="宋体"/>
                <w:sz w:val="19"/>
                <w:szCs w:val="19"/>
              </w:rPr>
              <w:t>7</w:t>
            </w:r>
          </w:p>
        </w:tc>
        <w:tc>
          <w:tcPr>
            <w:tcW w:w="6134" w:type="dxa"/>
            <w:vAlign w:val="top"/>
          </w:tcPr>
          <w:p w14:paraId="67261973">
            <w:pPr>
              <w:spacing w:before="76" w:line="229" w:lineRule="auto"/>
              <w:ind w:left="499"/>
              <w:rPr>
                <w:rFonts w:ascii="宋体" w:hAnsi="宋体" w:eastAsia="宋体" w:cs="宋体"/>
                <w:sz w:val="19"/>
                <w:szCs w:val="19"/>
              </w:rPr>
            </w:pPr>
            <w:r>
              <w:rPr>
                <w:rFonts w:ascii="宋体" w:hAnsi="宋体" w:eastAsia="宋体" w:cs="宋体"/>
                <w:spacing w:val="9"/>
                <w:sz w:val="19"/>
                <w:szCs w:val="19"/>
              </w:rPr>
              <w:t>其中：涉及跨境重组的资产收购</w:t>
            </w:r>
          </w:p>
        </w:tc>
        <w:tc>
          <w:tcPr>
            <w:tcW w:w="1123" w:type="dxa"/>
            <w:vAlign w:val="top"/>
          </w:tcPr>
          <w:p w14:paraId="49C8B275">
            <w:pPr>
              <w:pStyle w:val="6"/>
            </w:pPr>
          </w:p>
        </w:tc>
        <w:tc>
          <w:tcPr>
            <w:tcW w:w="1288" w:type="dxa"/>
            <w:vAlign w:val="top"/>
          </w:tcPr>
          <w:p w14:paraId="250A7734">
            <w:pPr>
              <w:pStyle w:val="6"/>
            </w:pPr>
          </w:p>
        </w:tc>
        <w:tc>
          <w:tcPr>
            <w:tcW w:w="973" w:type="dxa"/>
            <w:vAlign w:val="top"/>
          </w:tcPr>
          <w:p w14:paraId="71DA182B">
            <w:pPr>
              <w:pStyle w:val="6"/>
            </w:pPr>
          </w:p>
        </w:tc>
        <w:tc>
          <w:tcPr>
            <w:tcW w:w="1085" w:type="dxa"/>
            <w:vAlign w:val="top"/>
          </w:tcPr>
          <w:p w14:paraId="6D728CD9">
            <w:pPr>
              <w:pStyle w:val="6"/>
            </w:pPr>
          </w:p>
        </w:tc>
        <w:tc>
          <w:tcPr>
            <w:tcW w:w="1178" w:type="dxa"/>
            <w:vAlign w:val="top"/>
          </w:tcPr>
          <w:p w14:paraId="0A4C1D21">
            <w:pPr>
              <w:pStyle w:val="6"/>
            </w:pPr>
          </w:p>
        </w:tc>
        <w:tc>
          <w:tcPr>
            <w:tcW w:w="1178" w:type="dxa"/>
            <w:vAlign w:val="top"/>
          </w:tcPr>
          <w:p w14:paraId="1AD6AA40">
            <w:pPr>
              <w:pStyle w:val="6"/>
            </w:pPr>
          </w:p>
        </w:tc>
        <w:tc>
          <w:tcPr>
            <w:tcW w:w="1192" w:type="dxa"/>
            <w:tcBorders>
              <w:right w:val="single" w:color="000000" w:sz="10" w:space="0"/>
            </w:tcBorders>
            <w:vAlign w:val="top"/>
          </w:tcPr>
          <w:p w14:paraId="1FB1628E">
            <w:pPr>
              <w:pStyle w:val="6"/>
            </w:pPr>
          </w:p>
        </w:tc>
      </w:tr>
      <w:tr w14:paraId="580FD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690" w:type="dxa"/>
            <w:tcBorders>
              <w:left w:val="single" w:color="000000" w:sz="10" w:space="0"/>
            </w:tcBorders>
            <w:vAlign w:val="top"/>
          </w:tcPr>
          <w:p w14:paraId="7F9E5F4E">
            <w:pPr>
              <w:spacing w:before="109" w:line="189" w:lineRule="auto"/>
              <w:ind w:left="286"/>
              <w:rPr>
                <w:rFonts w:ascii="宋体" w:hAnsi="宋体" w:eastAsia="宋体" w:cs="宋体"/>
                <w:sz w:val="19"/>
                <w:szCs w:val="19"/>
              </w:rPr>
            </w:pPr>
            <w:r>
              <w:rPr>
                <w:rFonts w:ascii="宋体" w:hAnsi="宋体" w:eastAsia="宋体" w:cs="宋体"/>
                <w:sz w:val="19"/>
                <w:szCs w:val="19"/>
              </w:rPr>
              <w:t>8</w:t>
            </w:r>
          </w:p>
        </w:tc>
        <w:tc>
          <w:tcPr>
            <w:tcW w:w="6134" w:type="dxa"/>
            <w:vAlign w:val="top"/>
          </w:tcPr>
          <w:p w14:paraId="7E69EA35">
            <w:pPr>
              <w:spacing w:before="78" w:line="229" w:lineRule="auto"/>
              <w:ind w:left="118"/>
              <w:rPr>
                <w:rFonts w:ascii="宋体" w:hAnsi="宋体" w:eastAsia="宋体" w:cs="宋体"/>
                <w:sz w:val="19"/>
                <w:szCs w:val="19"/>
              </w:rPr>
            </w:pPr>
            <w:r>
              <w:rPr>
                <w:rFonts w:ascii="宋体" w:hAnsi="宋体" w:eastAsia="宋体" w:cs="宋体"/>
                <w:spacing w:val="5"/>
                <w:sz w:val="19"/>
                <w:szCs w:val="19"/>
              </w:rPr>
              <w:t>四、企业合并（9+10）</w:t>
            </w:r>
          </w:p>
        </w:tc>
        <w:tc>
          <w:tcPr>
            <w:tcW w:w="1123" w:type="dxa"/>
            <w:vAlign w:val="top"/>
          </w:tcPr>
          <w:p w14:paraId="5B591FDC">
            <w:pPr>
              <w:pStyle w:val="6"/>
            </w:pPr>
          </w:p>
        </w:tc>
        <w:tc>
          <w:tcPr>
            <w:tcW w:w="1288" w:type="dxa"/>
            <w:vAlign w:val="top"/>
          </w:tcPr>
          <w:p w14:paraId="197B727D">
            <w:pPr>
              <w:pStyle w:val="6"/>
            </w:pPr>
          </w:p>
        </w:tc>
        <w:tc>
          <w:tcPr>
            <w:tcW w:w="973" w:type="dxa"/>
            <w:vAlign w:val="top"/>
          </w:tcPr>
          <w:p w14:paraId="319F7676">
            <w:pPr>
              <w:pStyle w:val="6"/>
            </w:pPr>
          </w:p>
        </w:tc>
        <w:tc>
          <w:tcPr>
            <w:tcW w:w="1085" w:type="dxa"/>
            <w:vAlign w:val="top"/>
          </w:tcPr>
          <w:p w14:paraId="7162F45E">
            <w:pPr>
              <w:pStyle w:val="6"/>
            </w:pPr>
          </w:p>
        </w:tc>
        <w:tc>
          <w:tcPr>
            <w:tcW w:w="1178" w:type="dxa"/>
            <w:vAlign w:val="top"/>
          </w:tcPr>
          <w:p w14:paraId="79B324D5">
            <w:pPr>
              <w:pStyle w:val="6"/>
            </w:pPr>
          </w:p>
        </w:tc>
        <w:tc>
          <w:tcPr>
            <w:tcW w:w="1178" w:type="dxa"/>
            <w:vAlign w:val="top"/>
          </w:tcPr>
          <w:p w14:paraId="6C478D76">
            <w:pPr>
              <w:pStyle w:val="6"/>
            </w:pPr>
          </w:p>
        </w:tc>
        <w:tc>
          <w:tcPr>
            <w:tcW w:w="1192" w:type="dxa"/>
            <w:tcBorders>
              <w:right w:val="single" w:color="000000" w:sz="10" w:space="0"/>
            </w:tcBorders>
            <w:vAlign w:val="top"/>
          </w:tcPr>
          <w:p w14:paraId="182A4D1D">
            <w:pPr>
              <w:pStyle w:val="6"/>
            </w:pPr>
          </w:p>
        </w:tc>
      </w:tr>
      <w:tr w14:paraId="0108E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690" w:type="dxa"/>
            <w:tcBorders>
              <w:left w:val="single" w:color="000000" w:sz="10" w:space="0"/>
            </w:tcBorders>
            <w:vAlign w:val="top"/>
          </w:tcPr>
          <w:p w14:paraId="5F4EB936">
            <w:pPr>
              <w:spacing w:before="109" w:line="189" w:lineRule="auto"/>
              <w:ind w:left="286"/>
              <w:rPr>
                <w:rFonts w:ascii="宋体" w:hAnsi="宋体" w:eastAsia="宋体" w:cs="宋体"/>
                <w:sz w:val="19"/>
                <w:szCs w:val="19"/>
              </w:rPr>
            </w:pPr>
            <w:r>
              <w:rPr>
                <w:rFonts w:ascii="宋体" w:hAnsi="宋体" w:eastAsia="宋体" w:cs="宋体"/>
                <w:sz w:val="19"/>
                <w:szCs w:val="19"/>
              </w:rPr>
              <w:t>9</w:t>
            </w:r>
          </w:p>
        </w:tc>
        <w:tc>
          <w:tcPr>
            <w:tcW w:w="6134" w:type="dxa"/>
            <w:vAlign w:val="top"/>
          </w:tcPr>
          <w:p w14:paraId="1DB3F69A">
            <w:pPr>
              <w:spacing w:before="77" w:line="229" w:lineRule="auto"/>
              <w:ind w:left="508"/>
              <w:rPr>
                <w:rFonts w:ascii="宋体" w:hAnsi="宋体" w:eastAsia="宋体" w:cs="宋体"/>
                <w:sz w:val="19"/>
                <w:szCs w:val="19"/>
              </w:rPr>
            </w:pPr>
            <w:r>
              <w:rPr>
                <w:rFonts w:ascii="宋体" w:hAnsi="宋体" w:eastAsia="宋体" w:cs="宋体"/>
                <w:spacing w:val="5"/>
                <w:sz w:val="19"/>
                <w:szCs w:val="19"/>
              </w:rPr>
              <w:t>（一）</w:t>
            </w:r>
            <w:r>
              <w:rPr>
                <w:rFonts w:ascii="宋体" w:hAnsi="宋体" w:eastAsia="宋体" w:cs="宋体"/>
                <w:spacing w:val="-54"/>
                <w:sz w:val="19"/>
                <w:szCs w:val="19"/>
              </w:rPr>
              <w:t xml:space="preserve"> </w:t>
            </w:r>
            <w:r>
              <w:rPr>
                <w:rFonts w:ascii="宋体" w:hAnsi="宋体" w:eastAsia="宋体" w:cs="宋体"/>
                <w:spacing w:val="5"/>
                <w:sz w:val="19"/>
                <w:szCs w:val="19"/>
              </w:rPr>
              <w:t>同一控制下企业合并</w:t>
            </w:r>
          </w:p>
        </w:tc>
        <w:tc>
          <w:tcPr>
            <w:tcW w:w="1123" w:type="dxa"/>
            <w:vAlign w:val="top"/>
          </w:tcPr>
          <w:p w14:paraId="392CC630">
            <w:pPr>
              <w:pStyle w:val="6"/>
            </w:pPr>
          </w:p>
        </w:tc>
        <w:tc>
          <w:tcPr>
            <w:tcW w:w="1288" w:type="dxa"/>
            <w:vAlign w:val="top"/>
          </w:tcPr>
          <w:p w14:paraId="7F247064">
            <w:pPr>
              <w:pStyle w:val="6"/>
            </w:pPr>
          </w:p>
        </w:tc>
        <w:tc>
          <w:tcPr>
            <w:tcW w:w="973" w:type="dxa"/>
            <w:vAlign w:val="top"/>
          </w:tcPr>
          <w:p w14:paraId="370698BE">
            <w:pPr>
              <w:pStyle w:val="6"/>
            </w:pPr>
          </w:p>
        </w:tc>
        <w:tc>
          <w:tcPr>
            <w:tcW w:w="1085" w:type="dxa"/>
            <w:vAlign w:val="top"/>
          </w:tcPr>
          <w:p w14:paraId="2C12A1D6">
            <w:pPr>
              <w:pStyle w:val="6"/>
            </w:pPr>
          </w:p>
        </w:tc>
        <w:tc>
          <w:tcPr>
            <w:tcW w:w="1178" w:type="dxa"/>
            <w:vAlign w:val="top"/>
          </w:tcPr>
          <w:p w14:paraId="47357C0B">
            <w:pPr>
              <w:pStyle w:val="6"/>
            </w:pPr>
          </w:p>
        </w:tc>
        <w:tc>
          <w:tcPr>
            <w:tcW w:w="1178" w:type="dxa"/>
            <w:vAlign w:val="top"/>
          </w:tcPr>
          <w:p w14:paraId="7087BC12">
            <w:pPr>
              <w:pStyle w:val="6"/>
            </w:pPr>
          </w:p>
        </w:tc>
        <w:tc>
          <w:tcPr>
            <w:tcW w:w="1192" w:type="dxa"/>
            <w:tcBorders>
              <w:right w:val="single" w:color="000000" w:sz="10" w:space="0"/>
            </w:tcBorders>
            <w:vAlign w:val="top"/>
          </w:tcPr>
          <w:p w14:paraId="1F493921">
            <w:pPr>
              <w:pStyle w:val="6"/>
            </w:pPr>
          </w:p>
        </w:tc>
      </w:tr>
      <w:tr w14:paraId="4F0C7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690" w:type="dxa"/>
            <w:tcBorders>
              <w:left w:val="single" w:color="000000" w:sz="10" w:space="0"/>
            </w:tcBorders>
            <w:vAlign w:val="top"/>
          </w:tcPr>
          <w:p w14:paraId="3B705D81">
            <w:pPr>
              <w:spacing w:before="110" w:line="190" w:lineRule="auto"/>
              <w:ind w:left="250"/>
              <w:rPr>
                <w:rFonts w:ascii="宋体" w:hAnsi="宋体" w:eastAsia="宋体" w:cs="宋体"/>
                <w:sz w:val="19"/>
                <w:szCs w:val="19"/>
              </w:rPr>
            </w:pPr>
            <w:r>
              <w:rPr>
                <w:rFonts w:ascii="宋体" w:hAnsi="宋体" w:eastAsia="宋体" w:cs="宋体"/>
                <w:spacing w:val="-7"/>
                <w:sz w:val="19"/>
                <w:szCs w:val="19"/>
              </w:rPr>
              <w:t>10</w:t>
            </w:r>
          </w:p>
        </w:tc>
        <w:tc>
          <w:tcPr>
            <w:tcW w:w="6134" w:type="dxa"/>
            <w:vAlign w:val="top"/>
          </w:tcPr>
          <w:p w14:paraId="56452D15">
            <w:pPr>
              <w:spacing w:before="79" w:line="229" w:lineRule="auto"/>
              <w:ind w:left="508"/>
              <w:rPr>
                <w:rFonts w:ascii="宋体" w:hAnsi="宋体" w:eastAsia="宋体" w:cs="宋体"/>
                <w:sz w:val="19"/>
                <w:szCs w:val="19"/>
              </w:rPr>
            </w:pPr>
            <w:r>
              <w:rPr>
                <w:rFonts w:ascii="宋体" w:hAnsi="宋体" w:eastAsia="宋体" w:cs="宋体"/>
                <w:spacing w:val="8"/>
                <w:sz w:val="19"/>
                <w:szCs w:val="19"/>
              </w:rPr>
              <w:t>（二）非同一控制下企业合并</w:t>
            </w:r>
          </w:p>
        </w:tc>
        <w:tc>
          <w:tcPr>
            <w:tcW w:w="1123" w:type="dxa"/>
            <w:vAlign w:val="top"/>
          </w:tcPr>
          <w:p w14:paraId="3FE68A25">
            <w:pPr>
              <w:pStyle w:val="6"/>
            </w:pPr>
          </w:p>
        </w:tc>
        <w:tc>
          <w:tcPr>
            <w:tcW w:w="1288" w:type="dxa"/>
            <w:vAlign w:val="top"/>
          </w:tcPr>
          <w:p w14:paraId="040AD855">
            <w:pPr>
              <w:pStyle w:val="6"/>
            </w:pPr>
          </w:p>
        </w:tc>
        <w:tc>
          <w:tcPr>
            <w:tcW w:w="973" w:type="dxa"/>
            <w:vAlign w:val="top"/>
          </w:tcPr>
          <w:p w14:paraId="5AA3342A">
            <w:pPr>
              <w:pStyle w:val="6"/>
            </w:pPr>
          </w:p>
        </w:tc>
        <w:tc>
          <w:tcPr>
            <w:tcW w:w="1085" w:type="dxa"/>
            <w:vAlign w:val="top"/>
          </w:tcPr>
          <w:p w14:paraId="4411853D">
            <w:pPr>
              <w:pStyle w:val="6"/>
            </w:pPr>
          </w:p>
        </w:tc>
        <w:tc>
          <w:tcPr>
            <w:tcW w:w="1178" w:type="dxa"/>
            <w:vAlign w:val="top"/>
          </w:tcPr>
          <w:p w14:paraId="0B491B99">
            <w:pPr>
              <w:pStyle w:val="6"/>
            </w:pPr>
          </w:p>
        </w:tc>
        <w:tc>
          <w:tcPr>
            <w:tcW w:w="1178" w:type="dxa"/>
            <w:vAlign w:val="top"/>
          </w:tcPr>
          <w:p w14:paraId="06EDFD2F">
            <w:pPr>
              <w:pStyle w:val="6"/>
            </w:pPr>
          </w:p>
        </w:tc>
        <w:tc>
          <w:tcPr>
            <w:tcW w:w="1192" w:type="dxa"/>
            <w:tcBorders>
              <w:right w:val="single" w:color="000000" w:sz="10" w:space="0"/>
            </w:tcBorders>
            <w:vAlign w:val="top"/>
          </w:tcPr>
          <w:p w14:paraId="3206D752">
            <w:pPr>
              <w:pStyle w:val="6"/>
            </w:pPr>
          </w:p>
        </w:tc>
      </w:tr>
      <w:tr w14:paraId="246A7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690" w:type="dxa"/>
            <w:tcBorders>
              <w:left w:val="single" w:color="000000" w:sz="10" w:space="0"/>
            </w:tcBorders>
            <w:vAlign w:val="top"/>
          </w:tcPr>
          <w:p w14:paraId="45717DD0">
            <w:pPr>
              <w:spacing w:before="112" w:line="190" w:lineRule="auto"/>
              <w:ind w:left="250"/>
              <w:rPr>
                <w:rFonts w:ascii="宋体" w:hAnsi="宋体" w:eastAsia="宋体" w:cs="宋体"/>
                <w:sz w:val="19"/>
                <w:szCs w:val="19"/>
              </w:rPr>
            </w:pPr>
            <w:r>
              <w:rPr>
                <w:rFonts w:ascii="宋体" w:hAnsi="宋体" w:eastAsia="宋体" w:cs="宋体"/>
                <w:spacing w:val="-7"/>
                <w:sz w:val="19"/>
                <w:szCs w:val="19"/>
              </w:rPr>
              <w:t>11</w:t>
            </w:r>
          </w:p>
        </w:tc>
        <w:tc>
          <w:tcPr>
            <w:tcW w:w="6134" w:type="dxa"/>
            <w:vAlign w:val="top"/>
          </w:tcPr>
          <w:p w14:paraId="013F8C1A">
            <w:pPr>
              <w:spacing w:before="81" w:line="230" w:lineRule="auto"/>
              <w:ind w:left="103"/>
              <w:rPr>
                <w:rFonts w:ascii="宋体" w:hAnsi="宋体" w:eastAsia="宋体" w:cs="宋体"/>
                <w:sz w:val="19"/>
                <w:szCs w:val="19"/>
              </w:rPr>
            </w:pPr>
            <w:r>
              <w:rPr>
                <w:rFonts w:ascii="宋体" w:hAnsi="宋体" w:eastAsia="宋体" w:cs="宋体"/>
                <w:spacing w:val="8"/>
                <w:sz w:val="19"/>
                <w:szCs w:val="19"/>
              </w:rPr>
              <w:t>五、企业分立</w:t>
            </w:r>
          </w:p>
        </w:tc>
        <w:tc>
          <w:tcPr>
            <w:tcW w:w="1123" w:type="dxa"/>
            <w:vAlign w:val="top"/>
          </w:tcPr>
          <w:p w14:paraId="7D8F4A9C">
            <w:pPr>
              <w:pStyle w:val="6"/>
            </w:pPr>
          </w:p>
        </w:tc>
        <w:tc>
          <w:tcPr>
            <w:tcW w:w="1288" w:type="dxa"/>
            <w:vAlign w:val="top"/>
          </w:tcPr>
          <w:p w14:paraId="6B738314">
            <w:pPr>
              <w:pStyle w:val="6"/>
            </w:pPr>
          </w:p>
        </w:tc>
        <w:tc>
          <w:tcPr>
            <w:tcW w:w="973" w:type="dxa"/>
            <w:vAlign w:val="top"/>
          </w:tcPr>
          <w:p w14:paraId="711F42D0">
            <w:pPr>
              <w:pStyle w:val="6"/>
            </w:pPr>
          </w:p>
        </w:tc>
        <w:tc>
          <w:tcPr>
            <w:tcW w:w="1085" w:type="dxa"/>
            <w:vAlign w:val="top"/>
          </w:tcPr>
          <w:p w14:paraId="2F748A52">
            <w:pPr>
              <w:pStyle w:val="6"/>
            </w:pPr>
          </w:p>
        </w:tc>
        <w:tc>
          <w:tcPr>
            <w:tcW w:w="1178" w:type="dxa"/>
            <w:vAlign w:val="top"/>
          </w:tcPr>
          <w:p w14:paraId="27F5A079">
            <w:pPr>
              <w:pStyle w:val="6"/>
            </w:pPr>
          </w:p>
        </w:tc>
        <w:tc>
          <w:tcPr>
            <w:tcW w:w="1178" w:type="dxa"/>
            <w:vAlign w:val="top"/>
          </w:tcPr>
          <w:p w14:paraId="577DB2FB">
            <w:pPr>
              <w:pStyle w:val="6"/>
            </w:pPr>
          </w:p>
        </w:tc>
        <w:tc>
          <w:tcPr>
            <w:tcW w:w="1192" w:type="dxa"/>
            <w:tcBorders>
              <w:right w:val="single" w:color="000000" w:sz="10" w:space="0"/>
            </w:tcBorders>
            <w:vAlign w:val="top"/>
          </w:tcPr>
          <w:p w14:paraId="7116ABE8">
            <w:pPr>
              <w:pStyle w:val="6"/>
            </w:pPr>
          </w:p>
        </w:tc>
      </w:tr>
      <w:tr w14:paraId="55EBF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690" w:type="dxa"/>
            <w:tcBorders>
              <w:left w:val="single" w:color="000000" w:sz="10" w:space="0"/>
            </w:tcBorders>
            <w:vAlign w:val="top"/>
          </w:tcPr>
          <w:p w14:paraId="750FFF0F">
            <w:pPr>
              <w:spacing w:before="112" w:line="190" w:lineRule="auto"/>
              <w:ind w:left="250"/>
              <w:rPr>
                <w:rFonts w:ascii="宋体" w:hAnsi="宋体" w:eastAsia="宋体" w:cs="宋体"/>
                <w:sz w:val="19"/>
                <w:szCs w:val="19"/>
              </w:rPr>
            </w:pPr>
            <w:r>
              <w:rPr>
                <w:rFonts w:ascii="宋体" w:hAnsi="宋体" w:eastAsia="宋体" w:cs="宋体"/>
                <w:spacing w:val="-7"/>
                <w:sz w:val="19"/>
                <w:szCs w:val="19"/>
              </w:rPr>
              <w:t>12</w:t>
            </w:r>
          </w:p>
        </w:tc>
        <w:tc>
          <w:tcPr>
            <w:tcW w:w="6134" w:type="dxa"/>
            <w:vAlign w:val="top"/>
          </w:tcPr>
          <w:p w14:paraId="695B48A8">
            <w:pPr>
              <w:spacing w:before="81" w:line="228" w:lineRule="auto"/>
              <w:ind w:left="101"/>
              <w:rPr>
                <w:rFonts w:ascii="宋体" w:hAnsi="宋体" w:eastAsia="宋体" w:cs="宋体"/>
                <w:sz w:val="19"/>
                <w:szCs w:val="19"/>
              </w:rPr>
            </w:pPr>
            <w:r>
              <w:rPr>
                <w:rFonts w:ascii="宋体" w:hAnsi="宋体" w:eastAsia="宋体" w:cs="宋体"/>
                <w:spacing w:val="9"/>
                <w:sz w:val="19"/>
                <w:szCs w:val="19"/>
              </w:rPr>
              <w:t>六、非货币性资产对外投资</w:t>
            </w:r>
          </w:p>
        </w:tc>
        <w:tc>
          <w:tcPr>
            <w:tcW w:w="1123" w:type="dxa"/>
            <w:vAlign w:val="top"/>
          </w:tcPr>
          <w:p w14:paraId="7BA22BB9">
            <w:pPr>
              <w:pStyle w:val="6"/>
            </w:pPr>
          </w:p>
        </w:tc>
        <w:tc>
          <w:tcPr>
            <w:tcW w:w="1288" w:type="dxa"/>
            <w:vAlign w:val="top"/>
          </w:tcPr>
          <w:p w14:paraId="45239F2F">
            <w:pPr>
              <w:pStyle w:val="6"/>
            </w:pPr>
          </w:p>
        </w:tc>
        <w:tc>
          <w:tcPr>
            <w:tcW w:w="973" w:type="dxa"/>
            <w:vAlign w:val="top"/>
          </w:tcPr>
          <w:p w14:paraId="20379EE7">
            <w:pPr>
              <w:pStyle w:val="6"/>
            </w:pPr>
          </w:p>
        </w:tc>
        <w:tc>
          <w:tcPr>
            <w:tcW w:w="1085" w:type="dxa"/>
            <w:vAlign w:val="top"/>
          </w:tcPr>
          <w:p w14:paraId="25F94586">
            <w:pPr>
              <w:pStyle w:val="6"/>
            </w:pPr>
          </w:p>
        </w:tc>
        <w:tc>
          <w:tcPr>
            <w:tcW w:w="1178" w:type="dxa"/>
            <w:vAlign w:val="top"/>
          </w:tcPr>
          <w:p w14:paraId="5130DC69">
            <w:pPr>
              <w:pStyle w:val="6"/>
            </w:pPr>
          </w:p>
        </w:tc>
        <w:tc>
          <w:tcPr>
            <w:tcW w:w="1178" w:type="dxa"/>
            <w:vAlign w:val="top"/>
          </w:tcPr>
          <w:p w14:paraId="2C3B17BA">
            <w:pPr>
              <w:pStyle w:val="6"/>
            </w:pPr>
          </w:p>
        </w:tc>
        <w:tc>
          <w:tcPr>
            <w:tcW w:w="1192" w:type="dxa"/>
            <w:tcBorders>
              <w:right w:val="single" w:color="000000" w:sz="10" w:space="0"/>
            </w:tcBorders>
            <w:vAlign w:val="top"/>
          </w:tcPr>
          <w:p w14:paraId="6CD009FE">
            <w:pPr>
              <w:pStyle w:val="6"/>
            </w:pPr>
          </w:p>
        </w:tc>
      </w:tr>
      <w:tr w14:paraId="4E9C7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690" w:type="dxa"/>
            <w:tcBorders>
              <w:left w:val="single" w:color="000000" w:sz="10" w:space="0"/>
            </w:tcBorders>
            <w:vAlign w:val="top"/>
          </w:tcPr>
          <w:p w14:paraId="74696FCF">
            <w:pPr>
              <w:spacing w:before="114" w:line="190" w:lineRule="auto"/>
              <w:ind w:left="250"/>
              <w:rPr>
                <w:rFonts w:ascii="宋体" w:hAnsi="宋体" w:eastAsia="宋体" w:cs="宋体"/>
                <w:sz w:val="19"/>
                <w:szCs w:val="19"/>
              </w:rPr>
            </w:pPr>
            <w:r>
              <w:rPr>
                <w:rFonts w:ascii="宋体" w:hAnsi="宋体" w:eastAsia="宋体" w:cs="宋体"/>
                <w:spacing w:val="-7"/>
                <w:sz w:val="19"/>
                <w:szCs w:val="19"/>
              </w:rPr>
              <w:t>13</w:t>
            </w:r>
          </w:p>
        </w:tc>
        <w:tc>
          <w:tcPr>
            <w:tcW w:w="6134" w:type="dxa"/>
            <w:vAlign w:val="top"/>
          </w:tcPr>
          <w:p w14:paraId="03C7BDB3">
            <w:pPr>
              <w:spacing w:before="83" w:line="229" w:lineRule="auto"/>
              <w:ind w:left="99"/>
              <w:rPr>
                <w:rFonts w:ascii="宋体" w:hAnsi="宋体" w:eastAsia="宋体" w:cs="宋体"/>
                <w:sz w:val="19"/>
                <w:szCs w:val="19"/>
              </w:rPr>
            </w:pPr>
            <w:r>
              <w:rPr>
                <w:rFonts w:ascii="宋体" w:hAnsi="宋体" w:eastAsia="宋体" w:cs="宋体"/>
                <w:spacing w:val="8"/>
                <w:sz w:val="19"/>
                <w:szCs w:val="19"/>
              </w:rPr>
              <w:t>七、技术入股</w:t>
            </w:r>
          </w:p>
        </w:tc>
        <w:tc>
          <w:tcPr>
            <w:tcW w:w="1123" w:type="dxa"/>
            <w:vAlign w:val="top"/>
          </w:tcPr>
          <w:p w14:paraId="42585658">
            <w:pPr>
              <w:pStyle w:val="6"/>
            </w:pPr>
          </w:p>
        </w:tc>
        <w:tc>
          <w:tcPr>
            <w:tcW w:w="1288" w:type="dxa"/>
            <w:vAlign w:val="top"/>
          </w:tcPr>
          <w:p w14:paraId="636AF3F5">
            <w:pPr>
              <w:pStyle w:val="6"/>
            </w:pPr>
          </w:p>
        </w:tc>
        <w:tc>
          <w:tcPr>
            <w:tcW w:w="973" w:type="dxa"/>
            <w:vAlign w:val="top"/>
          </w:tcPr>
          <w:p w14:paraId="5514B4DD">
            <w:pPr>
              <w:pStyle w:val="6"/>
            </w:pPr>
          </w:p>
        </w:tc>
        <w:tc>
          <w:tcPr>
            <w:tcW w:w="1085" w:type="dxa"/>
            <w:vAlign w:val="top"/>
          </w:tcPr>
          <w:p w14:paraId="5A15BD61">
            <w:pPr>
              <w:pStyle w:val="6"/>
            </w:pPr>
          </w:p>
        </w:tc>
        <w:tc>
          <w:tcPr>
            <w:tcW w:w="1178" w:type="dxa"/>
            <w:vAlign w:val="top"/>
          </w:tcPr>
          <w:p w14:paraId="7E0C08FB">
            <w:pPr>
              <w:pStyle w:val="6"/>
            </w:pPr>
          </w:p>
        </w:tc>
        <w:tc>
          <w:tcPr>
            <w:tcW w:w="1178" w:type="dxa"/>
            <w:vAlign w:val="top"/>
          </w:tcPr>
          <w:p w14:paraId="2ECC5FFA">
            <w:pPr>
              <w:pStyle w:val="6"/>
            </w:pPr>
          </w:p>
        </w:tc>
        <w:tc>
          <w:tcPr>
            <w:tcW w:w="1192" w:type="dxa"/>
            <w:tcBorders>
              <w:right w:val="single" w:color="000000" w:sz="10" w:space="0"/>
            </w:tcBorders>
            <w:vAlign w:val="top"/>
          </w:tcPr>
          <w:p w14:paraId="714F033D">
            <w:pPr>
              <w:pStyle w:val="6"/>
            </w:pPr>
          </w:p>
        </w:tc>
      </w:tr>
      <w:tr w14:paraId="6C459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690" w:type="dxa"/>
            <w:tcBorders>
              <w:left w:val="single" w:color="000000" w:sz="10" w:space="0"/>
            </w:tcBorders>
            <w:vAlign w:val="top"/>
          </w:tcPr>
          <w:p w14:paraId="12408A28">
            <w:pPr>
              <w:spacing w:before="113" w:line="190" w:lineRule="auto"/>
              <w:ind w:left="250"/>
              <w:rPr>
                <w:rFonts w:ascii="宋体" w:hAnsi="宋体" w:eastAsia="宋体" w:cs="宋体"/>
                <w:sz w:val="19"/>
                <w:szCs w:val="19"/>
              </w:rPr>
            </w:pPr>
            <w:r>
              <w:rPr>
                <w:rFonts w:ascii="宋体" w:hAnsi="宋体" w:eastAsia="宋体" w:cs="宋体"/>
                <w:spacing w:val="-7"/>
                <w:sz w:val="19"/>
                <w:szCs w:val="19"/>
              </w:rPr>
              <w:t>14</w:t>
            </w:r>
          </w:p>
        </w:tc>
        <w:tc>
          <w:tcPr>
            <w:tcW w:w="6134" w:type="dxa"/>
            <w:vAlign w:val="top"/>
          </w:tcPr>
          <w:p w14:paraId="540B9F61">
            <w:pPr>
              <w:spacing w:before="83" w:line="229" w:lineRule="auto"/>
              <w:ind w:left="103"/>
              <w:rPr>
                <w:rFonts w:ascii="宋体" w:hAnsi="宋体" w:eastAsia="宋体" w:cs="宋体"/>
                <w:sz w:val="19"/>
                <w:szCs w:val="19"/>
              </w:rPr>
            </w:pPr>
            <w:r>
              <w:rPr>
                <w:rFonts w:ascii="宋体" w:hAnsi="宋体" w:eastAsia="宋体" w:cs="宋体"/>
                <w:spacing w:val="8"/>
                <w:sz w:val="19"/>
                <w:szCs w:val="19"/>
              </w:rPr>
              <w:t>八、股权划转、资产划转</w:t>
            </w:r>
          </w:p>
        </w:tc>
        <w:tc>
          <w:tcPr>
            <w:tcW w:w="1123" w:type="dxa"/>
            <w:vAlign w:val="top"/>
          </w:tcPr>
          <w:p w14:paraId="6376910D">
            <w:pPr>
              <w:pStyle w:val="6"/>
            </w:pPr>
          </w:p>
        </w:tc>
        <w:tc>
          <w:tcPr>
            <w:tcW w:w="1288" w:type="dxa"/>
            <w:vAlign w:val="top"/>
          </w:tcPr>
          <w:p w14:paraId="618EF603">
            <w:pPr>
              <w:pStyle w:val="6"/>
            </w:pPr>
          </w:p>
        </w:tc>
        <w:tc>
          <w:tcPr>
            <w:tcW w:w="973" w:type="dxa"/>
            <w:vAlign w:val="top"/>
          </w:tcPr>
          <w:p w14:paraId="01125B86">
            <w:pPr>
              <w:pStyle w:val="6"/>
            </w:pPr>
          </w:p>
        </w:tc>
        <w:tc>
          <w:tcPr>
            <w:tcW w:w="1085" w:type="dxa"/>
            <w:vAlign w:val="top"/>
          </w:tcPr>
          <w:p w14:paraId="5319486C">
            <w:pPr>
              <w:pStyle w:val="6"/>
            </w:pPr>
          </w:p>
        </w:tc>
        <w:tc>
          <w:tcPr>
            <w:tcW w:w="1178" w:type="dxa"/>
            <w:vAlign w:val="top"/>
          </w:tcPr>
          <w:p w14:paraId="380E69A5">
            <w:pPr>
              <w:pStyle w:val="6"/>
            </w:pPr>
          </w:p>
        </w:tc>
        <w:tc>
          <w:tcPr>
            <w:tcW w:w="1178" w:type="dxa"/>
            <w:vAlign w:val="top"/>
          </w:tcPr>
          <w:p w14:paraId="7EBB35CE">
            <w:pPr>
              <w:pStyle w:val="6"/>
            </w:pPr>
          </w:p>
        </w:tc>
        <w:tc>
          <w:tcPr>
            <w:tcW w:w="1192" w:type="dxa"/>
            <w:tcBorders>
              <w:right w:val="single" w:color="000000" w:sz="10" w:space="0"/>
            </w:tcBorders>
            <w:vAlign w:val="top"/>
          </w:tcPr>
          <w:p w14:paraId="0F59622E">
            <w:pPr>
              <w:pStyle w:val="6"/>
            </w:pPr>
          </w:p>
        </w:tc>
      </w:tr>
      <w:tr w14:paraId="13CA6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690" w:type="dxa"/>
            <w:tcBorders>
              <w:left w:val="single" w:color="000000" w:sz="10" w:space="0"/>
            </w:tcBorders>
            <w:vAlign w:val="top"/>
          </w:tcPr>
          <w:p w14:paraId="47871468">
            <w:pPr>
              <w:spacing w:before="115" w:line="190" w:lineRule="auto"/>
              <w:ind w:left="250"/>
              <w:rPr>
                <w:rFonts w:ascii="宋体" w:hAnsi="宋体" w:eastAsia="宋体" w:cs="宋体"/>
                <w:sz w:val="19"/>
                <w:szCs w:val="19"/>
              </w:rPr>
            </w:pPr>
            <w:r>
              <w:rPr>
                <w:rFonts w:ascii="宋体" w:hAnsi="宋体" w:eastAsia="宋体" w:cs="宋体"/>
                <w:spacing w:val="-7"/>
                <w:sz w:val="19"/>
                <w:szCs w:val="19"/>
              </w:rPr>
              <w:t>15</w:t>
            </w:r>
          </w:p>
        </w:tc>
        <w:tc>
          <w:tcPr>
            <w:tcW w:w="6134" w:type="dxa"/>
            <w:vAlign w:val="top"/>
          </w:tcPr>
          <w:p w14:paraId="170CA63E">
            <w:pPr>
              <w:spacing w:before="85" w:line="177" w:lineRule="auto"/>
              <w:ind w:left="105"/>
              <w:rPr>
                <w:rFonts w:ascii="宋体" w:hAnsi="宋体" w:eastAsia="宋体" w:cs="宋体"/>
                <w:sz w:val="19"/>
                <w:szCs w:val="19"/>
              </w:rPr>
            </w:pPr>
            <w:r>
              <w:rPr>
                <w:rFonts w:ascii="宋体" w:hAnsi="宋体" w:eastAsia="宋体" w:cs="宋体"/>
                <w:spacing w:val="12"/>
                <w:sz w:val="19"/>
                <w:szCs w:val="19"/>
              </w:rPr>
              <w:t>九、基础设施领域不动产投资信托基金 (</w:t>
            </w:r>
            <w:r>
              <w:rPr>
                <w:rFonts w:ascii="微软雅黑" w:hAnsi="微软雅黑" w:eastAsia="微软雅黑" w:cs="微软雅黑"/>
                <w:spacing w:val="12"/>
                <w:sz w:val="19"/>
                <w:szCs w:val="19"/>
              </w:rPr>
              <w:t>□</w:t>
            </w:r>
            <w:r>
              <w:rPr>
                <w:rFonts w:ascii="宋体" w:hAnsi="宋体" w:eastAsia="宋体" w:cs="宋体"/>
                <w:spacing w:val="12"/>
                <w:sz w:val="19"/>
                <w:szCs w:val="19"/>
              </w:rPr>
              <w:t>原始</w:t>
            </w:r>
            <w:r>
              <w:rPr>
                <w:rFonts w:ascii="宋体" w:hAnsi="宋体" w:eastAsia="宋体" w:cs="宋体"/>
                <w:spacing w:val="11"/>
                <w:sz w:val="19"/>
                <w:szCs w:val="19"/>
              </w:rPr>
              <w:t>权益人</w:t>
            </w:r>
            <w:r>
              <w:rPr>
                <w:rFonts w:ascii="微软雅黑" w:hAnsi="微软雅黑" w:eastAsia="微软雅黑" w:cs="微软雅黑"/>
                <w:spacing w:val="11"/>
                <w:sz w:val="19"/>
                <w:szCs w:val="19"/>
              </w:rPr>
              <w:t>□</w:t>
            </w:r>
            <w:r>
              <w:rPr>
                <w:rFonts w:ascii="宋体" w:hAnsi="宋体" w:eastAsia="宋体" w:cs="宋体"/>
                <w:spacing w:val="11"/>
                <w:sz w:val="19"/>
                <w:szCs w:val="19"/>
              </w:rPr>
              <w:t>项目公司）</w:t>
            </w:r>
          </w:p>
        </w:tc>
        <w:tc>
          <w:tcPr>
            <w:tcW w:w="1123" w:type="dxa"/>
            <w:vAlign w:val="top"/>
          </w:tcPr>
          <w:p w14:paraId="1FA0C372">
            <w:pPr>
              <w:pStyle w:val="6"/>
            </w:pPr>
          </w:p>
        </w:tc>
        <w:tc>
          <w:tcPr>
            <w:tcW w:w="1288" w:type="dxa"/>
            <w:vAlign w:val="top"/>
          </w:tcPr>
          <w:p w14:paraId="367193EF">
            <w:pPr>
              <w:pStyle w:val="6"/>
            </w:pPr>
          </w:p>
        </w:tc>
        <w:tc>
          <w:tcPr>
            <w:tcW w:w="973" w:type="dxa"/>
            <w:vAlign w:val="top"/>
          </w:tcPr>
          <w:p w14:paraId="66B9C13C">
            <w:pPr>
              <w:pStyle w:val="6"/>
            </w:pPr>
          </w:p>
        </w:tc>
        <w:tc>
          <w:tcPr>
            <w:tcW w:w="1085" w:type="dxa"/>
            <w:vAlign w:val="top"/>
          </w:tcPr>
          <w:p w14:paraId="551030E8">
            <w:pPr>
              <w:pStyle w:val="6"/>
            </w:pPr>
          </w:p>
        </w:tc>
        <w:tc>
          <w:tcPr>
            <w:tcW w:w="1178" w:type="dxa"/>
            <w:vAlign w:val="top"/>
          </w:tcPr>
          <w:p w14:paraId="26BE11DB">
            <w:pPr>
              <w:pStyle w:val="6"/>
            </w:pPr>
          </w:p>
        </w:tc>
        <w:tc>
          <w:tcPr>
            <w:tcW w:w="1178" w:type="dxa"/>
            <w:vAlign w:val="top"/>
          </w:tcPr>
          <w:p w14:paraId="5A88E72D">
            <w:pPr>
              <w:pStyle w:val="6"/>
            </w:pPr>
          </w:p>
        </w:tc>
        <w:tc>
          <w:tcPr>
            <w:tcW w:w="1192" w:type="dxa"/>
            <w:tcBorders>
              <w:right w:val="single" w:color="000000" w:sz="10" w:space="0"/>
            </w:tcBorders>
            <w:vAlign w:val="top"/>
          </w:tcPr>
          <w:p w14:paraId="27140588">
            <w:pPr>
              <w:pStyle w:val="6"/>
            </w:pPr>
          </w:p>
        </w:tc>
      </w:tr>
      <w:tr w14:paraId="021B2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690" w:type="dxa"/>
            <w:tcBorders>
              <w:left w:val="single" w:color="000000" w:sz="10" w:space="0"/>
            </w:tcBorders>
            <w:vAlign w:val="top"/>
          </w:tcPr>
          <w:p w14:paraId="60FD1E04">
            <w:pPr>
              <w:spacing w:before="115" w:line="190" w:lineRule="auto"/>
              <w:ind w:left="149"/>
              <w:rPr>
                <w:rFonts w:ascii="宋体" w:hAnsi="宋体" w:eastAsia="宋体" w:cs="宋体"/>
                <w:sz w:val="19"/>
                <w:szCs w:val="19"/>
              </w:rPr>
            </w:pPr>
            <w:r>
              <w:rPr>
                <w:rFonts w:ascii="宋体" w:hAnsi="宋体" w:eastAsia="宋体" w:cs="宋体"/>
                <w:spacing w:val="-1"/>
                <w:sz w:val="19"/>
                <w:szCs w:val="19"/>
              </w:rPr>
              <w:t>15.1</w:t>
            </w:r>
          </w:p>
        </w:tc>
        <w:tc>
          <w:tcPr>
            <w:tcW w:w="6134" w:type="dxa"/>
            <w:vAlign w:val="top"/>
          </w:tcPr>
          <w:p w14:paraId="5DF83F37">
            <w:pPr>
              <w:spacing w:before="85" w:line="230" w:lineRule="auto"/>
              <w:ind w:left="508"/>
              <w:rPr>
                <w:rFonts w:ascii="宋体" w:hAnsi="宋体" w:eastAsia="宋体" w:cs="宋体"/>
                <w:sz w:val="19"/>
                <w:szCs w:val="19"/>
              </w:rPr>
            </w:pPr>
            <w:r>
              <w:rPr>
                <w:rFonts w:ascii="宋体" w:hAnsi="宋体" w:eastAsia="宋体" w:cs="宋体"/>
                <w:spacing w:val="9"/>
                <w:sz w:val="19"/>
                <w:szCs w:val="19"/>
              </w:rPr>
              <w:t>（一）设立基础设施</w:t>
            </w:r>
            <w:r>
              <w:rPr>
                <w:rFonts w:ascii="宋体" w:hAnsi="宋体" w:eastAsia="宋体" w:cs="宋体"/>
                <w:spacing w:val="-38"/>
                <w:sz w:val="19"/>
                <w:szCs w:val="19"/>
              </w:rPr>
              <w:t xml:space="preserve"> </w:t>
            </w:r>
            <w:r>
              <w:rPr>
                <w:rFonts w:ascii="宋体" w:hAnsi="宋体" w:eastAsia="宋体" w:cs="宋体"/>
                <w:sz w:val="19"/>
                <w:szCs w:val="19"/>
              </w:rPr>
              <w:t>REITs</w:t>
            </w:r>
            <w:r>
              <w:rPr>
                <w:rFonts w:ascii="宋体" w:hAnsi="宋体" w:eastAsia="宋体" w:cs="宋体"/>
                <w:spacing w:val="-35"/>
                <w:sz w:val="19"/>
                <w:szCs w:val="19"/>
              </w:rPr>
              <w:t xml:space="preserve"> </w:t>
            </w:r>
            <w:r>
              <w:rPr>
                <w:rFonts w:ascii="宋体" w:hAnsi="宋体" w:eastAsia="宋体" w:cs="宋体"/>
                <w:spacing w:val="9"/>
                <w:sz w:val="19"/>
                <w:szCs w:val="19"/>
              </w:rPr>
              <w:t>前</w:t>
            </w:r>
          </w:p>
        </w:tc>
        <w:tc>
          <w:tcPr>
            <w:tcW w:w="1123" w:type="dxa"/>
            <w:vAlign w:val="top"/>
          </w:tcPr>
          <w:p w14:paraId="7B86EABA">
            <w:pPr>
              <w:pStyle w:val="6"/>
            </w:pPr>
          </w:p>
        </w:tc>
        <w:tc>
          <w:tcPr>
            <w:tcW w:w="1288" w:type="dxa"/>
            <w:vAlign w:val="top"/>
          </w:tcPr>
          <w:p w14:paraId="55DFB44B">
            <w:pPr>
              <w:pStyle w:val="6"/>
            </w:pPr>
          </w:p>
        </w:tc>
        <w:tc>
          <w:tcPr>
            <w:tcW w:w="973" w:type="dxa"/>
            <w:vAlign w:val="top"/>
          </w:tcPr>
          <w:p w14:paraId="7D1BB8C4">
            <w:pPr>
              <w:pStyle w:val="6"/>
            </w:pPr>
          </w:p>
        </w:tc>
        <w:tc>
          <w:tcPr>
            <w:tcW w:w="1085" w:type="dxa"/>
            <w:vAlign w:val="top"/>
          </w:tcPr>
          <w:p w14:paraId="50913E83">
            <w:pPr>
              <w:pStyle w:val="6"/>
            </w:pPr>
          </w:p>
        </w:tc>
        <w:tc>
          <w:tcPr>
            <w:tcW w:w="1178" w:type="dxa"/>
            <w:vAlign w:val="top"/>
          </w:tcPr>
          <w:p w14:paraId="4DEF79A2">
            <w:pPr>
              <w:pStyle w:val="6"/>
            </w:pPr>
          </w:p>
        </w:tc>
        <w:tc>
          <w:tcPr>
            <w:tcW w:w="1178" w:type="dxa"/>
            <w:vAlign w:val="top"/>
          </w:tcPr>
          <w:p w14:paraId="26A7B11A">
            <w:pPr>
              <w:pStyle w:val="6"/>
            </w:pPr>
          </w:p>
        </w:tc>
        <w:tc>
          <w:tcPr>
            <w:tcW w:w="1192" w:type="dxa"/>
            <w:tcBorders>
              <w:right w:val="single" w:color="000000" w:sz="10" w:space="0"/>
            </w:tcBorders>
            <w:vAlign w:val="top"/>
          </w:tcPr>
          <w:p w14:paraId="25411A3B">
            <w:pPr>
              <w:pStyle w:val="6"/>
            </w:pPr>
          </w:p>
        </w:tc>
      </w:tr>
      <w:tr w14:paraId="3180F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690" w:type="dxa"/>
            <w:tcBorders>
              <w:left w:val="single" w:color="000000" w:sz="10" w:space="0"/>
            </w:tcBorders>
            <w:vAlign w:val="top"/>
          </w:tcPr>
          <w:p w14:paraId="49FF0B9F">
            <w:pPr>
              <w:spacing w:before="117" w:line="190" w:lineRule="auto"/>
              <w:ind w:left="149"/>
              <w:rPr>
                <w:rFonts w:ascii="宋体" w:hAnsi="宋体" w:eastAsia="宋体" w:cs="宋体"/>
                <w:sz w:val="19"/>
                <w:szCs w:val="19"/>
              </w:rPr>
            </w:pPr>
            <w:r>
              <w:rPr>
                <w:rFonts w:ascii="宋体" w:hAnsi="宋体" w:eastAsia="宋体" w:cs="宋体"/>
                <w:spacing w:val="-1"/>
                <w:sz w:val="19"/>
                <w:szCs w:val="19"/>
              </w:rPr>
              <w:t>15.2</w:t>
            </w:r>
          </w:p>
        </w:tc>
        <w:tc>
          <w:tcPr>
            <w:tcW w:w="6134" w:type="dxa"/>
            <w:vAlign w:val="top"/>
          </w:tcPr>
          <w:p w14:paraId="2D4EDE00">
            <w:pPr>
              <w:spacing w:before="87" w:line="230" w:lineRule="auto"/>
              <w:ind w:left="508"/>
              <w:rPr>
                <w:rFonts w:ascii="宋体" w:hAnsi="宋体" w:eastAsia="宋体" w:cs="宋体"/>
                <w:sz w:val="19"/>
                <w:szCs w:val="19"/>
              </w:rPr>
            </w:pPr>
            <w:r>
              <w:rPr>
                <w:rFonts w:ascii="宋体" w:hAnsi="宋体" w:eastAsia="宋体" w:cs="宋体"/>
                <w:spacing w:val="8"/>
                <w:sz w:val="19"/>
                <w:szCs w:val="19"/>
              </w:rPr>
              <w:t>（二）设立基础设施</w:t>
            </w:r>
            <w:r>
              <w:rPr>
                <w:rFonts w:ascii="宋体" w:hAnsi="宋体" w:eastAsia="宋体" w:cs="宋体"/>
                <w:spacing w:val="-35"/>
                <w:sz w:val="19"/>
                <w:szCs w:val="19"/>
              </w:rPr>
              <w:t xml:space="preserve"> </w:t>
            </w:r>
            <w:r>
              <w:rPr>
                <w:rFonts w:ascii="宋体" w:hAnsi="宋体" w:eastAsia="宋体" w:cs="宋体"/>
                <w:sz w:val="19"/>
                <w:szCs w:val="19"/>
              </w:rPr>
              <w:t>REITs</w:t>
            </w:r>
            <w:r>
              <w:rPr>
                <w:rFonts w:ascii="宋体" w:hAnsi="宋体" w:eastAsia="宋体" w:cs="宋体"/>
                <w:spacing w:val="-29"/>
                <w:sz w:val="19"/>
                <w:szCs w:val="19"/>
              </w:rPr>
              <w:t xml:space="preserve"> </w:t>
            </w:r>
            <w:r>
              <w:rPr>
                <w:rFonts w:ascii="宋体" w:hAnsi="宋体" w:eastAsia="宋体" w:cs="宋体"/>
                <w:spacing w:val="8"/>
                <w:sz w:val="19"/>
                <w:szCs w:val="19"/>
              </w:rPr>
              <w:t>阶段</w:t>
            </w:r>
          </w:p>
        </w:tc>
        <w:tc>
          <w:tcPr>
            <w:tcW w:w="1123" w:type="dxa"/>
            <w:vAlign w:val="top"/>
          </w:tcPr>
          <w:p w14:paraId="0280256B">
            <w:pPr>
              <w:pStyle w:val="6"/>
            </w:pPr>
          </w:p>
        </w:tc>
        <w:tc>
          <w:tcPr>
            <w:tcW w:w="1288" w:type="dxa"/>
            <w:vAlign w:val="top"/>
          </w:tcPr>
          <w:p w14:paraId="188FC4E3">
            <w:pPr>
              <w:pStyle w:val="6"/>
            </w:pPr>
          </w:p>
        </w:tc>
        <w:tc>
          <w:tcPr>
            <w:tcW w:w="973" w:type="dxa"/>
            <w:vAlign w:val="top"/>
          </w:tcPr>
          <w:p w14:paraId="66B4C7C3">
            <w:pPr>
              <w:pStyle w:val="6"/>
            </w:pPr>
          </w:p>
        </w:tc>
        <w:tc>
          <w:tcPr>
            <w:tcW w:w="1085" w:type="dxa"/>
            <w:vAlign w:val="top"/>
          </w:tcPr>
          <w:p w14:paraId="337629A9">
            <w:pPr>
              <w:pStyle w:val="6"/>
            </w:pPr>
          </w:p>
        </w:tc>
        <w:tc>
          <w:tcPr>
            <w:tcW w:w="1178" w:type="dxa"/>
            <w:vAlign w:val="top"/>
          </w:tcPr>
          <w:p w14:paraId="41398C89">
            <w:pPr>
              <w:pStyle w:val="6"/>
            </w:pPr>
          </w:p>
        </w:tc>
        <w:tc>
          <w:tcPr>
            <w:tcW w:w="1178" w:type="dxa"/>
            <w:vAlign w:val="top"/>
          </w:tcPr>
          <w:p w14:paraId="7EB3BAB0">
            <w:pPr>
              <w:pStyle w:val="6"/>
            </w:pPr>
          </w:p>
        </w:tc>
        <w:tc>
          <w:tcPr>
            <w:tcW w:w="1192" w:type="dxa"/>
            <w:tcBorders>
              <w:right w:val="single" w:color="000000" w:sz="10" w:space="0"/>
            </w:tcBorders>
            <w:vAlign w:val="top"/>
          </w:tcPr>
          <w:p w14:paraId="1FC17802">
            <w:pPr>
              <w:pStyle w:val="6"/>
            </w:pPr>
          </w:p>
        </w:tc>
      </w:tr>
      <w:tr w14:paraId="7AC0B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690" w:type="dxa"/>
            <w:tcBorders>
              <w:left w:val="single" w:color="000000" w:sz="10" w:space="0"/>
            </w:tcBorders>
            <w:vAlign w:val="top"/>
          </w:tcPr>
          <w:p w14:paraId="6623F38A">
            <w:pPr>
              <w:spacing w:before="119" w:line="190" w:lineRule="auto"/>
              <w:ind w:left="250"/>
              <w:rPr>
                <w:rFonts w:ascii="宋体" w:hAnsi="宋体" w:eastAsia="宋体" w:cs="宋体"/>
                <w:sz w:val="19"/>
                <w:szCs w:val="19"/>
              </w:rPr>
            </w:pPr>
            <w:r>
              <w:rPr>
                <w:rFonts w:ascii="宋体" w:hAnsi="宋体" w:eastAsia="宋体" w:cs="宋体"/>
                <w:spacing w:val="-8"/>
                <w:sz w:val="19"/>
                <w:szCs w:val="19"/>
              </w:rPr>
              <w:t>16</w:t>
            </w:r>
          </w:p>
        </w:tc>
        <w:tc>
          <w:tcPr>
            <w:tcW w:w="6134" w:type="dxa"/>
            <w:vAlign w:val="top"/>
          </w:tcPr>
          <w:p w14:paraId="4D3D0E7F">
            <w:pPr>
              <w:spacing w:before="88" w:line="230" w:lineRule="auto"/>
              <w:ind w:left="101"/>
              <w:rPr>
                <w:rFonts w:ascii="宋体" w:hAnsi="宋体" w:eastAsia="宋体" w:cs="宋体"/>
                <w:sz w:val="19"/>
                <w:szCs w:val="19"/>
              </w:rPr>
            </w:pPr>
            <w:r>
              <w:rPr>
                <w:rFonts w:ascii="宋体" w:hAnsi="宋体" w:eastAsia="宋体" w:cs="宋体"/>
                <w:spacing w:val="7"/>
                <w:sz w:val="19"/>
                <w:szCs w:val="19"/>
              </w:rPr>
              <w:t>十、其他</w:t>
            </w:r>
          </w:p>
        </w:tc>
        <w:tc>
          <w:tcPr>
            <w:tcW w:w="1123" w:type="dxa"/>
            <w:vAlign w:val="top"/>
          </w:tcPr>
          <w:p w14:paraId="3FF3AA1F">
            <w:pPr>
              <w:pStyle w:val="6"/>
            </w:pPr>
          </w:p>
        </w:tc>
        <w:tc>
          <w:tcPr>
            <w:tcW w:w="1288" w:type="dxa"/>
            <w:vAlign w:val="top"/>
          </w:tcPr>
          <w:p w14:paraId="51D33AF9">
            <w:pPr>
              <w:pStyle w:val="6"/>
            </w:pPr>
          </w:p>
        </w:tc>
        <w:tc>
          <w:tcPr>
            <w:tcW w:w="973" w:type="dxa"/>
            <w:vAlign w:val="top"/>
          </w:tcPr>
          <w:p w14:paraId="7AD65E76">
            <w:pPr>
              <w:pStyle w:val="6"/>
            </w:pPr>
          </w:p>
        </w:tc>
        <w:tc>
          <w:tcPr>
            <w:tcW w:w="1085" w:type="dxa"/>
            <w:vAlign w:val="top"/>
          </w:tcPr>
          <w:p w14:paraId="27613554">
            <w:pPr>
              <w:pStyle w:val="6"/>
            </w:pPr>
          </w:p>
        </w:tc>
        <w:tc>
          <w:tcPr>
            <w:tcW w:w="1178" w:type="dxa"/>
            <w:vAlign w:val="top"/>
          </w:tcPr>
          <w:p w14:paraId="4A32286A">
            <w:pPr>
              <w:pStyle w:val="6"/>
            </w:pPr>
          </w:p>
        </w:tc>
        <w:tc>
          <w:tcPr>
            <w:tcW w:w="1178" w:type="dxa"/>
            <w:vAlign w:val="top"/>
          </w:tcPr>
          <w:p w14:paraId="1BD5356B">
            <w:pPr>
              <w:pStyle w:val="6"/>
            </w:pPr>
          </w:p>
        </w:tc>
        <w:tc>
          <w:tcPr>
            <w:tcW w:w="1192" w:type="dxa"/>
            <w:tcBorders>
              <w:right w:val="single" w:color="000000" w:sz="10" w:space="0"/>
            </w:tcBorders>
            <w:vAlign w:val="top"/>
          </w:tcPr>
          <w:p w14:paraId="027E39F3">
            <w:pPr>
              <w:pStyle w:val="6"/>
            </w:pPr>
          </w:p>
        </w:tc>
      </w:tr>
      <w:tr w14:paraId="48F7C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690" w:type="dxa"/>
            <w:tcBorders>
              <w:left w:val="single" w:color="000000" w:sz="10" w:space="0"/>
              <w:bottom w:val="single" w:color="000000" w:sz="10" w:space="0"/>
            </w:tcBorders>
            <w:vAlign w:val="top"/>
          </w:tcPr>
          <w:p w14:paraId="1141A934">
            <w:pPr>
              <w:spacing w:before="118" w:line="190" w:lineRule="auto"/>
              <w:ind w:left="250"/>
              <w:rPr>
                <w:rFonts w:ascii="宋体" w:hAnsi="宋体" w:eastAsia="宋体" w:cs="宋体"/>
                <w:sz w:val="19"/>
                <w:szCs w:val="19"/>
              </w:rPr>
            </w:pPr>
            <w:r>
              <w:rPr>
                <w:rFonts w:ascii="宋体" w:hAnsi="宋体" w:eastAsia="宋体" w:cs="宋体"/>
                <w:spacing w:val="-8"/>
                <w:sz w:val="19"/>
                <w:szCs w:val="19"/>
              </w:rPr>
              <w:t>17</w:t>
            </w:r>
          </w:p>
        </w:tc>
        <w:tc>
          <w:tcPr>
            <w:tcW w:w="6134" w:type="dxa"/>
            <w:tcBorders>
              <w:bottom w:val="single" w:color="000000" w:sz="10" w:space="0"/>
            </w:tcBorders>
            <w:vAlign w:val="top"/>
          </w:tcPr>
          <w:p w14:paraId="11214E89">
            <w:pPr>
              <w:spacing w:before="88" w:line="230" w:lineRule="auto"/>
              <w:ind w:left="101"/>
              <w:rPr>
                <w:rFonts w:ascii="宋体" w:hAnsi="宋体" w:eastAsia="宋体" w:cs="宋体"/>
                <w:sz w:val="19"/>
                <w:szCs w:val="19"/>
              </w:rPr>
            </w:pPr>
            <w:r>
              <w:rPr>
                <w:rFonts w:ascii="宋体" w:hAnsi="宋体" w:eastAsia="宋体" w:cs="宋体"/>
                <w:spacing w:val="5"/>
                <w:sz w:val="19"/>
                <w:szCs w:val="19"/>
              </w:rPr>
              <w:t>合计（1+4+6+8+11+12+13+14+15+16）</w:t>
            </w:r>
          </w:p>
        </w:tc>
        <w:tc>
          <w:tcPr>
            <w:tcW w:w="1123" w:type="dxa"/>
            <w:tcBorders>
              <w:bottom w:val="single" w:color="000000" w:sz="10" w:space="0"/>
            </w:tcBorders>
            <w:vAlign w:val="top"/>
          </w:tcPr>
          <w:p w14:paraId="0CAB7667">
            <w:pPr>
              <w:pStyle w:val="6"/>
            </w:pPr>
          </w:p>
        </w:tc>
        <w:tc>
          <w:tcPr>
            <w:tcW w:w="1288" w:type="dxa"/>
            <w:tcBorders>
              <w:bottom w:val="single" w:color="000000" w:sz="10" w:space="0"/>
            </w:tcBorders>
            <w:vAlign w:val="top"/>
          </w:tcPr>
          <w:p w14:paraId="0DACB656">
            <w:pPr>
              <w:pStyle w:val="6"/>
            </w:pPr>
          </w:p>
        </w:tc>
        <w:tc>
          <w:tcPr>
            <w:tcW w:w="973" w:type="dxa"/>
            <w:tcBorders>
              <w:bottom w:val="single" w:color="000000" w:sz="10" w:space="0"/>
            </w:tcBorders>
            <w:vAlign w:val="top"/>
          </w:tcPr>
          <w:p w14:paraId="203E0F3E">
            <w:pPr>
              <w:pStyle w:val="6"/>
            </w:pPr>
          </w:p>
        </w:tc>
        <w:tc>
          <w:tcPr>
            <w:tcW w:w="1085" w:type="dxa"/>
            <w:tcBorders>
              <w:bottom w:val="single" w:color="000000" w:sz="10" w:space="0"/>
            </w:tcBorders>
            <w:vAlign w:val="top"/>
          </w:tcPr>
          <w:p w14:paraId="44DBF9C1">
            <w:pPr>
              <w:pStyle w:val="6"/>
            </w:pPr>
          </w:p>
        </w:tc>
        <w:tc>
          <w:tcPr>
            <w:tcW w:w="1178" w:type="dxa"/>
            <w:tcBorders>
              <w:bottom w:val="single" w:color="000000" w:sz="10" w:space="0"/>
            </w:tcBorders>
            <w:vAlign w:val="top"/>
          </w:tcPr>
          <w:p w14:paraId="35674F8E">
            <w:pPr>
              <w:pStyle w:val="6"/>
            </w:pPr>
          </w:p>
        </w:tc>
        <w:tc>
          <w:tcPr>
            <w:tcW w:w="1178" w:type="dxa"/>
            <w:tcBorders>
              <w:bottom w:val="single" w:color="000000" w:sz="10" w:space="0"/>
            </w:tcBorders>
            <w:vAlign w:val="top"/>
          </w:tcPr>
          <w:p w14:paraId="42557C14">
            <w:pPr>
              <w:pStyle w:val="6"/>
            </w:pPr>
          </w:p>
        </w:tc>
        <w:tc>
          <w:tcPr>
            <w:tcW w:w="1192" w:type="dxa"/>
            <w:tcBorders>
              <w:bottom w:val="single" w:color="000000" w:sz="10" w:space="0"/>
              <w:right w:val="single" w:color="000000" w:sz="10" w:space="0"/>
            </w:tcBorders>
            <w:vAlign w:val="top"/>
          </w:tcPr>
          <w:p w14:paraId="1ED38589">
            <w:pPr>
              <w:pStyle w:val="6"/>
            </w:pPr>
          </w:p>
        </w:tc>
      </w:tr>
    </w:tbl>
    <w:p w14:paraId="263F36A5">
      <w:pPr>
        <w:pStyle w:val="2"/>
      </w:pPr>
    </w:p>
    <w:p w14:paraId="5ADC3724">
      <w:pPr>
        <w:sectPr>
          <w:footerReference r:id="rId5" w:type="default"/>
          <w:pgSz w:w="16839" w:h="11905"/>
          <w:pgMar w:top="1011" w:right="985" w:bottom="888" w:left="985" w:header="0" w:footer="683" w:gutter="0"/>
          <w:cols w:space="720" w:num="1"/>
        </w:sectPr>
      </w:pPr>
    </w:p>
    <w:p w14:paraId="7518D01C">
      <w:pPr>
        <w:pStyle w:val="2"/>
        <w:spacing w:line="324" w:lineRule="auto"/>
      </w:pPr>
    </w:p>
    <w:p w14:paraId="1DA942DD">
      <w:pPr>
        <w:pStyle w:val="2"/>
        <w:spacing w:line="325" w:lineRule="auto"/>
      </w:pPr>
    </w:p>
    <w:p w14:paraId="3F5045BD">
      <w:pPr>
        <w:spacing w:before="91" w:line="221" w:lineRule="auto"/>
        <w:ind w:left="529"/>
        <w:outlineLvl w:val="0"/>
        <w:rPr>
          <w:rFonts w:ascii="宋体" w:hAnsi="宋体" w:eastAsia="宋体" w:cs="宋体"/>
          <w:sz w:val="28"/>
          <w:szCs w:val="28"/>
        </w:rPr>
      </w:pPr>
      <w:bookmarkStart w:id="0" w:name="bookmark9"/>
      <w:bookmarkEnd w:id="0"/>
      <w:bookmarkStart w:id="1" w:name="bookmark10"/>
      <w:bookmarkEnd w:id="1"/>
      <w:r>
        <w:rPr>
          <w:rFonts w:ascii="宋体" w:hAnsi="宋体" w:eastAsia="宋体" w:cs="宋体"/>
          <w:b/>
          <w:bCs/>
          <w:spacing w:val="-2"/>
          <w:sz w:val="28"/>
          <w:szCs w:val="28"/>
        </w:rPr>
        <w:t>A105100</w:t>
      </w:r>
      <w:r>
        <w:rPr>
          <w:rFonts w:ascii="宋体" w:hAnsi="宋体" w:eastAsia="宋体" w:cs="宋体"/>
          <w:spacing w:val="134"/>
          <w:sz w:val="28"/>
          <w:szCs w:val="28"/>
        </w:rPr>
        <w:t xml:space="preserve"> </w:t>
      </w:r>
      <w:r>
        <w:rPr>
          <w:rFonts w:ascii="宋体" w:hAnsi="宋体" w:eastAsia="宋体" w:cs="宋体"/>
          <w:b/>
          <w:bCs/>
          <w:spacing w:val="-2"/>
          <w:sz w:val="28"/>
          <w:szCs w:val="28"/>
        </w:rPr>
        <w:t>《企业重组及递延纳税事项纳税调整明细表》填报说明</w:t>
      </w:r>
    </w:p>
    <w:p w14:paraId="0B467EDB">
      <w:pPr>
        <w:pStyle w:val="2"/>
        <w:spacing w:line="339" w:lineRule="auto"/>
      </w:pPr>
    </w:p>
    <w:p w14:paraId="5C8B00AF">
      <w:pPr>
        <w:pStyle w:val="2"/>
        <w:spacing w:line="339" w:lineRule="auto"/>
      </w:pPr>
    </w:p>
    <w:p w14:paraId="38305616">
      <w:pPr>
        <w:spacing w:before="78" w:line="382" w:lineRule="auto"/>
        <w:ind w:firstLine="481"/>
        <w:jc w:val="both"/>
        <w:rPr>
          <w:rFonts w:ascii="宋体" w:hAnsi="宋体" w:eastAsia="宋体" w:cs="宋体"/>
          <w:sz w:val="24"/>
          <w:szCs w:val="24"/>
        </w:rPr>
      </w:pPr>
      <w:r>
        <w:rPr>
          <w:rFonts w:ascii="宋体" w:hAnsi="宋体" w:eastAsia="宋体" w:cs="宋体"/>
          <w:spacing w:val="-2"/>
          <w:sz w:val="24"/>
          <w:szCs w:val="24"/>
        </w:rPr>
        <w:t>本表适用于发生企业重组、非货币性资产对外投资、技术入股、基础设施领域不动</w:t>
      </w:r>
      <w:r>
        <w:rPr>
          <w:rFonts w:ascii="宋体" w:hAnsi="宋体" w:eastAsia="宋体" w:cs="宋体"/>
          <w:spacing w:val="6"/>
          <w:sz w:val="24"/>
          <w:szCs w:val="24"/>
        </w:rPr>
        <w:t xml:space="preserve">  </w:t>
      </w:r>
      <w:r>
        <w:rPr>
          <w:rFonts w:ascii="宋体" w:hAnsi="宋体" w:eastAsia="宋体" w:cs="宋体"/>
          <w:spacing w:val="-2"/>
          <w:sz w:val="24"/>
          <w:szCs w:val="24"/>
        </w:rPr>
        <w:t>产投资信托基金等业务的纳税人填报。纳税人发生企业重组事项的，在企业重组日所属</w:t>
      </w:r>
      <w:r>
        <w:rPr>
          <w:rFonts w:ascii="宋体" w:hAnsi="宋体" w:eastAsia="宋体" w:cs="宋体"/>
          <w:spacing w:val="9"/>
          <w:sz w:val="24"/>
          <w:szCs w:val="24"/>
        </w:rPr>
        <w:t xml:space="preserve">  </w:t>
      </w:r>
      <w:r>
        <w:rPr>
          <w:rFonts w:ascii="宋体" w:hAnsi="宋体" w:eastAsia="宋体" w:cs="宋体"/>
          <w:spacing w:val="1"/>
          <w:sz w:val="24"/>
          <w:szCs w:val="24"/>
        </w:rPr>
        <w:t>纳税年度分析填报。纳税人根据税法、《财政部</w:t>
      </w:r>
      <w:r>
        <w:rPr>
          <w:rFonts w:ascii="宋体" w:hAnsi="宋体" w:eastAsia="宋体" w:cs="宋体"/>
          <w:spacing w:val="38"/>
          <w:sz w:val="24"/>
          <w:szCs w:val="24"/>
        </w:rPr>
        <w:t xml:space="preserve"> </w:t>
      </w:r>
      <w:r>
        <w:rPr>
          <w:rFonts w:ascii="宋体" w:hAnsi="宋体" w:eastAsia="宋体" w:cs="宋体"/>
          <w:spacing w:val="1"/>
          <w:sz w:val="24"/>
          <w:szCs w:val="24"/>
        </w:rPr>
        <w:t>国家税</w:t>
      </w:r>
      <w:r>
        <w:rPr>
          <w:rFonts w:ascii="宋体" w:hAnsi="宋体" w:eastAsia="宋体" w:cs="宋体"/>
          <w:sz w:val="24"/>
          <w:szCs w:val="24"/>
        </w:rPr>
        <w:t xml:space="preserve">务总局关于企业重组业务企业  </w:t>
      </w:r>
      <w:r>
        <w:rPr>
          <w:rFonts w:ascii="宋体" w:hAnsi="宋体" w:eastAsia="宋体" w:cs="宋体"/>
          <w:spacing w:val="-3"/>
          <w:sz w:val="24"/>
          <w:szCs w:val="24"/>
        </w:rPr>
        <w:t>所得税处理若干问题的通知》（财税〔2009〕59</w:t>
      </w:r>
      <w:r>
        <w:rPr>
          <w:rFonts w:ascii="宋体" w:hAnsi="宋体" w:eastAsia="宋体" w:cs="宋体"/>
          <w:spacing w:val="-45"/>
          <w:sz w:val="24"/>
          <w:szCs w:val="24"/>
        </w:rPr>
        <w:t xml:space="preserve"> </w:t>
      </w:r>
      <w:r>
        <w:rPr>
          <w:rFonts w:ascii="宋体" w:hAnsi="宋体" w:eastAsia="宋体" w:cs="宋体"/>
          <w:spacing w:val="-3"/>
          <w:sz w:val="24"/>
          <w:szCs w:val="24"/>
        </w:rPr>
        <w:t>号）、《国家税务总</w:t>
      </w:r>
      <w:r>
        <w:rPr>
          <w:rFonts w:ascii="宋体" w:hAnsi="宋体" w:eastAsia="宋体" w:cs="宋体"/>
          <w:spacing w:val="-4"/>
          <w:sz w:val="24"/>
          <w:szCs w:val="24"/>
        </w:rPr>
        <w:t>局关于发布〈企业</w:t>
      </w:r>
      <w:r>
        <w:rPr>
          <w:rFonts w:ascii="宋体" w:hAnsi="宋体" w:eastAsia="宋体" w:cs="宋体"/>
          <w:sz w:val="24"/>
          <w:szCs w:val="24"/>
        </w:rPr>
        <w:t xml:space="preserve">  </w:t>
      </w:r>
      <w:r>
        <w:rPr>
          <w:rFonts w:ascii="宋体" w:hAnsi="宋体" w:eastAsia="宋体" w:cs="宋体"/>
          <w:spacing w:val="-2"/>
          <w:sz w:val="24"/>
          <w:szCs w:val="24"/>
        </w:rPr>
        <w:t>重组业务企业所得税管理办法〉的公告》（2010</w:t>
      </w:r>
      <w:r>
        <w:rPr>
          <w:rFonts w:ascii="宋体" w:hAnsi="宋体" w:eastAsia="宋体" w:cs="宋体"/>
          <w:spacing w:val="-36"/>
          <w:sz w:val="24"/>
          <w:szCs w:val="24"/>
        </w:rPr>
        <w:t xml:space="preserve"> </w:t>
      </w:r>
      <w:r>
        <w:rPr>
          <w:rFonts w:ascii="宋体" w:hAnsi="宋体" w:eastAsia="宋体" w:cs="宋体"/>
          <w:spacing w:val="-2"/>
          <w:sz w:val="24"/>
          <w:szCs w:val="24"/>
        </w:rPr>
        <w:t>年第</w:t>
      </w:r>
      <w:r>
        <w:rPr>
          <w:rFonts w:ascii="宋体" w:hAnsi="宋体" w:eastAsia="宋体" w:cs="宋体"/>
          <w:spacing w:val="-52"/>
          <w:sz w:val="24"/>
          <w:szCs w:val="24"/>
        </w:rPr>
        <w:t xml:space="preserve"> </w:t>
      </w:r>
      <w:r>
        <w:rPr>
          <w:rFonts w:ascii="宋体" w:hAnsi="宋体" w:eastAsia="宋体" w:cs="宋体"/>
          <w:spacing w:val="-2"/>
          <w:sz w:val="24"/>
          <w:szCs w:val="24"/>
        </w:rPr>
        <w:t>4</w:t>
      </w:r>
      <w:r>
        <w:rPr>
          <w:rFonts w:ascii="宋体" w:hAnsi="宋体" w:eastAsia="宋体" w:cs="宋体"/>
          <w:spacing w:val="-45"/>
          <w:sz w:val="24"/>
          <w:szCs w:val="24"/>
        </w:rPr>
        <w:t xml:space="preserve"> </w:t>
      </w:r>
      <w:r>
        <w:rPr>
          <w:rFonts w:ascii="宋体" w:hAnsi="宋体" w:eastAsia="宋体" w:cs="宋体"/>
          <w:spacing w:val="-2"/>
          <w:sz w:val="24"/>
          <w:szCs w:val="24"/>
        </w:rPr>
        <w:t>号）、《财政部</w:t>
      </w:r>
      <w:r>
        <w:rPr>
          <w:rFonts w:ascii="宋体" w:hAnsi="宋体" w:eastAsia="宋体" w:cs="宋体"/>
          <w:spacing w:val="33"/>
          <w:sz w:val="24"/>
          <w:szCs w:val="24"/>
        </w:rPr>
        <w:t xml:space="preserve"> </w:t>
      </w:r>
      <w:r>
        <w:rPr>
          <w:rFonts w:ascii="宋体" w:hAnsi="宋体" w:eastAsia="宋体" w:cs="宋体"/>
          <w:spacing w:val="-2"/>
          <w:sz w:val="24"/>
          <w:szCs w:val="24"/>
        </w:rPr>
        <w:t>国家税务总局</w:t>
      </w:r>
      <w:r>
        <w:rPr>
          <w:rFonts w:ascii="宋体" w:hAnsi="宋体" w:eastAsia="宋体" w:cs="宋体"/>
          <w:sz w:val="24"/>
          <w:szCs w:val="24"/>
        </w:rPr>
        <w:t xml:space="preserve">  </w:t>
      </w:r>
      <w:r>
        <w:rPr>
          <w:rFonts w:ascii="宋体" w:hAnsi="宋体" w:eastAsia="宋体" w:cs="宋体"/>
          <w:spacing w:val="-2"/>
          <w:sz w:val="24"/>
          <w:szCs w:val="24"/>
        </w:rPr>
        <w:t>关于中国（上海）自由贸易试验区内企业以非货币性资产对外投资等资产重组行为有关</w:t>
      </w:r>
      <w:r>
        <w:rPr>
          <w:rFonts w:ascii="宋体" w:hAnsi="宋体" w:eastAsia="宋体" w:cs="宋体"/>
          <w:spacing w:val="9"/>
          <w:sz w:val="24"/>
          <w:szCs w:val="24"/>
        </w:rPr>
        <w:t xml:space="preserve">  </w:t>
      </w:r>
      <w:r>
        <w:rPr>
          <w:rFonts w:ascii="宋体" w:hAnsi="宋体" w:eastAsia="宋体" w:cs="宋体"/>
          <w:spacing w:val="-1"/>
          <w:sz w:val="24"/>
          <w:szCs w:val="24"/>
        </w:rPr>
        <w:t>企业所得税政策问题的通知》（财税〔2013〕91</w:t>
      </w:r>
      <w:r>
        <w:rPr>
          <w:rFonts w:ascii="宋体" w:hAnsi="宋体" w:eastAsia="宋体" w:cs="宋体"/>
          <w:spacing w:val="-43"/>
          <w:sz w:val="24"/>
          <w:szCs w:val="24"/>
        </w:rPr>
        <w:t xml:space="preserve"> </w:t>
      </w:r>
      <w:r>
        <w:rPr>
          <w:rFonts w:ascii="宋体" w:hAnsi="宋体" w:eastAsia="宋体" w:cs="宋体"/>
          <w:spacing w:val="-1"/>
          <w:sz w:val="24"/>
          <w:szCs w:val="24"/>
        </w:rPr>
        <w:t>号）、《财政部</w:t>
      </w:r>
      <w:r>
        <w:rPr>
          <w:rFonts w:ascii="宋体" w:hAnsi="宋体" w:eastAsia="宋体" w:cs="宋体"/>
          <w:spacing w:val="33"/>
          <w:sz w:val="24"/>
          <w:szCs w:val="24"/>
        </w:rPr>
        <w:t xml:space="preserve"> </w:t>
      </w:r>
      <w:r>
        <w:rPr>
          <w:rFonts w:ascii="宋体" w:hAnsi="宋体" w:eastAsia="宋体" w:cs="宋体"/>
          <w:spacing w:val="-1"/>
          <w:sz w:val="24"/>
          <w:szCs w:val="24"/>
        </w:rPr>
        <w:t>国</w:t>
      </w:r>
      <w:r>
        <w:rPr>
          <w:rFonts w:ascii="宋体" w:hAnsi="宋体" w:eastAsia="宋体" w:cs="宋体"/>
          <w:spacing w:val="-2"/>
          <w:sz w:val="24"/>
          <w:szCs w:val="24"/>
        </w:rPr>
        <w:t>家税务总局关于非</w:t>
      </w:r>
      <w:r>
        <w:rPr>
          <w:rFonts w:ascii="宋体" w:hAnsi="宋体" w:eastAsia="宋体" w:cs="宋体"/>
          <w:sz w:val="24"/>
          <w:szCs w:val="24"/>
        </w:rPr>
        <w:t xml:space="preserve">  </w:t>
      </w:r>
      <w:r>
        <w:rPr>
          <w:rFonts w:ascii="宋体" w:hAnsi="宋体" w:eastAsia="宋体" w:cs="宋体"/>
          <w:spacing w:val="-4"/>
          <w:sz w:val="24"/>
          <w:szCs w:val="24"/>
        </w:rPr>
        <w:t>货币性资产投资企业所得税政策问题的通知》（财税〔2014〕116</w:t>
      </w:r>
      <w:r>
        <w:rPr>
          <w:rFonts w:ascii="宋体" w:hAnsi="宋体" w:eastAsia="宋体" w:cs="宋体"/>
          <w:spacing w:val="-44"/>
          <w:sz w:val="24"/>
          <w:szCs w:val="24"/>
        </w:rPr>
        <w:t xml:space="preserve"> </w:t>
      </w:r>
      <w:r>
        <w:rPr>
          <w:rFonts w:ascii="宋体" w:hAnsi="宋体" w:eastAsia="宋体" w:cs="宋体"/>
          <w:spacing w:val="-4"/>
          <w:sz w:val="24"/>
          <w:szCs w:val="24"/>
        </w:rPr>
        <w:t>号）、《财政部</w:t>
      </w:r>
      <w:r>
        <w:rPr>
          <w:rFonts w:ascii="宋体" w:hAnsi="宋体" w:eastAsia="宋体" w:cs="宋体"/>
          <w:spacing w:val="32"/>
          <w:sz w:val="24"/>
          <w:szCs w:val="24"/>
        </w:rPr>
        <w:t xml:space="preserve"> </w:t>
      </w:r>
      <w:r>
        <w:rPr>
          <w:rFonts w:ascii="宋体" w:hAnsi="宋体" w:eastAsia="宋体" w:cs="宋体"/>
          <w:spacing w:val="-4"/>
          <w:sz w:val="24"/>
          <w:szCs w:val="24"/>
        </w:rPr>
        <w:t>国家</w:t>
      </w:r>
      <w:r>
        <w:rPr>
          <w:rFonts w:ascii="宋体" w:hAnsi="宋体" w:eastAsia="宋体" w:cs="宋体"/>
          <w:sz w:val="24"/>
          <w:szCs w:val="24"/>
        </w:rPr>
        <w:t xml:space="preserve">  </w:t>
      </w:r>
      <w:r>
        <w:rPr>
          <w:rFonts w:ascii="宋体" w:hAnsi="宋体" w:eastAsia="宋体" w:cs="宋体"/>
          <w:spacing w:val="-3"/>
          <w:sz w:val="24"/>
          <w:szCs w:val="24"/>
        </w:rPr>
        <w:t>税务总局关于促进企业重组有关企业所得税处理</w:t>
      </w:r>
      <w:r>
        <w:rPr>
          <w:rFonts w:ascii="宋体" w:hAnsi="宋体" w:eastAsia="宋体" w:cs="宋体"/>
          <w:spacing w:val="-4"/>
          <w:sz w:val="24"/>
          <w:szCs w:val="24"/>
        </w:rPr>
        <w:t>问题的通知》（财税〔2014〕109</w:t>
      </w:r>
      <w:r>
        <w:rPr>
          <w:rFonts w:ascii="宋体" w:hAnsi="宋体" w:eastAsia="宋体" w:cs="宋体"/>
          <w:spacing w:val="-45"/>
          <w:sz w:val="24"/>
          <w:szCs w:val="24"/>
        </w:rPr>
        <w:t xml:space="preserve"> </w:t>
      </w:r>
      <w:r>
        <w:rPr>
          <w:rFonts w:ascii="宋体" w:hAnsi="宋体" w:eastAsia="宋体" w:cs="宋体"/>
          <w:spacing w:val="-4"/>
          <w:sz w:val="24"/>
          <w:szCs w:val="24"/>
        </w:rPr>
        <w:t>号）、</w:t>
      </w:r>
      <w:r>
        <w:rPr>
          <w:rFonts w:ascii="宋体" w:hAnsi="宋体" w:eastAsia="宋体" w:cs="宋体"/>
          <w:sz w:val="24"/>
          <w:szCs w:val="24"/>
        </w:rPr>
        <w:t xml:space="preserve"> </w:t>
      </w:r>
      <w:r>
        <w:rPr>
          <w:rFonts w:ascii="宋体" w:hAnsi="宋体" w:eastAsia="宋体" w:cs="宋体"/>
          <w:spacing w:val="3"/>
          <w:sz w:val="24"/>
          <w:szCs w:val="24"/>
        </w:rPr>
        <w:t>《国家税务总局关于非货币性资产投资企业所得税有关征管问题的公告</w:t>
      </w:r>
      <w:r>
        <w:rPr>
          <w:rFonts w:ascii="宋体" w:hAnsi="宋体" w:eastAsia="宋体" w:cs="宋体"/>
          <w:spacing w:val="2"/>
          <w:sz w:val="24"/>
          <w:szCs w:val="24"/>
        </w:rPr>
        <w:t>》（2015</w:t>
      </w:r>
      <w:r>
        <w:rPr>
          <w:rFonts w:ascii="宋体" w:hAnsi="宋体" w:eastAsia="宋体" w:cs="宋体"/>
          <w:spacing w:val="-47"/>
          <w:sz w:val="24"/>
          <w:szCs w:val="24"/>
        </w:rPr>
        <w:t xml:space="preserve"> </w:t>
      </w:r>
      <w:r>
        <w:rPr>
          <w:rFonts w:ascii="宋体" w:hAnsi="宋体" w:eastAsia="宋体" w:cs="宋体"/>
          <w:spacing w:val="2"/>
          <w:sz w:val="24"/>
          <w:szCs w:val="24"/>
        </w:rPr>
        <w:t>年第</w:t>
      </w:r>
      <w:r>
        <w:rPr>
          <w:rFonts w:ascii="宋体" w:hAnsi="宋体" w:eastAsia="宋体" w:cs="宋体"/>
          <w:sz w:val="24"/>
          <w:szCs w:val="24"/>
        </w:rPr>
        <w:t xml:space="preserve">  </w:t>
      </w:r>
      <w:r>
        <w:rPr>
          <w:rFonts w:ascii="宋体" w:hAnsi="宋体" w:eastAsia="宋体" w:cs="宋体"/>
          <w:spacing w:val="3"/>
          <w:sz w:val="24"/>
          <w:szCs w:val="24"/>
        </w:rPr>
        <w:t>33</w:t>
      </w:r>
      <w:r>
        <w:rPr>
          <w:rFonts w:ascii="宋体" w:hAnsi="宋体" w:eastAsia="宋体" w:cs="宋体"/>
          <w:spacing w:val="-40"/>
          <w:sz w:val="24"/>
          <w:szCs w:val="24"/>
        </w:rPr>
        <w:t xml:space="preserve"> </w:t>
      </w:r>
      <w:r>
        <w:rPr>
          <w:rFonts w:ascii="宋体" w:hAnsi="宋体" w:eastAsia="宋体" w:cs="宋体"/>
          <w:spacing w:val="3"/>
          <w:sz w:val="24"/>
          <w:szCs w:val="24"/>
        </w:rPr>
        <w:t>号）、《国家税务总局关于资产（股权）划转</w:t>
      </w:r>
      <w:r>
        <w:rPr>
          <w:rFonts w:ascii="宋体" w:hAnsi="宋体" w:eastAsia="宋体" w:cs="宋体"/>
          <w:spacing w:val="2"/>
          <w:sz w:val="24"/>
          <w:szCs w:val="24"/>
        </w:rPr>
        <w:t>企业所得税征管问题的公告》（2015</w:t>
      </w:r>
      <w:r>
        <w:rPr>
          <w:rFonts w:ascii="宋体" w:hAnsi="宋体" w:eastAsia="宋体" w:cs="宋体"/>
          <w:sz w:val="24"/>
          <w:szCs w:val="24"/>
        </w:rPr>
        <w:t xml:space="preserve">  </w:t>
      </w:r>
      <w:r>
        <w:rPr>
          <w:rFonts w:ascii="宋体" w:hAnsi="宋体" w:eastAsia="宋体" w:cs="宋体"/>
          <w:spacing w:val="-2"/>
          <w:sz w:val="24"/>
          <w:szCs w:val="24"/>
        </w:rPr>
        <w:t>年第</w:t>
      </w:r>
      <w:r>
        <w:rPr>
          <w:rFonts w:ascii="宋体" w:hAnsi="宋体" w:eastAsia="宋体" w:cs="宋体"/>
          <w:spacing w:val="-51"/>
          <w:sz w:val="24"/>
          <w:szCs w:val="24"/>
        </w:rPr>
        <w:t xml:space="preserve"> </w:t>
      </w:r>
      <w:r>
        <w:rPr>
          <w:rFonts w:ascii="宋体" w:hAnsi="宋体" w:eastAsia="宋体" w:cs="宋体"/>
          <w:spacing w:val="-2"/>
          <w:sz w:val="24"/>
          <w:szCs w:val="24"/>
        </w:rPr>
        <w:t>40</w:t>
      </w:r>
      <w:r>
        <w:rPr>
          <w:rFonts w:ascii="宋体" w:hAnsi="宋体" w:eastAsia="宋体" w:cs="宋体"/>
          <w:spacing w:val="-45"/>
          <w:sz w:val="24"/>
          <w:szCs w:val="24"/>
        </w:rPr>
        <w:t xml:space="preserve"> </w:t>
      </w:r>
      <w:r>
        <w:rPr>
          <w:rFonts w:ascii="宋体" w:hAnsi="宋体" w:eastAsia="宋体" w:cs="宋体"/>
          <w:spacing w:val="-2"/>
          <w:sz w:val="24"/>
          <w:szCs w:val="24"/>
        </w:rPr>
        <w:t>号）、《国家税务总局关于企业重组业</w:t>
      </w:r>
      <w:r>
        <w:rPr>
          <w:rFonts w:ascii="宋体" w:hAnsi="宋体" w:eastAsia="宋体" w:cs="宋体"/>
          <w:spacing w:val="-3"/>
          <w:sz w:val="24"/>
          <w:szCs w:val="24"/>
        </w:rPr>
        <w:t>务企业所得税征收管理若干问题的公告》</w:t>
      </w:r>
      <w:r>
        <w:rPr>
          <w:rFonts w:ascii="宋体" w:hAnsi="宋体" w:eastAsia="宋体" w:cs="宋体"/>
          <w:sz w:val="24"/>
          <w:szCs w:val="24"/>
        </w:rPr>
        <w:t xml:space="preserve"> </w:t>
      </w:r>
      <w:r>
        <w:rPr>
          <w:rFonts w:ascii="宋体" w:hAnsi="宋体" w:eastAsia="宋体" w:cs="宋体"/>
          <w:spacing w:val="-5"/>
          <w:sz w:val="24"/>
          <w:szCs w:val="24"/>
        </w:rPr>
        <w:t>（2015</w:t>
      </w:r>
      <w:r>
        <w:rPr>
          <w:rFonts w:ascii="宋体" w:hAnsi="宋体" w:eastAsia="宋体" w:cs="宋体"/>
          <w:spacing w:val="-32"/>
          <w:sz w:val="24"/>
          <w:szCs w:val="24"/>
        </w:rPr>
        <w:t xml:space="preserve"> </w:t>
      </w:r>
      <w:r>
        <w:rPr>
          <w:rFonts w:ascii="宋体" w:hAnsi="宋体" w:eastAsia="宋体" w:cs="宋体"/>
          <w:spacing w:val="-5"/>
          <w:sz w:val="24"/>
          <w:szCs w:val="24"/>
        </w:rPr>
        <w:t>年第</w:t>
      </w:r>
      <w:r>
        <w:rPr>
          <w:rFonts w:ascii="宋体" w:hAnsi="宋体" w:eastAsia="宋体" w:cs="宋体"/>
          <w:spacing w:val="-52"/>
          <w:sz w:val="24"/>
          <w:szCs w:val="24"/>
        </w:rPr>
        <w:t xml:space="preserve"> </w:t>
      </w:r>
      <w:r>
        <w:rPr>
          <w:rFonts w:ascii="宋体" w:hAnsi="宋体" w:eastAsia="宋体" w:cs="宋体"/>
          <w:spacing w:val="-5"/>
          <w:sz w:val="24"/>
          <w:szCs w:val="24"/>
        </w:rPr>
        <w:t>48</w:t>
      </w:r>
      <w:r>
        <w:rPr>
          <w:rFonts w:ascii="宋体" w:hAnsi="宋体" w:eastAsia="宋体" w:cs="宋体"/>
          <w:spacing w:val="-44"/>
          <w:sz w:val="24"/>
          <w:szCs w:val="24"/>
        </w:rPr>
        <w:t xml:space="preserve"> </w:t>
      </w:r>
      <w:r>
        <w:rPr>
          <w:rFonts w:ascii="宋体" w:hAnsi="宋体" w:eastAsia="宋体" w:cs="宋体"/>
          <w:spacing w:val="-5"/>
          <w:sz w:val="24"/>
          <w:szCs w:val="24"/>
        </w:rPr>
        <w:t>号）、《财政部</w:t>
      </w:r>
      <w:r>
        <w:rPr>
          <w:rFonts w:ascii="宋体" w:hAnsi="宋体" w:eastAsia="宋体" w:cs="宋体"/>
          <w:spacing w:val="32"/>
          <w:sz w:val="24"/>
          <w:szCs w:val="24"/>
        </w:rPr>
        <w:t xml:space="preserve"> </w:t>
      </w:r>
      <w:r>
        <w:rPr>
          <w:rFonts w:ascii="宋体" w:hAnsi="宋体" w:eastAsia="宋体" w:cs="宋体"/>
          <w:spacing w:val="-5"/>
          <w:sz w:val="24"/>
          <w:szCs w:val="24"/>
        </w:rPr>
        <w:t>国家税务总局关于完善股权激励和技术入股有关所得税</w:t>
      </w:r>
      <w:r>
        <w:rPr>
          <w:rFonts w:ascii="宋体" w:hAnsi="宋体" w:eastAsia="宋体" w:cs="宋体"/>
          <w:sz w:val="24"/>
          <w:szCs w:val="24"/>
        </w:rPr>
        <w:t xml:space="preserve">  政策的通知》（财税〔2016〕101</w:t>
      </w:r>
      <w:r>
        <w:rPr>
          <w:rFonts w:ascii="宋体" w:hAnsi="宋体" w:eastAsia="宋体" w:cs="宋体"/>
          <w:spacing w:val="-45"/>
          <w:sz w:val="24"/>
          <w:szCs w:val="24"/>
        </w:rPr>
        <w:t xml:space="preserve"> </w:t>
      </w:r>
      <w:r>
        <w:rPr>
          <w:rFonts w:ascii="宋体" w:hAnsi="宋体" w:eastAsia="宋体" w:cs="宋体"/>
          <w:sz w:val="24"/>
          <w:szCs w:val="24"/>
        </w:rPr>
        <w:t>号）、《国家税务总局</w:t>
      </w:r>
      <w:r>
        <w:rPr>
          <w:rFonts w:ascii="宋体" w:hAnsi="宋体" w:eastAsia="宋体" w:cs="宋体"/>
          <w:spacing w:val="-1"/>
          <w:sz w:val="24"/>
          <w:szCs w:val="24"/>
        </w:rPr>
        <w:t>关于股权激励和技术入股所得</w:t>
      </w:r>
      <w:r>
        <w:rPr>
          <w:rFonts w:ascii="宋体" w:hAnsi="宋体" w:eastAsia="宋体" w:cs="宋体"/>
          <w:sz w:val="24"/>
          <w:szCs w:val="24"/>
        </w:rPr>
        <w:t xml:space="preserve">  </w:t>
      </w:r>
      <w:r>
        <w:rPr>
          <w:rFonts w:ascii="宋体" w:hAnsi="宋体" w:eastAsia="宋体" w:cs="宋体"/>
          <w:spacing w:val="-4"/>
          <w:sz w:val="24"/>
          <w:szCs w:val="24"/>
        </w:rPr>
        <w:t>税征管问题的公告》（2016</w:t>
      </w:r>
      <w:r>
        <w:rPr>
          <w:rFonts w:ascii="宋体" w:hAnsi="宋体" w:eastAsia="宋体" w:cs="宋体"/>
          <w:spacing w:val="-40"/>
          <w:sz w:val="24"/>
          <w:szCs w:val="24"/>
        </w:rPr>
        <w:t xml:space="preserve"> </w:t>
      </w:r>
      <w:r>
        <w:rPr>
          <w:rFonts w:ascii="宋体" w:hAnsi="宋体" w:eastAsia="宋体" w:cs="宋体"/>
          <w:spacing w:val="-4"/>
          <w:sz w:val="24"/>
          <w:szCs w:val="24"/>
        </w:rPr>
        <w:t>年第</w:t>
      </w:r>
      <w:r>
        <w:rPr>
          <w:rFonts w:ascii="宋体" w:hAnsi="宋体" w:eastAsia="宋体" w:cs="宋体"/>
          <w:spacing w:val="-49"/>
          <w:sz w:val="24"/>
          <w:szCs w:val="24"/>
        </w:rPr>
        <w:t xml:space="preserve"> </w:t>
      </w:r>
      <w:r>
        <w:rPr>
          <w:rFonts w:ascii="宋体" w:hAnsi="宋体" w:eastAsia="宋体" w:cs="宋体"/>
          <w:spacing w:val="-4"/>
          <w:sz w:val="24"/>
          <w:szCs w:val="24"/>
        </w:rPr>
        <w:t>62</w:t>
      </w:r>
      <w:r>
        <w:rPr>
          <w:rFonts w:ascii="宋体" w:hAnsi="宋体" w:eastAsia="宋体" w:cs="宋体"/>
          <w:spacing w:val="-45"/>
          <w:sz w:val="24"/>
          <w:szCs w:val="24"/>
        </w:rPr>
        <w:t xml:space="preserve"> </w:t>
      </w:r>
      <w:r>
        <w:rPr>
          <w:rFonts w:ascii="宋体" w:hAnsi="宋体" w:eastAsia="宋体" w:cs="宋体"/>
          <w:spacing w:val="-4"/>
          <w:sz w:val="24"/>
          <w:szCs w:val="24"/>
        </w:rPr>
        <w:t>号）、《财政部 税务总局关于基础设施领域不动产</w:t>
      </w:r>
      <w:r>
        <w:rPr>
          <w:rFonts w:ascii="宋体" w:hAnsi="宋体" w:eastAsia="宋体" w:cs="宋体"/>
          <w:sz w:val="24"/>
          <w:szCs w:val="24"/>
        </w:rPr>
        <w:t xml:space="preserve">  </w:t>
      </w:r>
      <w:r>
        <w:rPr>
          <w:rFonts w:ascii="宋体" w:hAnsi="宋体" w:eastAsia="宋体" w:cs="宋体"/>
          <w:spacing w:val="-1"/>
          <w:sz w:val="24"/>
          <w:szCs w:val="24"/>
        </w:rPr>
        <w:t>投资信托基金（REITs）试点税收政策的公告》（2022</w:t>
      </w:r>
      <w:r>
        <w:rPr>
          <w:rFonts w:ascii="宋体" w:hAnsi="宋体" w:eastAsia="宋体" w:cs="宋体"/>
          <w:spacing w:val="-48"/>
          <w:sz w:val="24"/>
          <w:szCs w:val="24"/>
        </w:rPr>
        <w:t xml:space="preserve"> </w:t>
      </w:r>
      <w:r>
        <w:rPr>
          <w:rFonts w:ascii="宋体" w:hAnsi="宋体" w:eastAsia="宋体" w:cs="宋体"/>
          <w:spacing w:val="-1"/>
          <w:sz w:val="24"/>
          <w:szCs w:val="24"/>
        </w:rPr>
        <w:t>年第</w:t>
      </w:r>
      <w:r>
        <w:rPr>
          <w:rFonts w:ascii="宋体" w:hAnsi="宋体" w:eastAsia="宋体" w:cs="宋体"/>
          <w:spacing w:val="-45"/>
          <w:sz w:val="24"/>
          <w:szCs w:val="24"/>
        </w:rPr>
        <w:t xml:space="preserve"> </w:t>
      </w:r>
      <w:r>
        <w:rPr>
          <w:rFonts w:ascii="宋体" w:hAnsi="宋体" w:eastAsia="宋体" w:cs="宋体"/>
          <w:spacing w:val="-1"/>
          <w:sz w:val="24"/>
          <w:szCs w:val="24"/>
        </w:rPr>
        <w:t>3</w:t>
      </w:r>
      <w:r>
        <w:rPr>
          <w:rFonts w:ascii="宋体" w:hAnsi="宋体" w:eastAsia="宋体" w:cs="宋体"/>
          <w:spacing w:val="-45"/>
          <w:sz w:val="24"/>
          <w:szCs w:val="24"/>
        </w:rPr>
        <w:t xml:space="preserve"> </w:t>
      </w:r>
      <w:r>
        <w:rPr>
          <w:rFonts w:ascii="宋体" w:hAnsi="宋体" w:eastAsia="宋体" w:cs="宋体"/>
          <w:spacing w:val="-1"/>
          <w:sz w:val="24"/>
          <w:szCs w:val="24"/>
        </w:rPr>
        <w:t>号）等相关规定，以及国</w:t>
      </w:r>
      <w:r>
        <w:rPr>
          <w:rFonts w:ascii="宋体" w:hAnsi="宋体" w:eastAsia="宋体" w:cs="宋体"/>
          <w:sz w:val="24"/>
          <w:szCs w:val="24"/>
        </w:rPr>
        <w:t xml:space="preserve">  </w:t>
      </w:r>
      <w:r>
        <w:rPr>
          <w:rFonts w:ascii="宋体" w:hAnsi="宋体" w:eastAsia="宋体" w:cs="宋体"/>
          <w:spacing w:val="-1"/>
          <w:sz w:val="24"/>
          <w:szCs w:val="24"/>
        </w:rPr>
        <w:t>家统一企业会计制度，填报企业重组、非货币</w:t>
      </w:r>
      <w:r>
        <w:rPr>
          <w:rFonts w:ascii="宋体" w:hAnsi="宋体" w:eastAsia="宋体" w:cs="宋体"/>
          <w:spacing w:val="-2"/>
          <w:sz w:val="24"/>
          <w:szCs w:val="24"/>
        </w:rPr>
        <w:t>资产对外投资、技术入股、基础设施领域</w:t>
      </w:r>
      <w:r>
        <w:rPr>
          <w:rFonts w:ascii="宋体" w:hAnsi="宋体" w:eastAsia="宋体" w:cs="宋体"/>
          <w:sz w:val="24"/>
          <w:szCs w:val="24"/>
        </w:rPr>
        <w:t xml:space="preserve">  </w:t>
      </w:r>
      <w:r>
        <w:rPr>
          <w:rFonts w:ascii="宋体" w:hAnsi="宋体" w:eastAsia="宋体" w:cs="宋体"/>
          <w:spacing w:val="-2"/>
          <w:sz w:val="24"/>
          <w:szCs w:val="24"/>
        </w:rPr>
        <w:t>不动产投资信托基金等业务的会计核算及税收规定，以及纳税调整情况。对于发生债务</w:t>
      </w:r>
      <w:r>
        <w:rPr>
          <w:rFonts w:ascii="宋体" w:hAnsi="宋体" w:eastAsia="宋体" w:cs="宋体"/>
          <w:spacing w:val="9"/>
          <w:sz w:val="24"/>
          <w:szCs w:val="24"/>
        </w:rPr>
        <w:t xml:space="preserve">  </w:t>
      </w:r>
      <w:r>
        <w:rPr>
          <w:rFonts w:ascii="宋体" w:hAnsi="宋体" w:eastAsia="宋体" w:cs="宋体"/>
          <w:spacing w:val="-2"/>
          <w:sz w:val="24"/>
          <w:szCs w:val="24"/>
        </w:rPr>
        <w:t>重组业务且选择特殊性税务处理（即债务重组所得可以在</w:t>
      </w:r>
      <w:r>
        <w:rPr>
          <w:rFonts w:ascii="宋体" w:hAnsi="宋体" w:eastAsia="宋体" w:cs="宋体"/>
          <w:spacing w:val="-46"/>
          <w:sz w:val="24"/>
          <w:szCs w:val="24"/>
        </w:rPr>
        <w:t xml:space="preserve"> </w:t>
      </w:r>
      <w:r>
        <w:rPr>
          <w:rFonts w:ascii="宋体" w:hAnsi="宋体" w:eastAsia="宋体" w:cs="宋体"/>
          <w:spacing w:val="-2"/>
          <w:sz w:val="24"/>
          <w:szCs w:val="24"/>
        </w:rPr>
        <w:t>5</w:t>
      </w:r>
      <w:r>
        <w:rPr>
          <w:rFonts w:ascii="宋体" w:hAnsi="宋体" w:eastAsia="宋体" w:cs="宋体"/>
          <w:spacing w:val="-51"/>
          <w:sz w:val="24"/>
          <w:szCs w:val="24"/>
        </w:rPr>
        <w:t xml:space="preserve"> </w:t>
      </w:r>
      <w:r>
        <w:rPr>
          <w:rFonts w:ascii="宋体" w:hAnsi="宋体" w:eastAsia="宋体" w:cs="宋体"/>
          <w:spacing w:val="-2"/>
          <w:sz w:val="24"/>
          <w:szCs w:val="24"/>
        </w:rPr>
        <w:t>个纳税年度均匀</w:t>
      </w:r>
      <w:r>
        <w:rPr>
          <w:rFonts w:ascii="宋体" w:hAnsi="宋体" w:eastAsia="宋体" w:cs="宋体"/>
          <w:spacing w:val="-3"/>
          <w:sz w:val="24"/>
          <w:szCs w:val="24"/>
        </w:rPr>
        <w:t>计入应纳税</w:t>
      </w:r>
      <w:r>
        <w:rPr>
          <w:rFonts w:ascii="宋体" w:hAnsi="宋体" w:eastAsia="宋体" w:cs="宋体"/>
          <w:sz w:val="24"/>
          <w:szCs w:val="24"/>
        </w:rPr>
        <w:t xml:space="preserve">  </w:t>
      </w:r>
      <w:r>
        <w:rPr>
          <w:rFonts w:ascii="宋体" w:hAnsi="宋体" w:eastAsia="宋体" w:cs="宋体"/>
          <w:spacing w:val="-2"/>
          <w:sz w:val="24"/>
          <w:szCs w:val="24"/>
        </w:rPr>
        <w:t>所得额）的纳税人，重组日所属纳税年度的以后纳税年度，也在本表进行债务重组的纳</w:t>
      </w:r>
      <w:r>
        <w:rPr>
          <w:rFonts w:ascii="宋体" w:hAnsi="宋体" w:eastAsia="宋体" w:cs="宋体"/>
          <w:spacing w:val="9"/>
          <w:sz w:val="24"/>
          <w:szCs w:val="24"/>
        </w:rPr>
        <w:t xml:space="preserve">  </w:t>
      </w:r>
      <w:r>
        <w:rPr>
          <w:rFonts w:ascii="宋体" w:hAnsi="宋体" w:eastAsia="宋体" w:cs="宋体"/>
          <w:spacing w:val="-2"/>
          <w:sz w:val="24"/>
          <w:szCs w:val="24"/>
        </w:rPr>
        <w:t>税调整。除上述债务重组所得可以分期确认应纳税所得额的企业重组外，其他涉及资产</w:t>
      </w:r>
      <w:r>
        <w:rPr>
          <w:rFonts w:ascii="宋体" w:hAnsi="宋体" w:eastAsia="宋体" w:cs="宋体"/>
          <w:spacing w:val="9"/>
          <w:sz w:val="24"/>
          <w:szCs w:val="24"/>
        </w:rPr>
        <w:t xml:space="preserve">  </w:t>
      </w:r>
      <w:r>
        <w:rPr>
          <w:rFonts w:ascii="宋体" w:hAnsi="宋体" w:eastAsia="宋体" w:cs="宋体"/>
          <w:spacing w:val="-1"/>
          <w:sz w:val="24"/>
          <w:szCs w:val="24"/>
        </w:rPr>
        <w:t>计税基础与会计核算成本差异调整的企业重组</w:t>
      </w:r>
      <w:r>
        <w:rPr>
          <w:rFonts w:ascii="宋体" w:hAnsi="宋体" w:eastAsia="宋体" w:cs="宋体"/>
          <w:spacing w:val="-2"/>
          <w:sz w:val="24"/>
          <w:szCs w:val="24"/>
        </w:rPr>
        <w:t>，本表不作调整，在《资产折旧、摊销及</w:t>
      </w:r>
      <w:r>
        <w:rPr>
          <w:rFonts w:ascii="宋体" w:hAnsi="宋体" w:eastAsia="宋体" w:cs="宋体"/>
          <w:sz w:val="24"/>
          <w:szCs w:val="24"/>
        </w:rPr>
        <w:t xml:space="preserve">  </w:t>
      </w:r>
      <w:r>
        <w:rPr>
          <w:rFonts w:ascii="宋体" w:hAnsi="宋体" w:eastAsia="宋体" w:cs="宋体"/>
          <w:spacing w:val="-1"/>
          <w:sz w:val="24"/>
          <w:szCs w:val="24"/>
        </w:rPr>
        <w:t>纳税调整明细表》（A105080）进行纳税调整。</w:t>
      </w:r>
    </w:p>
    <w:p w14:paraId="31F57183">
      <w:pPr>
        <w:spacing w:line="382" w:lineRule="auto"/>
        <w:rPr>
          <w:rFonts w:ascii="宋体" w:hAnsi="宋体" w:eastAsia="宋体" w:cs="宋体"/>
          <w:sz w:val="24"/>
          <w:szCs w:val="24"/>
        </w:rPr>
        <w:sectPr>
          <w:footerReference r:id="rId6" w:type="default"/>
          <w:pgSz w:w="11905" w:h="16839"/>
          <w:pgMar w:top="1431" w:right="1311" w:bottom="889" w:left="1424" w:header="0" w:footer="684" w:gutter="0"/>
          <w:cols w:space="720" w:num="1"/>
        </w:sectPr>
      </w:pPr>
    </w:p>
    <w:p w14:paraId="3CE9AA41">
      <w:pPr>
        <w:pStyle w:val="2"/>
        <w:spacing w:line="300" w:lineRule="auto"/>
      </w:pPr>
    </w:p>
    <w:p w14:paraId="2A52F597">
      <w:pPr>
        <w:pStyle w:val="2"/>
        <w:spacing w:line="300" w:lineRule="auto"/>
      </w:pPr>
    </w:p>
    <w:p w14:paraId="6166B292">
      <w:pPr>
        <w:spacing w:before="78" w:line="220" w:lineRule="auto"/>
        <w:ind w:left="484"/>
        <w:outlineLvl w:val="1"/>
        <w:rPr>
          <w:rFonts w:ascii="宋体" w:hAnsi="宋体" w:eastAsia="宋体" w:cs="宋体"/>
          <w:sz w:val="24"/>
          <w:szCs w:val="24"/>
        </w:rPr>
      </w:pPr>
      <w:r>
        <w:rPr>
          <w:rFonts w:ascii="宋体" w:hAnsi="宋体" w:eastAsia="宋体" w:cs="宋体"/>
          <w:b/>
          <w:bCs/>
          <w:spacing w:val="-3"/>
          <w:sz w:val="24"/>
          <w:szCs w:val="24"/>
        </w:rPr>
        <w:t>一、有关项目填报说明</w:t>
      </w:r>
    </w:p>
    <w:p w14:paraId="3A7E76CF">
      <w:pPr>
        <w:spacing w:before="213" w:line="220" w:lineRule="auto"/>
        <w:ind w:left="492"/>
        <w:outlineLvl w:val="2"/>
        <w:rPr>
          <w:rFonts w:ascii="宋体" w:hAnsi="宋体" w:eastAsia="宋体" w:cs="宋体"/>
          <w:sz w:val="24"/>
          <w:szCs w:val="24"/>
        </w:rPr>
      </w:pPr>
      <w:r>
        <w:rPr>
          <w:rFonts w:ascii="宋体" w:hAnsi="宋体" w:eastAsia="宋体" w:cs="宋体"/>
          <w:spacing w:val="-3"/>
          <w:sz w:val="24"/>
          <w:szCs w:val="24"/>
        </w:rPr>
        <w:t>（一）行次填报</w:t>
      </w:r>
    </w:p>
    <w:p w14:paraId="4D0A061D">
      <w:pPr>
        <w:spacing w:before="210" w:line="220" w:lineRule="auto"/>
        <w:ind w:left="498"/>
        <w:rPr>
          <w:rFonts w:ascii="宋体" w:hAnsi="宋体" w:eastAsia="宋体" w:cs="宋体"/>
          <w:sz w:val="24"/>
          <w:szCs w:val="24"/>
        </w:rPr>
      </w:pPr>
      <w:r>
        <w:rPr>
          <w:rFonts w:ascii="宋体" w:hAnsi="宋体" w:eastAsia="宋体" w:cs="宋体"/>
          <w:spacing w:val="-3"/>
          <w:sz w:val="24"/>
          <w:szCs w:val="24"/>
        </w:rPr>
        <w:t>1.第</w:t>
      </w:r>
      <w:r>
        <w:rPr>
          <w:rFonts w:ascii="宋体" w:hAnsi="宋体" w:eastAsia="宋体" w:cs="宋体"/>
          <w:spacing w:val="-33"/>
          <w:sz w:val="24"/>
          <w:szCs w:val="24"/>
        </w:rPr>
        <w:t xml:space="preserve"> </w:t>
      </w:r>
      <w:r>
        <w:rPr>
          <w:rFonts w:ascii="宋体" w:hAnsi="宋体" w:eastAsia="宋体" w:cs="宋体"/>
          <w:spacing w:val="-3"/>
          <w:sz w:val="24"/>
          <w:szCs w:val="24"/>
        </w:rPr>
        <w:t>1</w:t>
      </w:r>
      <w:r>
        <w:rPr>
          <w:rFonts w:ascii="宋体" w:hAnsi="宋体" w:eastAsia="宋体" w:cs="宋体"/>
          <w:spacing w:val="-47"/>
          <w:sz w:val="24"/>
          <w:szCs w:val="24"/>
        </w:rPr>
        <w:t xml:space="preserve"> </w:t>
      </w:r>
      <w:r>
        <w:rPr>
          <w:rFonts w:ascii="宋体" w:hAnsi="宋体" w:eastAsia="宋体" w:cs="宋体"/>
          <w:spacing w:val="-3"/>
          <w:sz w:val="24"/>
          <w:szCs w:val="24"/>
        </w:rPr>
        <w:t>行“一、债务重组</w:t>
      </w:r>
      <w:r>
        <w:rPr>
          <w:rFonts w:ascii="宋体" w:hAnsi="宋体" w:eastAsia="宋体" w:cs="宋体"/>
          <w:spacing w:val="-88"/>
          <w:sz w:val="24"/>
          <w:szCs w:val="24"/>
        </w:rPr>
        <w:t xml:space="preserve"> </w:t>
      </w:r>
      <w:r>
        <w:rPr>
          <w:rFonts w:ascii="宋体" w:hAnsi="宋体" w:eastAsia="宋体" w:cs="宋体"/>
          <w:spacing w:val="-3"/>
          <w:sz w:val="24"/>
          <w:szCs w:val="24"/>
        </w:rPr>
        <w:t>”：填报企业发生债务重组业务的</w:t>
      </w:r>
      <w:r>
        <w:rPr>
          <w:rFonts w:ascii="宋体" w:hAnsi="宋体" w:eastAsia="宋体" w:cs="宋体"/>
          <w:spacing w:val="-4"/>
          <w:sz w:val="24"/>
          <w:szCs w:val="24"/>
        </w:rPr>
        <w:t>相关金额。</w:t>
      </w:r>
    </w:p>
    <w:p w14:paraId="20EB4744">
      <w:pPr>
        <w:spacing w:before="212" w:line="369" w:lineRule="auto"/>
        <w:ind w:left="1" w:right="2" w:firstLine="481"/>
        <w:rPr>
          <w:rFonts w:ascii="宋体" w:hAnsi="宋体" w:eastAsia="宋体" w:cs="宋体"/>
          <w:sz w:val="24"/>
          <w:szCs w:val="24"/>
        </w:rPr>
      </w:pPr>
      <w:r>
        <w:rPr>
          <w:rFonts w:ascii="宋体" w:hAnsi="宋体" w:eastAsia="宋体" w:cs="宋体"/>
          <w:spacing w:val="-3"/>
          <w:sz w:val="24"/>
          <w:szCs w:val="24"/>
        </w:rPr>
        <w:t>2.第</w:t>
      </w:r>
      <w:r>
        <w:rPr>
          <w:rFonts w:ascii="宋体" w:hAnsi="宋体" w:eastAsia="宋体" w:cs="宋体"/>
          <w:spacing w:val="-47"/>
          <w:sz w:val="24"/>
          <w:szCs w:val="24"/>
        </w:rPr>
        <w:t xml:space="preserve"> </w:t>
      </w:r>
      <w:r>
        <w:rPr>
          <w:rFonts w:ascii="宋体" w:hAnsi="宋体" w:eastAsia="宋体" w:cs="宋体"/>
          <w:spacing w:val="-3"/>
          <w:sz w:val="24"/>
          <w:szCs w:val="24"/>
        </w:rPr>
        <w:t>2</w:t>
      </w:r>
      <w:r>
        <w:rPr>
          <w:rFonts w:ascii="宋体" w:hAnsi="宋体" w:eastAsia="宋体" w:cs="宋体"/>
          <w:spacing w:val="-47"/>
          <w:sz w:val="24"/>
          <w:szCs w:val="24"/>
        </w:rPr>
        <w:t xml:space="preserve"> </w:t>
      </w:r>
      <w:r>
        <w:rPr>
          <w:rFonts w:ascii="宋体" w:hAnsi="宋体" w:eastAsia="宋体" w:cs="宋体"/>
          <w:spacing w:val="-3"/>
          <w:sz w:val="24"/>
          <w:szCs w:val="24"/>
        </w:rPr>
        <w:t>行“其中：以非货币性资产清偿债务</w:t>
      </w:r>
      <w:r>
        <w:rPr>
          <w:rFonts w:ascii="宋体" w:hAnsi="宋体" w:eastAsia="宋体" w:cs="宋体"/>
          <w:spacing w:val="-86"/>
          <w:sz w:val="24"/>
          <w:szCs w:val="24"/>
        </w:rPr>
        <w:t xml:space="preserve"> </w:t>
      </w:r>
      <w:r>
        <w:rPr>
          <w:rFonts w:ascii="宋体" w:hAnsi="宋体" w:eastAsia="宋体" w:cs="宋体"/>
          <w:spacing w:val="-3"/>
          <w:sz w:val="24"/>
          <w:szCs w:val="24"/>
        </w:rPr>
        <w:t>”：填报企业</w:t>
      </w:r>
      <w:r>
        <w:rPr>
          <w:rFonts w:ascii="宋体" w:hAnsi="宋体" w:eastAsia="宋体" w:cs="宋体"/>
          <w:spacing w:val="-4"/>
          <w:sz w:val="24"/>
          <w:szCs w:val="24"/>
        </w:rPr>
        <w:t>发生以非货币性资产清偿</w:t>
      </w:r>
      <w:r>
        <w:rPr>
          <w:rFonts w:ascii="宋体" w:hAnsi="宋体" w:eastAsia="宋体" w:cs="宋体"/>
          <w:spacing w:val="-1"/>
          <w:sz w:val="24"/>
          <w:szCs w:val="24"/>
        </w:rPr>
        <w:t>债务的债务重组业务的相关金额。</w:t>
      </w:r>
    </w:p>
    <w:p w14:paraId="6F7D5C31">
      <w:pPr>
        <w:spacing w:before="36" w:line="369" w:lineRule="auto"/>
        <w:ind w:left="480" w:right="473" w:firstLine="5"/>
        <w:rPr>
          <w:rFonts w:ascii="宋体" w:hAnsi="宋体" w:eastAsia="宋体" w:cs="宋体"/>
          <w:sz w:val="24"/>
          <w:szCs w:val="24"/>
        </w:rPr>
      </w:pPr>
      <w:r>
        <w:rPr>
          <w:rFonts w:ascii="宋体" w:hAnsi="宋体" w:eastAsia="宋体" w:cs="宋体"/>
          <w:spacing w:val="-3"/>
          <w:sz w:val="24"/>
          <w:szCs w:val="24"/>
        </w:rPr>
        <w:t>3.第</w:t>
      </w:r>
      <w:r>
        <w:rPr>
          <w:rFonts w:ascii="宋体" w:hAnsi="宋体" w:eastAsia="宋体" w:cs="宋体"/>
          <w:spacing w:val="-46"/>
          <w:sz w:val="24"/>
          <w:szCs w:val="24"/>
        </w:rPr>
        <w:t xml:space="preserve"> </w:t>
      </w:r>
      <w:r>
        <w:rPr>
          <w:rFonts w:ascii="宋体" w:hAnsi="宋体" w:eastAsia="宋体" w:cs="宋体"/>
          <w:spacing w:val="-3"/>
          <w:sz w:val="24"/>
          <w:szCs w:val="24"/>
        </w:rPr>
        <w:t>3</w:t>
      </w:r>
      <w:r>
        <w:rPr>
          <w:rFonts w:ascii="宋体" w:hAnsi="宋体" w:eastAsia="宋体" w:cs="宋体"/>
          <w:spacing w:val="-46"/>
          <w:sz w:val="24"/>
          <w:szCs w:val="24"/>
        </w:rPr>
        <w:t xml:space="preserve"> </w:t>
      </w:r>
      <w:r>
        <w:rPr>
          <w:rFonts w:ascii="宋体" w:hAnsi="宋体" w:eastAsia="宋体" w:cs="宋体"/>
          <w:spacing w:val="-3"/>
          <w:sz w:val="24"/>
          <w:szCs w:val="24"/>
        </w:rPr>
        <w:t>行“债转股</w:t>
      </w:r>
      <w:r>
        <w:rPr>
          <w:rFonts w:ascii="宋体" w:hAnsi="宋体" w:eastAsia="宋体" w:cs="宋体"/>
          <w:spacing w:val="-89"/>
          <w:sz w:val="24"/>
          <w:szCs w:val="24"/>
        </w:rPr>
        <w:t xml:space="preserve"> </w:t>
      </w:r>
      <w:r>
        <w:rPr>
          <w:rFonts w:ascii="宋体" w:hAnsi="宋体" w:eastAsia="宋体" w:cs="宋体"/>
          <w:spacing w:val="-3"/>
          <w:sz w:val="24"/>
          <w:szCs w:val="24"/>
        </w:rPr>
        <w:t>”：填报企业发生债权转股权的债务重</w:t>
      </w:r>
      <w:r>
        <w:rPr>
          <w:rFonts w:ascii="宋体" w:hAnsi="宋体" w:eastAsia="宋体" w:cs="宋体"/>
          <w:spacing w:val="-4"/>
          <w:sz w:val="24"/>
          <w:szCs w:val="24"/>
        </w:rPr>
        <w:t>组业务的相关金额。</w:t>
      </w:r>
      <w:r>
        <w:rPr>
          <w:rFonts w:ascii="宋体" w:hAnsi="宋体" w:eastAsia="宋体" w:cs="宋体"/>
          <w:sz w:val="24"/>
          <w:szCs w:val="24"/>
        </w:rPr>
        <w:t xml:space="preserve"> </w:t>
      </w:r>
    </w:p>
    <w:p w14:paraId="4AFF93D7">
      <w:pPr>
        <w:spacing w:before="36" w:line="369" w:lineRule="auto"/>
        <w:ind w:left="480" w:right="473" w:firstLine="5"/>
        <w:rPr>
          <w:rFonts w:ascii="宋体" w:hAnsi="宋体" w:eastAsia="宋体" w:cs="宋体"/>
          <w:sz w:val="24"/>
          <w:szCs w:val="24"/>
        </w:rPr>
      </w:pPr>
      <w:r>
        <w:rPr>
          <w:rFonts w:ascii="宋体" w:hAnsi="宋体" w:eastAsia="宋体" w:cs="宋体"/>
          <w:spacing w:val="-2"/>
          <w:sz w:val="24"/>
          <w:szCs w:val="24"/>
        </w:rPr>
        <w:t>4.第</w:t>
      </w:r>
      <w:r>
        <w:rPr>
          <w:rFonts w:ascii="宋体" w:hAnsi="宋体" w:eastAsia="宋体" w:cs="宋体"/>
          <w:spacing w:val="-47"/>
          <w:sz w:val="24"/>
          <w:szCs w:val="24"/>
        </w:rPr>
        <w:t xml:space="preserve"> </w:t>
      </w:r>
      <w:r>
        <w:rPr>
          <w:rFonts w:ascii="宋体" w:hAnsi="宋体" w:eastAsia="宋体" w:cs="宋体"/>
          <w:spacing w:val="-2"/>
          <w:sz w:val="24"/>
          <w:szCs w:val="24"/>
        </w:rPr>
        <w:t>4</w:t>
      </w:r>
      <w:r>
        <w:rPr>
          <w:rFonts w:ascii="宋体" w:hAnsi="宋体" w:eastAsia="宋体" w:cs="宋体"/>
          <w:spacing w:val="-47"/>
          <w:sz w:val="24"/>
          <w:szCs w:val="24"/>
        </w:rPr>
        <w:t xml:space="preserve"> </w:t>
      </w:r>
      <w:r>
        <w:rPr>
          <w:rFonts w:ascii="宋体" w:hAnsi="宋体" w:eastAsia="宋体" w:cs="宋体"/>
          <w:spacing w:val="-2"/>
          <w:sz w:val="24"/>
          <w:szCs w:val="24"/>
        </w:rPr>
        <w:t>行“二、股权收购</w:t>
      </w:r>
      <w:r>
        <w:rPr>
          <w:rFonts w:ascii="宋体" w:hAnsi="宋体" w:eastAsia="宋体" w:cs="宋体"/>
          <w:spacing w:val="-88"/>
          <w:sz w:val="24"/>
          <w:szCs w:val="24"/>
        </w:rPr>
        <w:t xml:space="preserve"> </w:t>
      </w:r>
      <w:r>
        <w:rPr>
          <w:rFonts w:ascii="宋体" w:hAnsi="宋体" w:eastAsia="宋体" w:cs="宋体"/>
          <w:spacing w:val="-2"/>
          <w:sz w:val="24"/>
          <w:szCs w:val="24"/>
        </w:rPr>
        <w:t>”：填报企业发生股权收购重组业务的相关金额。</w:t>
      </w:r>
    </w:p>
    <w:p w14:paraId="0F205DE5">
      <w:pPr>
        <w:spacing w:before="37" w:line="369" w:lineRule="auto"/>
        <w:ind w:left="2" w:right="2" w:firstLine="482"/>
        <w:rPr>
          <w:rFonts w:ascii="宋体" w:hAnsi="宋体" w:eastAsia="宋体" w:cs="宋体"/>
          <w:sz w:val="24"/>
          <w:szCs w:val="24"/>
        </w:rPr>
      </w:pPr>
      <w:r>
        <w:rPr>
          <w:rFonts w:ascii="宋体" w:hAnsi="宋体" w:eastAsia="宋体" w:cs="宋体"/>
          <w:spacing w:val="-3"/>
          <w:sz w:val="24"/>
          <w:szCs w:val="24"/>
        </w:rPr>
        <w:t>5.第</w:t>
      </w:r>
      <w:r>
        <w:rPr>
          <w:rFonts w:ascii="宋体" w:hAnsi="宋体" w:eastAsia="宋体" w:cs="宋体"/>
          <w:spacing w:val="-46"/>
          <w:sz w:val="24"/>
          <w:szCs w:val="24"/>
        </w:rPr>
        <w:t xml:space="preserve"> </w:t>
      </w:r>
      <w:r>
        <w:rPr>
          <w:rFonts w:ascii="宋体" w:hAnsi="宋体" w:eastAsia="宋体" w:cs="宋体"/>
          <w:spacing w:val="-3"/>
          <w:sz w:val="24"/>
          <w:szCs w:val="24"/>
        </w:rPr>
        <w:t>5</w:t>
      </w:r>
      <w:r>
        <w:rPr>
          <w:rFonts w:ascii="宋体" w:hAnsi="宋体" w:eastAsia="宋体" w:cs="宋体"/>
          <w:spacing w:val="-47"/>
          <w:sz w:val="24"/>
          <w:szCs w:val="24"/>
        </w:rPr>
        <w:t xml:space="preserve"> </w:t>
      </w:r>
      <w:r>
        <w:rPr>
          <w:rFonts w:ascii="宋体" w:hAnsi="宋体" w:eastAsia="宋体" w:cs="宋体"/>
          <w:spacing w:val="-3"/>
          <w:sz w:val="24"/>
          <w:szCs w:val="24"/>
        </w:rPr>
        <w:t>行“其中：涉及跨境重组的股权收购</w:t>
      </w:r>
      <w:r>
        <w:rPr>
          <w:rFonts w:ascii="宋体" w:hAnsi="宋体" w:eastAsia="宋体" w:cs="宋体"/>
          <w:spacing w:val="-86"/>
          <w:sz w:val="24"/>
          <w:szCs w:val="24"/>
        </w:rPr>
        <w:t xml:space="preserve"> </w:t>
      </w:r>
      <w:r>
        <w:rPr>
          <w:rFonts w:ascii="宋体" w:hAnsi="宋体" w:eastAsia="宋体" w:cs="宋体"/>
          <w:spacing w:val="-3"/>
          <w:sz w:val="24"/>
          <w:szCs w:val="24"/>
        </w:rPr>
        <w:t>”：填</w:t>
      </w:r>
      <w:r>
        <w:rPr>
          <w:rFonts w:ascii="宋体" w:hAnsi="宋体" w:eastAsia="宋体" w:cs="宋体"/>
          <w:spacing w:val="-4"/>
          <w:sz w:val="24"/>
          <w:szCs w:val="24"/>
        </w:rPr>
        <w:t>报企业发生涉及中国境内与境外</w:t>
      </w:r>
      <w:r>
        <w:rPr>
          <w:rFonts w:ascii="宋体" w:hAnsi="宋体" w:eastAsia="宋体" w:cs="宋体"/>
          <w:sz w:val="24"/>
          <w:szCs w:val="24"/>
        </w:rPr>
        <w:t>之间、内地与港澳之间、大陆与台湾地区之间的股权收</w:t>
      </w:r>
      <w:r>
        <w:rPr>
          <w:rFonts w:ascii="宋体" w:hAnsi="宋体" w:eastAsia="宋体" w:cs="宋体"/>
          <w:spacing w:val="-1"/>
          <w:sz w:val="24"/>
          <w:szCs w:val="24"/>
        </w:rPr>
        <w:t>购交易重组业务的相关金额。</w:t>
      </w:r>
    </w:p>
    <w:p w14:paraId="7EE190A2">
      <w:pPr>
        <w:spacing w:before="37" w:line="220" w:lineRule="auto"/>
        <w:ind w:left="482"/>
        <w:rPr>
          <w:rFonts w:ascii="宋体" w:hAnsi="宋体" w:eastAsia="宋体" w:cs="宋体"/>
          <w:sz w:val="24"/>
          <w:szCs w:val="24"/>
        </w:rPr>
      </w:pPr>
      <w:r>
        <w:rPr>
          <w:rFonts w:ascii="宋体" w:hAnsi="宋体" w:eastAsia="宋体" w:cs="宋体"/>
          <w:spacing w:val="-2"/>
          <w:sz w:val="24"/>
          <w:szCs w:val="24"/>
        </w:rPr>
        <w:t>6.第</w:t>
      </w:r>
      <w:r>
        <w:rPr>
          <w:rFonts w:ascii="宋体" w:hAnsi="宋体" w:eastAsia="宋体" w:cs="宋体"/>
          <w:spacing w:val="-49"/>
          <w:sz w:val="24"/>
          <w:szCs w:val="24"/>
        </w:rPr>
        <w:t xml:space="preserve"> </w:t>
      </w:r>
      <w:r>
        <w:rPr>
          <w:rFonts w:ascii="宋体" w:hAnsi="宋体" w:eastAsia="宋体" w:cs="宋体"/>
          <w:spacing w:val="-2"/>
          <w:sz w:val="24"/>
          <w:szCs w:val="24"/>
        </w:rPr>
        <w:t>6</w:t>
      </w:r>
      <w:r>
        <w:rPr>
          <w:rFonts w:ascii="宋体" w:hAnsi="宋体" w:eastAsia="宋体" w:cs="宋体"/>
          <w:spacing w:val="-47"/>
          <w:sz w:val="24"/>
          <w:szCs w:val="24"/>
        </w:rPr>
        <w:t xml:space="preserve"> </w:t>
      </w:r>
      <w:r>
        <w:rPr>
          <w:rFonts w:ascii="宋体" w:hAnsi="宋体" w:eastAsia="宋体" w:cs="宋体"/>
          <w:spacing w:val="-2"/>
          <w:sz w:val="24"/>
          <w:szCs w:val="24"/>
        </w:rPr>
        <w:t>行“三、资产收购</w:t>
      </w:r>
      <w:r>
        <w:rPr>
          <w:rFonts w:ascii="宋体" w:hAnsi="宋体" w:eastAsia="宋体" w:cs="宋体"/>
          <w:spacing w:val="-89"/>
          <w:sz w:val="24"/>
          <w:szCs w:val="24"/>
        </w:rPr>
        <w:t xml:space="preserve"> </w:t>
      </w:r>
      <w:r>
        <w:rPr>
          <w:rFonts w:ascii="宋体" w:hAnsi="宋体" w:eastAsia="宋体" w:cs="宋体"/>
          <w:spacing w:val="-2"/>
          <w:sz w:val="24"/>
          <w:szCs w:val="24"/>
        </w:rPr>
        <w:t>”：填报企业发生资产收购重组业务的相关金额。</w:t>
      </w:r>
    </w:p>
    <w:p w14:paraId="7EEA5298">
      <w:pPr>
        <w:spacing w:before="210" w:line="371" w:lineRule="auto"/>
        <w:ind w:left="2" w:right="2" w:firstLine="483"/>
        <w:rPr>
          <w:rFonts w:ascii="宋体" w:hAnsi="宋体" w:eastAsia="宋体" w:cs="宋体"/>
          <w:sz w:val="24"/>
          <w:szCs w:val="24"/>
        </w:rPr>
      </w:pPr>
      <w:r>
        <w:rPr>
          <w:rFonts w:ascii="宋体" w:hAnsi="宋体" w:eastAsia="宋体" w:cs="宋体"/>
          <w:spacing w:val="-3"/>
          <w:sz w:val="24"/>
          <w:szCs w:val="24"/>
        </w:rPr>
        <w:t>7.第</w:t>
      </w:r>
      <w:r>
        <w:rPr>
          <w:rFonts w:ascii="宋体" w:hAnsi="宋体" w:eastAsia="宋体" w:cs="宋体"/>
          <w:spacing w:val="-45"/>
          <w:sz w:val="24"/>
          <w:szCs w:val="24"/>
        </w:rPr>
        <w:t xml:space="preserve"> </w:t>
      </w:r>
      <w:r>
        <w:rPr>
          <w:rFonts w:ascii="宋体" w:hAnsi="宋体" w:eastAsia="宋体" w:cs="宋体"/>
          <w:spacing w:val="-3"/>
          <w:sz w:val="24"/>
          <w:szCs w:val="24"/>
        </w:rPr>
        <w:t>7</w:t>
      </w:r>
      <w:r>
        <w:rPr>
          <w:rFonts w:ascii="宋体" w:hAnsi="宋体" w:eastAsia="宋体" w:cs="宋体"/>
          <w:spacing w:val="-47"/>
          <w:sz w:val="24"/>
          <w:szCs w:val="24"/>
        </w:rPr>
        <w:t xml:space="preserve"> </w:t>
      </w:r>
      <w:r>
        <w:rPr>
          <w:rFonts w:ascii="宋体" w:hAnsi="宋体" w:eastAsia="宋体" w:cs="宋体"/>
          <w:spacing w:val="-3"/>
          <w:sz w:val="24"/>
          <w:szCs w:val="24"/>
        </w:rPr>
        <w:t>行“其中：涉及跨境重组的资产收购</w:t>
      </w:r>
      <w:r>
        <w:rPr>
          <w:rFonts w:ascii="宋体" w:hAnsi="宋体" w:eastAsia="宋体" w:cs="宋体"/>
          <w:spacing w:val="-86"/>
          <w:sz w:val="24"/>
          <w:szCs w:val="24"/>
        </w:rPr>
        <w:t xml:space="preserve"> </w:t>
      </w:r>
      <w:r>
        <w:rPr>
          <w:rFonts w:ascii="宋体" w:hAnsi="宋体" w:eastAsia="宋体" w:cs="宋体"/>
          <w:spacing w:val="-3"/>
          <w:sz w:val="24"/>
          <w:szCs w:val="24"/>
        </w:rPr>
        <w:t>”</w:t>
      </w:r>
      <w:r>
        <w:rPr>
          <w:rFonts w:ascii="宋体" w:hAnsi="宋体" w:eastAsia="宋体" w:cs="宋体"/>
          <w:spacing w:val="-4"/>
          <w:sz w:val="24"/>
          <w:szCs w:val="24"/>
        </w:rPr>
        <w:t>：填报企业发生涉及中国境内与境外</w:t>
      </w:r>
      <w:r>
        <w:rPr>
          <w:rFonts w:ascii="宋体" w:hAnsi="宋体" w:eastAsia="宋体" w:cs="宋体"/>
          <w:sz w:val="24"/>
          <w:szCs w:val="24"/>
        </w:rPr>
        <w:t>之间、内地与港澳之间、大陆与台湾地区之间的资产收</w:t>
      </w:r>
      <w:r>
        <w:rPr>
          <w:rFonts w:ascii="宋体" w:hAnsi="宋体" w:eastAsia="宋体" w:cs="宋体"/>
          <w:spacing w:val="-1"/>
          <w:sz w:val="24"/>
          <w:szCs w:val="24"/>
        </w:rPr>
        <w:t>购交易重组业务的相关金额。</w:t>
      </w:r>
    </w:p>
    <w:p w14:paraId="57A5006A">
      <w:pPr>
        <w:spacing w:before="32" w:line="220" w:lineRule="auto"/>
        <w:ind w:left="481"/>
        <w:rPr>
          <w:rFonts w:ascii="宋体" w:hAnsi="宋体" w:eastAsia="宋体" w:cs="宋体"/>
          <w:sz w:val="24"/>
          <w:szCs w:val="24"/>
        </w:rPr>
      </w:pPr>
      <w:r>
        <w:rPr>
          <w:rFonts w:ascii="宋体" w:hAnsi="宋体" w:eastAsia="宋体" w:cs="宋体"/>
          <w:spacing w:val="-6"/>
          <w:sz w:val="24"/>
          <w:szCs w:val="24"/>
        </w:rPr>
        <w:t>8.第</w:t>
      </w:r>
      <w:r>
        <w:rPr>
          <w:rFonts w:ascii="宋体" w:hAnsi="宋体" w:eastAsia="宋体" w:cs="宋体"/>
          <w:spacing w:val="-33"/>
          <w:sz w:val="24"/>
          <w:szCs w:val="24"/>
        </w:rPr>
        <w:t xml:space="preserve"> </w:t>
      </w:r>
      <w:r>
        <w:rPr>
          <w:rFonts w:ascii="宋体" w:hAnsi="宋体" w:eastAsia="宋体" w:cs="宋体"/>
          <w:spacing w:val="-6"/>
          <w:sz w:val="24"/>
          <w:szCs w:val="24"/>
        </w:rPr>
        <w:t>8</w:t>
      </w:r>
      <w:r>
        <w:rPr>
          <w:rFonts w:ascii="宋体" w:hAnsi="宋体" w:eastAsia="宋体" w:cs="宋体"/>
          <w:spacing w:val="-46"/>
          <w:sz w:val="24"/>
          <w:szCs w:val="24"/>
        </w:rPr>
        <w:t xml:space="preserve"> </w:t>
      </w:r>
      <w:r>
        <w:rPr>
          <w:rFonts w:ascii="宋体" w:hAnsi="宋体" w:eastAsia="宋体" w:cs="宋体"/>
          <w:spacing w:val="-6"/>
          <w:sz w:val="24"/>
          <w:szCs w:val="24"/>
        </w:rPr>
        <w:t>行“</w:t>
      </w:r>
      <w:r>
        <w:rPr>
          <w:rFonts w:ascii="宋体" w:hAnsi="宋体" w:eastAsia="宋体" w:cs="宋体"/>
          <w:spacing w:val="-89"/>
          <w:sz w:val="24"/>
          <w:szCs w:val="24"/>
        </w:rPr>
        <w:t xml:space="preserve"> </w:t>
      </w:r>
      <w:r>
        <w:rPr>
          <w:rFonts w:ascii="宋体" w:hAnsi="宋体" w:eastAsia="宋体" w:cs="宋体"/>
          <w:spacing w:val="-6"/>
          <w:sz w:val="24"/>
          <w:szCs w:val="24"/>
        </w:rPr>
        <w:t>四、企业合并</w:t>
      </w:r>
      <w:r>
        <w:rPr>
          <w:rFonts w:ascii="宋体" w:hAnsi="宋体" w:eastAsia="宋体" w:cs="宋体"/>
          <w:spacing w:val="-88"/>
          <w:sz w:val="24"/>
          <w:szCs w:val="24"/>
        </w:rPr>
        <w:t xml:space="preserve"> </w:t>
      </w:r>
      <w:r>
        <w:rPr>
          <w:rFonts w:ascii="宋体" w:hAnsi="宋体" w:eastAsia="宋体" w:cs="宋体"/>
          <w:spacing w:val="-6"/>
          <w:sz w:val="24"/>
          <w:szCs w:val="24"/>
        </w:rPr>
        <w:t>”：填报第</w:t>
      </w:r>
      <w:r>
        <w:rPr>
          <w:rFonts w:ascii="宋体" w:hAnsi="宋体" w:eastAsia="宋体" w:cs="宋体"/>
          <w:spacing w:val="-49"/>
          <w:sz w:val="24"/>
          <w:szCs w:val="24"/>
        </w:rPr>
        <w:t xml:space="preserve"> </w:t>
      </w:r>
      <w:r>
        <w:rPr>
          <w:rFonts w:ascii="宋体" w:hAnsi="宋体" w:eastAsia="宋体" w:cs="宋体"/>
          <w:spacing w:val="-6"/>
          <w:sz w:val="24"/>
          <w:szCs w:val="24"/>
        </w:rPr>
        <w:t>9</w:t>
      </w:r>
      <w:r>
        <w:rPr>
          <w:rFonts w:ascii="宋体" w:hAnsi="宋体" w:eastAsia="宋体" w:cs="宋体"/>
          <w:spacing w:val="-47"/>
          <w:sz w:val="24"/>
          <w:szCs w:val="24"/>
        </w:rPr>
        <w:t xml:space="preserve"> </w:t>
      </w:r>
      <w:r>
        <w:rPr>
          <w:rFonts w:ascii="宋体" w:hAnsi="宋体" w:eastAsia="宋体" w:cs="宋体"/>
          <w:spacing w:val="-6"/>
          <w:sz w:val="24"/>
          <w:szCs w:val="24"/>
        </w:rPr>
        <w:t>行和第</w:t>
      </w:r>
      <w:r>
        <w:rPr>
          <w:rFonts w:ascii="宋体" w:hAnsi="宋体" w:eastAsia="宋体" w:cs="宋体"/>
          <w:spacing w:val="-33"/>
          <w:sz w:val="24"/>
          <w:szCs w:val="24"/>
        </w:rPr>
        <w:t xml:space="preserve"> </w:t>
      </w:r>
      <w:r>
        <w:rPr>
          <w:rFonts w:ascii="宋体" w:hAnsi="宋体" w:eastAsia="宋体" w:cs="宋体"/>
          <w:spacing w:val="-6"/>
          <w:sz w:val="24"/>
          <w:szCs w:val="24"/>
        </w:rPr>
        <w:t>10</w:t>
      </w:r>
      <w:r>
        <w:rPr>
          <w:rFonts w:ascii="宋体" w:hAnsi="宋体" w:eastAsia="宋体" w:cs="宋体"/>
          <w:spacing w:val="-47"/>
          <w:sz w:val="24"/>
          <w:szCs w:val="24"/>
        </w:rPr>
        <w:t xml:space="preserve"> </w:t>
      </w:r>
      <w:r>
        <w:rPr>
          <w:rFonts w:ascii="宋体" w:hAnsi="宋体" w:eastAsia="宋体" w:cs="宋体"/>
          <w:spacing w:val="-6"/>
          <w:sz w:val="24"/>
          <w:szCs w:val="24"/>
        </w:rPr>
        <w:t>行的合计金额。</w:t>
      </w:r>
    </w:p>
    <w:p w14:paraId="09F3AA15">
      <w:pPr>
        <w:spacing w:before="213" w:line="369" w:lineRule="auto"/>
        <w:ind w:right="2" w:firstLine="481"/>
        <w:rPr>
          <w:rFonts w:ascii="宋体" w:hAnsi="宋体" w:eastAsia="宋体" w:cs="宋体"/>
          <w:sz w:val="24"/>
          <w:szCs w:val="24"/>
        </w:rPr>
      </w:pPr>
      <w:r>
        <w:rPr>
          <w:rFonts w:ascii="宋体" w:hAnsi="宋体" w:eastAsia="宋体" w:cs="宋体"/>
          <w:spacing w:val="-3"/>
          <w:sz w:val="24"/>
          <w:szCs w:val="24"/>
        </w:rPr>
        <w:t>9.第</w:t>
      </w:r>
      <w:r>
        <w:rPr>
          <w:rFonts w:ascii="宋体" w:hAnsi="宋体" w:eastAsia="宋体" w:cs="宋体"/>
          <w:spacing w:val="-50"/>
          <w:sz w:val="24"/>
          <w:szCs w:val="24"/>
        </w:rPr>
        <w:t xml:space="preserve"> </w:t>
      </w:r>
      <w:r>
        <w:rPr>
          <w:rFonts w:ascii="宋体" w:hAnsi="宋体" w:eastAsia="宋体" w:cs="宋体"/>
          <w:spacing w:val="-3"/>
          <w:sz w:val="24"/>
          <w:szCs w:val="24"/>
        </w:rPr>
        <w:t>9</w:t>
      </w:r>
      <w:r>
        <w:rPr>
          <w:rFonts w:ascii="宋体" w:hAnsi="宋体" w:eastAsia="宋体" w:cs="宋体"/>
          <w:spacing w:val="-47"/>
          <w:sz w:val="24"/>
          <w:szCs w:val="24"/>
        </w:rPr>
        <w:t xml:space="preserve"> </w:t>
      </w:r>
      <w:r>
        <w:rPr>
          <w:rFonts w:ascii="宋体" w:hAnsi="宋体" w:eastAsia="宋体" w:cs="宋体"/>
          <w:spacing w:val="-3"/>
          <w:sz w:val="24"/>
          <w:szCs w:val="24"/>
        </w:rPr>
        <w:t>行“（一）同一控制下企业合并</w:t>
      </w:r>
      <w:r>
        <w:rPr>
          <w:rFonts w:ascii="宋体" w:hAnsi="宋体" w:eastAsia="宋体" w:cs="宋体"/>
          <w:spacing w:val="-88"/>
          <w:sz w:val="24"/>
          <w:szCs w:val="24"/>
        </w:rPr>
        <w:t xml:space="preserve"> </w:t>
      </w:r>
      <w:r>
        <w:rPr>
          <w:rFonts w:ascii="宋体" w:hAnsi="宋体" w:eastAsia="宋体" w:cs="宋体"/>
          <w:spacing w:val="-3"/>
          <w:sz w:val="24"/>
          <w:szCs w:val="24"/>
        </w:rPr>
        <w:t>”：填报企业发生同一控制下企业</w:t>
      </w:r>
      <w:r>
        <w:rPr>
          <w:rFonts w:ascii="宋体" w:hAnsi="宋体" w:eastAsia="宋体" w:cs="宋体"/>
          <w:spacing w:val="-4"/>
          <w:sz w:val="24"/>
          <w:szCs w:val="24"/>
        </w:rPr>
        <w:t>合并重组</w:t>
      </w:r>
      <w:r>
        <w:rPr>
          <w:rFonts w:ascii="宋体" w:hAnsi="宋体" w:eastAsia="宋体" w:cs="宋体"/>
          <w:spacing w:val="-2"/>
          <w:sz w:val="24"/>
          <w:szCs w:val="24"/>
        </w:rPr>
        <w:t>业务的相关金额。</w:t>
      </w:r>
    </w:p>
    <w:p w14:paraId="2829E67F">
      <w:pPr>
        <w:spacing w:before="36" w:line="369" w:lineRule="auto"/>
        <w:ind w:left="6" w:right="2" w:firstLine="492"/>
        <w:rPr>
          <w:rFonts w:ascii="宋体" w:hAnsi="宋体" w:eastAsia="宋体" w:cs="宋体"/>
          <w:sz w:val="24"/>
          <w:szCs w:val="24"/>
        </w:rPr>
      </w:pPr>
      <w:r>
        <w:rPr>
          <w:rFonts w:ascii="宋体" w:hAnsi="宋体" w:eastAsia="宋体" w:cs="宋体"/>
          <w:spacing w:val="-4"/>
          <w:sz w:val="24"/>
          <w:szCs w:val="24"/>
        </w:rPr>
        <w:t>10.第</w:t>
      </w:r>
      <w:r>
        <w:rPr>
          <w:rFonts w:ascii="宋体" w:hAnsi="宋体" w:eastAsia="宋体" w:cs="宋体"/>
          <w:spacing w:val="-30"/>
          <w:sz w:val="24"/>
          <w:szCs w:val="24"/>
        </w:rPr>
        <w:t xml:space="preserve"> </w:t>
      </w:r>
      <w:r>
        <w:rPr>
          <w:rFonts w:ascii="宋体" w:hAnsi="宋体" w:eastAsia="宋体" w:cs="宋体"/>
          <w:spacing w:val="-4"/>
          <w:sz w:val="24"/>
          <w:szCs w:val="24"/>
        </w:rPr>
        <w:t>10</w:t>
      </w:r>
      <w:r>
        <w:rPr>
          <w:rFonts w:ascii="宋体" w:hAnsi="宋体" w:eastAsia="宋体" w:cs="宋体"/>
          <w:spacing w:val="-47"/>
          <w:sz w:val="24"/>
          <w:szCs w:val="24"/>
        </w:rPr>
        <w:t xml:space="preserve"> </w:t>
      </w:r>
      <w:r>
        <w:rPr>
          <w:rFonts w:ascii="宋体" w:hAnsi="宋体" w:eastAsia="宋体" w:cs="宋体"/>
          <w:spacing w:val="-4"/>
          <w:sz w:val="24"/>
          <w:szCs w:val="24"/>
        </w:rPr>
        <w:t>行“（二）非同一控制下企业合并</w:t>
      </w:r>
      <w:r>
        <w:rPr>
          <w:rFonts w:ascii="宋体" w:hAnsi="宋体" w:eastAsia="宋体" w:cs="宋体"/>
          <w:spacing w:val="-88"/>
          <w:sz w:val="24"/>
          <w:szCs w:val="24"/>
        </w:rPr>
        <w:t xml:space="preserve"> </w:t>
      </w:r>
      <w:r>
        <w:rPr>
          <w:rFonts w:ascii="宋体" w:hAnsi="宋体" w:eastAsia="宋体" w:cs="宋体"/>
          <w:spacing w:val="-4"/>
          <w:sz w:val="24"/>
          <w:szCs w:val="24"/>
        </w:rPr>
        <w:t>”：填报企业发生非同一控制下企业合</w:t>
      </w:r>
      <w:r>
        <w:rPr>
          <w:rFonts w:ascii="宋体" w:hAnsi="宋体" w:eastAsia="宋体" w:cs="宋体"/>
          <w:spacing w:val="-2"/>
          <w:sz w:val="24"/>
          <w:szCs w:val="24"/>
        </w:rPr>
        <w:t>并重组业务的相关金额。</w:t>
      </w:r>
    </w:p>
    <w:p w14:paraId="2A1A39F9">
      <w:pPr>
        <w:spacing w:before="37" w:line="369" w:lineRule="auto"/>
        <w:ind w:left="4" w:firstLine="493"/>
        <w:rPr>
          <w:rFonts w:ascii="宋体" w:hAnsi="宋体" w:eastAsia="宋体" w:cs="宋体"/>
          <w:sz w:val="24"/>
          <w:szCs w:val="24"/>
        </w:rPr>
      </w:pPr>
      <w:r>
        <w:rPr>
          <w:rFonts w:ascii="宋体" w:hAnsi="宋体" w:eastAsia="宋体" w:cs="宋体"/>
          <w:spacing w:val="-4"/>
          <w:sz w:val="24"/>
          <w:szCs w:val="24"/>
        </w:rPr>
        <w:t>11.第</w:t>
      </w:r>
      <w:r>
        <w:rPr>
          <w:rFonts w:ascii="宋体" w:hAnsi="宋体" w:eastAsia="宋体" w:cs="宋体"/>
          <w:spacing w:val="-27"/>
          <w:sz w:val="24"/>
          <w:szCs w:val="24"/>
        </w:rPr>
        <w:t xml:space="preserve"> </w:t>
      </w:r>
      <w:r>
        <w:rPr>
          <w:rFonts w:ascii="宋体" w:hAnsi="宋体" w:eastAsia="宋体" w:cs="宋体"/>
          <w:spacing w:val="-4"/>
          <w:sz w:val="24"/>
          <w:szCs w:val="24"/>
        </w:rPr>
        <w:t>11</w:t>
      </w:r>
      <w:r>
        <w:rPr>
          <w:rFonts w:ascii="宋体" w:hAnsi="宋体" w:eastAsia="宋体" w:cs="宋体"/>
          <w:spacing w:val="-47"/>
          <w:sz w:val="24"/>
          <w:szCs w:val="24"/>
        </w:rPr>
        <w:t xml:space="preserve"> </w:t>
      </w:r>
      <w:r>
        <w:rPr>
          <w:rFonts w:ascii="宋体" w:hAnsi="宋体" w:eastAsia="宋体" w:cs="宋体"/>
          <w:spacing w:val="-4"/>
          <w:sz w:val="24"/>
          <w:szCs w:val="24"/>
        </w:rPr>
        <w:t>行“五、企业分立</w:t>
      </w:r>
      <w:r>
        <w:rPr>
          <w:rFonts w:ascii="宋体" w:hAnsi="宋体" w:eastAsia="宋体" w:cs="宋体"/>
          <w:spacing w:val="-88"/>
          <w:sz w:val="24"/>
          <w:szCs w:val="24"/>
        </w:rPr>
        <w:t xml:space="preserve"> </w:t>
      </w:r>
      <w:r>
        <w:rPr>
          <w:rFonts w:ascii="宋体" w:hAnsi="宋体" w:eastAsia="宋体" w:cs="宋体"/>
          <w:spacing w:val="-4"/>
          <w:sz w:val="24"/>
          <w:szCs w:val="24"/>
        </w:rPr>
        <w:t>”：填报企业发生非同一控制下企业分立重组业务的相关金额。</w:t>
      </w:r>
    </w:p>
    <w:p w14:paraId="733DAC2E">
      <w:pPr>
        <w:spacing w:before="35" w:line="378" w:lineRule="auto"/>
        <w:ind w:left="1" w:firstLine="496"/>
        <w:jc w:val="both"/>
        <w:rPr>
          <w:rFonts w:ascii="宋体" w:hAnsi="宋体" w:eastAsia="宋体" w:cs="宋体"/>
          <w:spacing w:val="-4"/>
          <w:sz w:val="24"/>
          <w:szCs w:val="24"/>
        </w:rPr>
      </w:pPr>
      <w:r>
        <w:rPr>
          <w:rFonts w:ascii="宋体" w:hAnsi="宋体" w:eastAsia="宋体" w:cs="宋体"/>
          <w:spacing w:val="-4"/>
          <w:sz w:val="24"/>
          <w:szCs w:val="24"/>
        </w:rPr>
        <w:t>12.第</w:t>
      </w:r>
      <w:r>
        <w:rPr>
          <w:rFonts w:ascii="宋体" w:hAnsi="宋体" w:eastAsia="宋体" w:cs="宋体"/>
          <w:spacing w:val="-30"/>
          <w:sz w:val="24"/>
          <w:szCs w:val="24"/>
        </w:rPr>
        <w:t xml:space="preserve"> </w:t>
      </w:r>
      <w:r>
        <w:rPr>
          <w:rFonts w:ascii="宋体" w:hAnsi="宋体" w:eastAsia="宋体" w:cs="宋体"/>
          <w:spacing w:val="-4"/>
          <w:sz w:val="24"/>
          <w:szCs w:val="24"/>
        </w:rPr>
        <w:t>12</w:t>
      </w:r>
      <w:r>
        <w:rPr>
          <w:rFonts w:ascii="宋体" w:hAnsi="宋体" w:eastAsia="宋体" w:cs="宋体"/>
          <w:spacing w:val="-47"/>
          <w:sz w:val="24"/>
          <w:szCs w:val="24"/>
        </w:rPr>
        <w:t xml:space="preserve"> </w:t>
      </w:r>
      <w:r>
        <w:rPr>
          <w:rFonts w:ascii="宋体" w:hAnsi="宋体" w:eastAsia="宋体" w:cs="宋体"/>
          <w:spacing w:val="-4"/>
          <w:sz w:val="24"/>
          <w:szCs w:val="24"/>
        </w:rPr>
        <w:t>行“六、非货币性资产对外投资</w:t>
      </w:r>
      <w:r>
        <w:rPr>
          <w:rFonts w:ascii="宋体" w:hAnsi="宋体" w:eastAsia="宋体" w:cs="宋体"/>
          <w:spacing w:val="-85"/>
          <w:sz w:val="24"/>
          <w:szCs w:val="24"/>
        </w:rPr>
        <w:t xml:space="preserve"> </w:t>
      </w:r>
      <w:r>
        <w:rPr>
          <w:rFonts w:ascii="宋体" w:hAnsi="宋体" w:eastAsia="宋体" w:cs="宋体"/>
          <w:spacing w:val="-4"/>
          <w:sz w:val="24"/>
          <w:szCs w:val="24"/>
        </w:rPr>
        <w:t>”：填报企业发生非货币性资产对外投资</w:t>
      </w:r>
      <w:r>
        <w:rPr>
          <w:rFonts w:ascii="宋体" w:hAnsi="宋体" w:eastAsia="宋体" w:cs="宋体"/>
          <w:spacing w:val="1"/>
          <w:sz w:val="24"/>
          <w:szCs w:val="24"/>
        </w:rPr>
        <w:t>的相关金额，符合《财政部</w:t>
      </w:r>
      <w:r>
        <w:rPr>
          <w:rFonts w:ascii="宋体" w:hAnsi="宋体" w:eastAsia="宋体" w:cs="宋体"/>
          <w:spacing w:val="36"/>
          <w:sz w:val="24"/>
          <w:szCs w:val="24"/>
        </w:rPr>
        <w:t xml:space="preserve"> </w:t>
      </w:r>
      <w:r>
        <w:rPr>
          <w:rFonts w:ascii="宋体" w:hAnsi="宋体" w:eastAsia="宋体" w:cs="宋体"/>
          <w:spacing w:val="1"/>
          <w:sz w:val="24"/>
          <w:szCs w:val="24"/>
        </w:rPr>
        <w:t>国家税务总局关于非货</w:t>
      </w:r>
      <w:r>
        <w:rPr>
          <w:rFonts w:ascii="宋体" w:hAnsi="宋体" w:eastAsia="宋体" w:cs="宋体"/>
          <w:sz w:val="24"/>
          <w:szCs w:val="24"/>
        </w:rPr>
        <w:t>币性资产投资企业所得税政策问题的通知》（财税〔2014〕116</w:t>
      </w:r>
      <w:r>
        <w:rPr>
          <w:rFonts w:ascii="宋体" w:hAnsi="宋体" w:eastAsia="宋体" w:cs="宋体"/>
          <w:spacing w:val="-45"/>
          <w:sz w:val="24"/>
          <w:szCs w:val="24"/>
        </w:rPr>
        <w:t xml:space="preserve"> </w:t>
      </w:r>
      <w:r>
        <w:rPr>
          <w:rFonts w:ascii="宋体" w:hAnsi="宋体" w:eastAsia="宋体" w:cs="宋体"/>
          <w:sz w:val="24"/>
          <w:szCs w:val="24"/>
        </w:rPr>
        <w:t>号）和《国家税务总局</w:t>
      </w:r>
      <w:r>
        <w:rPr>
          <w:rFonts w:ascii="宋体" w:hAnsi="宋体" w:eastAsia="宋体" w:cs="宋体"/>
          <w:spacing w:val="-1"/>
          <w:sz w:val="24"/>
          <w:szCs w:val="24"/>
        </w:rPr>
        <w:t>关于非货币性资产投资企业所得税有关征管问题的公告》（2015</w:t>
      </w:r>
      <w:r>
        <w:rPr>
          <w:rFonts w:ascii="宋体" w:hAnsi="宋体" w:eastAsia="宋体" w:cs="宋体"/>
          <w:spacing w:val="-49"/>
          <w:sz w:val="24"/>
          <w:szCs w:val="24"/>
        </w:rPr>
        <w:t xml:space="preserve"> </w:t>
      </w:r>
      <w:r>
        <w:rPr>
          <w:rFonts w:ascii="宋体" w:hAnsi="宋体" w:eastAsia="宋体" w:cs="宋体"/>
          <w:spacing w:val="-1"/>
          <w:sz w:val="24"/>
          <w:szCs w:val="24"/>
        </w:rPr>
        <w:t>年第</w:t>
      </w:r>
      <w:r>
        <w:rPr>
          <w:rFonts w:ascii="宋体" w:hAnsi="宋体" w:eastAsia="宋体" w:cs="宋体"/>
          <w:spacing w:val="-46"/>
          <w:sz w:val="24"/>
          <w:szCs w:val="24"/>
        </w:rPr>
        <w:t xml:space="preserve"> </w:t>
      </w:r>
      <w:r>
        <w:rPr>
          <w:rFonts w:ascii="宋体" w:hAnsi="宋体" w:eastAsia="宋体" w:cs="宋体"/>
          <w:spacing w:val="-1"/>
          <w:sz w:val="24"/>
          <w:szCs w:val="24"/>
        </w:rPr>
        <w:t>33</w:t>
      </w:r>
      <w:r>
        <w:rPr>
          <w:rFonts w:ascii="宋体" w:hAnsi="宋体" w:eastAsia="宋体" w:cs="宋体"/>
          <w:spacing w:val="-45"/>
          <w:sz w:val="24"/>
          <w:szCs w:val="24"/>
        </w:rPr>
        <w:t xml:space="preserve"> </w:t>
      </w:r>
      <w:r>
        <w:rPr>
          <w:rFonts w:ascii="宋体" w:hAnsi="宋体" w:eastAsia="宋体" w:cs="宋体"/>
          <w:spacing w:val="-1"/>
          <w:sz w:val="24"/>
          <w:szCs w:val="24"/>
        </w:rPr>
        <w:t>号）规定执行递延纳税政策的填写“特殊性税务</w:t>
      </w:r>
      <w:r>
        <w:rPr>
          <w:rFonts w:ascii="宋体" w:hAnsi="宋体" w:eastAsia="宋体" w:cs="宋体"/>
          <w:spacing w:val="-4"/>
          <w:sz w:val="24"/>
          <w:szCs w:val="24"/>
        </w:rPr>
        <w:t>处理（递延纳税）</w:t>
      </w:r>
      <w:r>
        <w:rPr>
          <w:rFonts w:ascii="宋体" w:hAnsi="宋体" w:eastAsia="宋体" w:cs="宋体"/>
          <w:spacing w:val="-76"/>
          <w:sz w:val="24"/>
          <w:szCs w:val="24"/>
        </w:rPr>
        <w:t xml:space="preserve"> </w:t>
      </w:r>
      <w:r>
        <w:rPr>
          <w:rFonts w:ascii="宋体" w:hAnsi="宋体" w:eastAsia="宋体" w:cs="宋体"/>
          <w:spacing w:val="-4"/>
          <w:sz w:val="24"/>
          <w:szCs w:val="24"/>
        </w:rPr>
        <w:t>”相关列次。</w:t>
      </w:r>
    </w:p>
    <w:p w14:paraId="2B4EA7DA">
      <w:pPr>
        <w:spacing w:before="35" w:line="378" w:lineRule="auto"/>
        <w:ind w:left="1" w:firstLine="496"/>
        <w:jc w:val="both"/>
        <w:rPr>
          <w:rFonts w:ascii="宋体" w:hAnsi="宋体" w:eastAsia="宋体" w:cs="宋体"/>
          <w:sz w:val="24"/>
          <w:szCs w:val="24"/>
        </w:rPr>
      </w:pPr>
      <w:r>
        <w:rPr>
          <w:rFonts w:ascii="宋体" w:hAnsi="宋体" w:eastAsia="宋体" w:cs="宋体"/>
          <w:spacing w:val="-4"/>
          <w:sz w:val="24"/>
          <w:szCs w:val="24"/>
        </w:rPr>
        <w:t>13.第</w:t>
      </w:r>
      <w:r>
        <w:rPr>
          <w:rFonts w:ascii="宋体" w:hAnsi="宋体" w:eastAsia="宋体" w:cs="宋体"/>
          <w:spacing w:val="-30"/>
          <w:sz w:val="24"/>
          <w:szCs w:val="24"/>
        </w:rPr>
        <w:t xml:space="preserve"> </w:t>
      </w:r>
      <w:r>
        <w:rPr>
          <w:rFonts w:ascii="宋体" w:hAnsi="宋体" w:eastAsia="宋体" w:cs="宋体"/>
          <w:spacing w:val="-4"/>
          <w:sz w:val="24"/>
          <w:szCs w:val="24"/>
        </w:rPr>
        <w:t>13</w:t>
      </w:r>
      <w:r>
        <w:rPr>
          <w:rFonts w:ascii="宋体" w:hAnsi="宋体" w:eastAsia="宋体" w:cs="宋体"/>
          <w:spacing w:val="-47"/>
          <w:sz w:val="24"/>
          <w:szCs w:val="24"/>
        </w:rPr>
        <w:t xml:space="preserve"> </w:t>
      </w:r>
      <w:r>
        <w:rPr>
          <w:rFonts w:ascii="宋体" w:hAnsi="宋体" w:eastAsia="宋体" w:cs="宋体"/>
          <w:spacing w:val="-4"/>
          <w:sz w:val="24"/>
          <w:szCs w:val="24"/>
        </w:rPr>
        <w:t>行“七、技术入股</w:t>
      </w:r>
      <w:r>
        <w:rPr>
          <w:rFonts w:ascii="宋体" w:hAnsi="宋体" w:eastAsia="宋体" w:cs="宋体"/>
          <w:spacing w:val="-88"/>
          <w:sz w:val="24"/>
          <w:szCs w:val="24"/>
        </w:rPr>
        <w:t xml:space="preserve"> </w:t>
      </w:r>
      <w:r>
        <w:rPr>
          <w:rFonts w:ascii="宋体" w:hAnsi="宋体" w:eastAsia="宋体" w:cs="宋体"/>
          <w:spacing w:val="-4"/>
          <w:sz w:val="24"/>
          <w:szCs w:val="24"/>
        </w:rPr>
        <w:t>”：填报企业以技术成果投资入股到境内居民企业，被</w:t>
      </w:r>
      <w:r>
        <w:rPr>
          <w:rFonts w:ascii="宋体" w:hAnsi="宋体" w:eastAsia="宋体" w:cs="宋体"/>
          <w:spacing w:val="1"/>
          <w:sz w:val="24"/>
          <w:szCs w:val="24"/>
        </w:rPr>
        <w:t>投资企业支付对价全部为股票（权）的技术入</w:t>
      </w:r>
      <w:r>
        <w:rPr>
          <w:rFonts w:ascii="宋体" w:hAnsi="宋体" w:eastAsia="宋体" w:cs="宋体"/>
          <w:sz w:val="24"/>
          <w:szCs w:val="24"/>
        </w:rPr>
        <w:t>股业务的相关金额，符合《财政部</w:t>
      </w:r>
      <w:r>
        <w:rPr>
          <w:rFonts w:ascii="宋体" w:hAnsi="宋体" w:eastAsia="宋体" w:cs="宋体"/>
          <w:spacing w:val="38"/>
          <w:sz w:val="24"/>
          <w:szCs w:val="24"/>
        </w:rPr>
        <w:t xml:space="preserve"> </w:t>
      </w:r>
      <w:r>
        <w:rPr>
          <w:rFonts w:ascii="宋体" w:hAnsi="宋体" w:eastAsia="宋体" w:cs="宋体"/>
          <w:sz w:val="24"/>
          <w:szCs w:val="24"/>
        </w:rPr>
        <w:t>国家</w:t>
      </w:r>
      <w:r>
        <w:rPr>
          <w:rFonts w:ascii="宋体" w:hAnsi="宋体" w:eastAsia="宋体" w:cs="宋体"/>
          <w:spacing w:val="-9"/>
          <w:sz w:val="24"/>
          <w:szCs w:val="24"/>
        </w:rPr>
        <w:t>税务总局关于完善股权激励和技术入股有关所</w:t>
      </w:r>
      <w:r>
        <w:rPr>
          <w:rFonts w:ascii="宋体" w:hAnsi="宋体" w:eastAsia="宋体" w:cs="宋体"/>
          <w:spacing w:val="-10"/>
          <w:sz w:val="24"/>
          <w:szCs w:val="24"/>
        </w:rPr>
        <w:t>得税政策的通知》（财税〔2016〕101</w:t>
      </w:r>
      <w:r>
        <w:rPr>
          <w:rFonts w:ascii="宋体" w:hAnsi="宋体" w:eastAsia="宋体" w:cs="宋体"/>
          <w:spacing w:val="-45"/>
          <w:sz w:val="24"/>
          <w:szCs w:val="24"/>
        </w:rPr>
        <w:t xml:space="preserve"> </w:t>
      </w:r>
      <w:r>
        <w:rPr>
          <w:rFonts w:ascii="宋体" w:hAnsi="宋体" w:eastAsia="宋体" w:cs="宋体"/>
          <w:spacing w:val="-10"/>
          <w:sz w:val="24"/>
          <w:szCs w:val="24"/>
        </w:rPr>
        <w:t>号）、</w:t>
      </w:r>
      <w:r>
        <w:rPr>
          <w:rFonts w:ascii="宋体" w:hAnsi="宋体" w:eastAsia="宋体" w:cs="宋体"/>
          <w:spacing w:val="-1"/>
          <w:sz w:val="24"/>
          <w:szCs w:val="24"/>
        </w:rPr>
        <w:t>《国家税务总局关于股权激励和技术入股所得税征管问题</w:t>
      </w:r>
      <w:r>
        <w:rPr>
          <w:rFonts w:ascii="宋体" w:hAnsi="宋体" w:eastAsia="宋体" w:cs="宋体"/>
          <w:spacing w:val="-2"/>
          <w:sz w:val="24"/>
          <w:szCs w:val="24"/>
        </w:rPr>
        <w:t>的公告》（2016</w:t>
      </w:r>
      <w:r>
        <w:rPr>
          <w:rFonts w:ascii="宋体" w:hAnsi="宋体" w:eastAsia="宋体" w:cs="宋体"/>
          <w:spacing w:val="-49"/>
          <w:sz w:val="24"/>
          <w:szCs w:val="24"/>
        </w:rPr>
        <w:t xml:space="preserve"> </w:t>
      </w:r>
      <w:r>
        <w:rPr>
          <w:rFonts w:ascii="宋体" w:hAnsi="宋体" w:eastAsia="宋体" w:cs="宋体"/>
          <w:spacing w:val="-2"/>
          <w:sz w:val="24"/>
          <w:szCs w:val="24"/>
        </w:rPr>
        <w:t>年第</w:t>
      </w:r>
      <w:r>
        <w:rPr>
          <w:rFonts w:ascii="宋体" w:hAnsi="宋体" w:eastAsia="宋体" w:cs="宋体"/>
          <w:spacing w:val="-47"/>
          <w:sz w:val="24"/>
          <w:szCs w:val="24"/>
        </w:rPr>
        <w:t xml:space="preserve"> </w:t>
      </w:r>
      <w:r>
        <w:rPr>
          <w:rFonts w:ascii="宋体" w:hAnsi="宋体" w:eastAsia="宋体" w:cs="宋体"/>
          <w:spacing w:val="-2"/>
          <w:sz w:val="24"/>
          <w:szCs w:val="24"/>
        </w:rPr>
        <w:t>62</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pacing w:val="-1"/>
          <w:sz w:val="24"/>
          <w:szCs w:val="24"/>
        </w:rPr>
        <w:t>规定适用递延纳税政策的填写“特殊性税务处理（</w:t>
      </w:r>
      <w:r>
        <w:rPr>
          <w:rFonts w:ascii="宋体" w:hAnsi="宋体" w:eastAsia="宋体" w:cs="宋体"/>
          <w:spacing w:val="-2"/>
          <w:sz w:val="24"/>
          <w:szCs w:val="24"/>
        </w:rPr>
        <w:t>递延纳税）</w:t>
      </w:r>
      <w:r>
        <w:rPr>
          <w:rFonts w:ascii="宋体" w:hAnsi="宋体" w:eastAsia="宋体" w:cs="宋体"/>
          <w:spacing w:val="-88"/>
          <w:sz w:val="24"/>
          <w:szCs w:val="24"/>
        </w:rPr>
        <w:t xml:space="preserve"> </w:t>
      </w:r>
      <w:r>
        <w:rPr>
          <w:rFonts w:ascii="宋体" w:hAnsi="宋体" w:eastAsia="宋体" w:cs="宋体"/>
          <w:spacing w:val="-2"/>
          <w:sz w:val="24"/>
          <w:szCs w:val="24"/>
        </w:rPr>
        <w:t>”相关列次。</w:t>
      </w:r>
    </w:p>
    <w:p w14:paraId="65B1921D">
      <w:pPr>
        <w:spacing w:before="35" w:line="369" w:lineRule="auto"/>
        <w:ind w:left="1" w:right="82" w:firstLine="497"/>
        <w:rPr>
          <w:rFonts w:ascii="宋体" w:hAnsi="宋体" w:eastAsia="宋体" w:cs="宋体"/>
          <w:sz w:val="24"/>
          <w:szCs w:val="24"/>
        </w:rPr>
      </w:pPr>
      <w:r>
        <w:rPr>
          <w:rFonts w:ascii="宋体" w:hAnsi="宋体" w:eastAsia="宋体" w:cs="宋体"/>
          <w:spacing w:val="-4"/>
          <w:sz w:val="24"/>
          <w:szCs w:val="24"/>
        </w:rPr>
        <w:t>14.第</w:t>
      </w:r>
      <w:r>
        <w:rPr>
          <w:rFonts w:ascii="宋体" w:hAnsi="宋体" w:eastAsia="宋体" w:cs="宋体"/>
          <w:spacing w:val="-30"/>
          <w:sz w:val="24"/>
          <w:szCs w:val="24"/>
        </w:rPr>
        <w:t xml:space="preserve"> </w:t>
      </w:r>
      <w:r>
        <w:rPr>
          <w:rFonts w:ascii="宋体" w:hAnsi="宋体" w:eastAsia="宋体" w:cs="宋体"/>
          <w:spacing w:val="-4"/>
          <w:sz w:val="24"/>
          <w:szCs w:val="24"/>
        </w:rPr>
        <w:t>14</w:t>
      </w:r>
      <w:r>
        <w:rPr>
          <w:rFonts w:ascii="宋体" w:hAnsi="宋体" w:eastAsia="宋体" w:cs="宋体"/>
          <w:spacing w:val="-47"/>
          <w:sz w:val="24"/>
          <w:szCs w:val="24"/>
        </w:rPr>
        <w:t xml:space="preserve"> </w:t>
      </w:r>
      <w:r>
        <w:rPr>
          <w:rFonts w:ascii="宋体" w:hAnsi="宋体" w:eastAsia="宋体" w:cs="宋体"/>
          <w:spacing w:val="-4"/>
          <w:sz w:val="24"/>
          <w:szCs w:val="24"/>
        </w:rPr>
        <w:t>行“八、股权划转、资产划转</w:t>
      </w:r>
      <w:r>
        <w:rPr>
          <w:rFonts w:ascii="宋体" w:hAnsi="宋体" w:eastAsia="宋体" w:cs="宋体"/>
          <w:spacing w:val="-88"/>
          <w:sz w:val="24"/>
          <w:szCs w:val="24"/>
        </w:rPr>
        <w:t xml:space="preserve"> </w:t>
      </w:r>
      <w:r>
        <w:rPr>
          <w:rFonts w:ascii="宋体" w:hAnsi="宋体" w:eastAsia="宋体" w:cs="宋体"/>
          <w:spacing w:val="-4"/>
          <w:sz w:val="24"/>
          <w:szCs w:val="24"/>
        </w:rPr>
        <w:t>”：填报企业发生资产（股权）划转业务的</w:t>
      </w:r>
      <w:r>
        <w:rPr>
          <w:rFonts w:ascii="宋体" w:hAnsi="宋体" w:eastAsia="宋体" w:cs="宋体"/>
          <w:spacing w:val="-2"/>
          <w:sz w:val="24"/>
          <w:szCs w:val="24"/>
        </w:rPr>
        <w:t>相关金额。</w:t>
      </w:r>
    </w:p>
    <w:p w14:paraId="6BF7CBF0">
      <w:pPr>
        <w:spacing w:before="37" w:line="376" w:lineRule="auto"/>
        <w:ind w:left="1" w:right="82" w:firstLine="497"/>
        <w:rPr>
          <w:rFonts w:ascii="宋体" w:hAnsi="宋体" w:eastAsia="宋体" w:cs="宋体"/>
          <w:sz w:val="24"/>
          <w:szCs w:val="24"/>
        </w:rPr>
      </w:pPr>
      <w:r>
        <w:rPr>
          <w:rFonts w:ascii="宋体" w:hAnsi="宋体" w:eastAsia="宋体" w:cs="宋体"/>
          <w:spacing w:val="-19"/>
          <w:sz w:val="24"/>
          <w:szCs w:val="24"/>
        </w:rPr>
        <w:t>15.第</w:t>
      </w:r>
      <w:r>
        <w:rPr>
          <w:rFonts w:ascii="宋体" w:hAnsi="宋体" w:eastAsia="宋体" w:cs="宋体"/>
          <w:spacing w:val="-24"/>
          <w:sz w:val="24"/>
          <w:szCs w:val="24"/>
        </w:rPr>
        <w:t xml:space="preserve"> </w:t>
      </w:r>
      <w:r>
        <w:rPr>
          <w:rFonts w:ascii="宋体" w:hAnsi="宋体" w:eastAsia="宋体" w:cs="宋体"/>
          <w:spacing w:val="-19"/>
          <w:sz w:val="24"/>
          <w:szCs w:val="24"/>
        </w:rPr>
        <w:t>15</w:t>
      </w:r>
      <w:r>
        <w:rPr>
          <w:rFonts w:ascii="宋体" w:hAnsi="宋体" w:eastAsia="宋体" w:cs="宋体"/>
          <w:spacing w:val="-46"/>
          <w:sz w:val="24"/>
          <w:szCs w:val="24"/>
        </w:rPr>
        <w:t xml:space="preserve"> </w:t>
      </w:r>
      <w:r>
        <w:rPr>
          <w:rFonts w:ascii="宋体" w:hAnsi="宋体" w:eastAsia="宋体" w:cs="宋体"/>
          <w:spacing w:val="-19"/>
          <w:sz w:val="24"/>
          <w:szCs w:val="24"/>
        </w:rPr>
        <w:t>行“九、基础设施领域不动产投资信托基金（□原始权益人</w:t>
      </w:r>
      <w:r>
        <w:rPr>
          <w:rFonts w:ascii="宋体" w:hAnsi="宋体" w:eastAsia="宋体" w:cs="宋体"/>
          <w:spacing w:val="33"/>
          <w:sz w:val="24"/>
          <w:szCs w:val="24"/>
        </w:rPr>
        <w:t xml:space="preserve"> </w:t>
      </w:r>
      <w:r>
        <w:rPr>
          <w:rFonts w:ascii="宋体" w:hAnsi="宋体" w:eastAsia="宋体" w:cs="宋体"/>
          <w:spacing w:val="-19"/>
          <w:sz w:val="24"/>
          <w:szCs w:val="24"/>
        </w:rPr>
        <w:t>□项目公司）”：</w:t>
      </w:r>
      <w:r>
        <w:rPr>
          <w:rFonts w:ascii="宋体" w:hAnsi="宋体" w:eastAsia="宋体" w:cs="宋体"/>
          <w:sz w:val="24"/>
          <w:szCs w:val="24"/>
        </w:rPr>
        <w:t>填报原始权益人、项目公司在设立基础设施REITs</w:t>
      </w:r>
      <w:r>
        <w:rPr>
          <w:rFonts w:ascii="宋体" w:hAnsi="宋体" w:eastAsia="宋体" w:cs="宋体"/>
          <w:spacing w:val="-47"/>
          <w:sz w:val="24"/>
          <w:szCs w:val="24"/>
        </w:rPr>
        <w:t xml:space="preserve"> </w:t>
      </w:r>
      <w:r>
        <w:rPr>
          <w:rFonts w:ascii="宋体" w:hAnsi="宋体" w:eastAsia="宋体" w:cs="宋体"/>
          <w:sz w:val="24"/>
          <w:szCs w:val="24"/>
        </w:rPr>
        <w:t>前、设立</w:t>
      </w:r>
      <w:r>
        <w:rPr>
          <w:rFonts w:ascii="宋体" w:hAnsi="宋体" w:eastAsia="宋体" w:cs="宋体"/>
          <w:spacing w:val="-1"/>
          <w:sz w:val="24"/>
          <w:szCs w:val="24"/>
        </w:rPr>
        <w:t>阶段发生的划转基础设施资</w:t>
      </w:r>
      <w:r>
        <w:rPr>
          <w:rFonts w:ascii="宋体" w:hAnsi="宋体" w:eastAsia="宋体" w:cs="宋体"/>
          <w:sz w:val="24"/>
          <w:szCs w:val="24"/>
        </w:rPr>
        <w:t>产、转让项目公司股权等相关业务产生的损益金额及调整金额。本行填报第</w:t>
      </w:r>
      <w:r>
        <w:rPr>
          <w:rFonts w:ascii="宋体" w:hAnsi="宋体" w:eastAsia="宋体" w:cs="宋体"/>
          <w:spacing w:val="-14"/>
          <w:sz w:val="24"/>
          <w:szCs w:val="24"/>
        </w:rPr>
        <w:t xml:space="preserve"> </w:t>
      </w:r>
      <w:r>
        <w:rPr>
          <w:rFonts w:ascii="宋体" w:hAnsi="宋体" w:eastAsia="宋体" w:cs="宋体"/>
          <w:sz w:val="24"/>
          <w:szCs w:val="24"/>
        </w:rPr>
        <w:t>15.1</w:t>
      </w:r>
      <w:r>
        <w:rPr>
          <w:rFonts w:ascii="宋体" w:hAnsi="宋体" w:eastAsia="宋体" w:cs="宋体"/>
          <w:spacing w:val="-45"/>
          <w:sz w:val="24"/>
          <w:szCs w:val="24"/>
        </w:rPr>
        <w:t xml:space="preserve"> </w:t>
      </w:r>
      <w:r>
        <w:rPr>
          <w:rFonts w:ascii="宋体" w:hAnsi="宋体" w:eastAsia="宋体" w:cs="宋体"/>
          <w:sz w:val="24"/>
          <w:szCs w:val="24"/>
        </w:rPr>
        <w:t>行和</w:t>
      </w:r>
      <w:r>
        <w:rPr>
          <w:rFonts w:ascii="宋体" w:hAnsi="宋体" w:eastAsia="宋体" w:cs="宋体"/>
          <w:spacing w:val="-5"/>
          <w:sz w:val="24"/>
          <w:szCs w:val="24"/>
        </w:rPr>
        <w:t>第</w:t>
      </w:r>
      <w:r>
        <w:rPr>
          <w:rFonts w:ascii="宋体" w:hAnsi="宋体" w:eastAsia="宋体" w:cs="宋体"/>
          <w:spacing w:val="-24"/>
          <w:sz w:val="24"/>
          <w:szCs w:val="24"/>
        </w:rPr>
        <w:t xml:space="preserve"> </w:t>
      </w:r>
      <w:r>
        <w:rPr>
          <w:rFonts w:ascii="宋体" w:hAnsi="宋体" w:eastAsia="宋体" w:cs="宋体"/>
          <w:spacing w:val="-5"/>
          <w:sz w:val="24"/>
          <w:szCs w:val="24"/>
        </w:rPr>
        <w:t>15.2</w:t>
      </w:r>
      <w:r>
        <w:rPr>
          <w:rFonts w:ascii="宋体" w:hAnsi="宋体" w:eastAsia="宋体" w:cs="宋体"/>
          <w:spacing w:val="-47"/>
          <w:sz w:val="24"/>
          <w:szCs w:val="24"/>
        </w:rPr>
        <w:t xml:space="preserve"> </w:t>
      </w:r>
      <w:r>
        <w:rPr>
          <w:rFonts w:ascii="宋体" w:hAnsi="宋体" w:eastAsia="宋体" w:cs="宋体"/>
          <w:spacing w:val="-5"/>
          <w:sz w:val="24"/>
          <w:szCs w:val="24"/>
        </w:rPr>
        <w:t>行的合计金额。</w:t>
      </w:r>
    </w:p>
    <w:p w14:paraId="19308434">
      <w:pPr>
        <w:spacing w:before="36" w:line="219" w:lineRule="auto"/>
        <w:ind w:left="483"/>
        <w:rPr>
          <w:rFonts w:ascii="宋体" w:hAnsi="宋体" w:eastAsia="宋体" w:cs="宋体"/>
          <w:sz w:val="24"/>
          <w:szCs w:val="24"/>
        </w:rPr>
      </w:pPr>
      <w:r>
        <w:rPr>
          <w:rFonts w:ascii="宋体" w:hAnsi="宋体" w:eastAsia="宋体" w:cs="宋体"/>
          <w:spacing w:val="-1"/>
          <w:sz w:val="24"/>
          <w:szCs w:val="24"/>
        </w:rPr>
        <w:t>纳税人填报本行时，根据实际情况填报企业类型。</w:t>
      </w:r>
    </w:p>
    <w:p w14:paraId="1C1B2E6B">
      <w:pPr>
        <w:spacing w:before="211" w:line="371" w:lineRule="auto"/>
        <w:ind w:right="82" w:firstLine="480"/>
        <w:rPr>
          <w:rFonts w:ascii="宋体" w:hAnsi="宋体" w:eastAsia="宋体" w:cs="宋体"/>
          <w:sz w:val="24"/>
          <w:szCs w:val="24"/>
        </w:rPr>
      </w:pPr>
      <w:r>
        <w:rPr>
          <w:rFonts w:ascii="宋体" w:hAnsi="宋体" w:eastAsia="宋体" w:cs="宋体"/>
          <w:spacing w:val="-1"/>
          <w:sz w:val="24"/>
          <w:szCs w:val="24"/>
        </w:rPr>
        <w:t>第</w:t>
      </w:r>
      <w:r>
        <w:rPr>
          <w:rFonts w:ascii="宋体" w:hAnsi="宋体" w:eastAsia="宋体" w:cs="宋体"/>
          <w:spacing w:val="-28"/>
          <w:sz w:val="24"/>
          <w:szCs w:val="24"/>
        </w:rPr>
        <w:t xml:space="preserve"> </w:t>
      </w:r>
      <w:r>
        <w:rPr>
          <w:rFonts w:ascii="宋体" w:hAnsi="宋体" w:eastAsia="宋体" w:cs="宋体"/>
          <w:spacing w:val="-1"/>
          <w:sz w:val="24"/>
          <w:szCs w:val="24"/>
        </w:rPr>
        <w:t>15.1</w:t>
      </w:r>
      <w:r>
        <w:rPr>
          <w:rFonts w:ascii="宋体" w:hAnsi="宋体" w:eastAsia="宋体" w:cs="宋体"/>
          <w:spacing w:val="-47"/>
          <w:sz w:val="24"/>
          <w:szCs w:val="24"/>
        </w:rPr>
        <w:t xml:space="preserve"> </w:t>
      </w:r>
      <w:r>
        <w:rPr>
          <w:rFonts w:ascii="宋体" w:hAnsi="宋体" w:eastAsia="宋体" w:cs="宋体"/>
          <w:spacing w:val="-1"/>
          <w:sz w:val="24"/>
          <w:szCs w:val="24"/>
        </w:rPr>
        <w:t>行“（一）设立基础设施REITs</w:t>
      </w:r>
      <w:r>
        <w:rPr>
          <w:rFonts w:ascii="宋体" w:hAnsi="宋体" w:eastAsia="宋体" w:cs="宋体"/>
          <w:spacing w:val="-47"/>
          <w:sz w:val="24"/>
          <w:szCs w:val="24"/>
        </w:rPr>
        <w:t xml:space="preserve"> </w:t>
      </w:r>
      <w:r>
        <w:rPr>
          <w:rFonts w:ascii="宋体" w:hAnsi="宋体" w:eastAsia="宋体" w:cs="宋体"/>
          <w:spacing w:val="-1"/>
          <w:sz w:val="24"/>
          <w:szCs w:val="24"/>
        </w:rPr>
        <w:t>前</w:t>
      </w:r>
      <w:r>
        <w:rPr>
          <w:rFonts w:ascii="宋体" w:hAnsi="宋体" w:eastAsia="宋体" w:cs="宋体"/>
          <w:spacing w:val="-88"/>
          <w:sz w:val="24"/>
          <w:szCs w:val="24"/>
        </w:rPr>
        <w:t xml:space="preserve"> </w:t>
      </w:r>
      <w:r>
        <w:rPr>
          <w:rFonts w:ascii="宋体" w:hAnsi="宋体" w:eastAsia="宋体" w:cs="宋体"/>
          <w:spacing w:val="-1"/>
          <w:sz w:val="24"/>
          <w:szCs w:val="24"/>
        </w:rPr>
        <w:t>”:填报在设立基础设施REITs</w:t>
      </w:r>
      <w:r>
        <w:rPr>
          <w:rFonts w:ascii="宋体" w:hAnsi="宋体" w:eastAsia="宋体" w:cs="宋体"/>
          <w:spacing w:val="-47"/>
          <w:sz w:val="24"/>
          <w:szCs w:val="24"/>
        </w:rPr>
        <w:t xml:space="preserve"> </w:t>
      </w:r>
      <w:r>
        <w:rPr>
          <w:rFonts w:ascii="宋体" w:hAnsi="宋体" w:eastAsia="宋体" w:cs="宋体"/>
          <w:spacing w:val="-1"/>
          <w:sz w:val="24"/>
          <w:szCs w:val="24"/>
        </w:rPr>
        <w:t>前，原始</w:t>
      </w:r>
      <w:r>
        <w:rPr>
          <w:rFonts w:ascii="宋体" w:hAnsi="宋体" w:eastAsia="宋体" w:cs="宋体"/>
          <w:sz w:val="24"/>
          <w:szCs w:val="24"/>
        </w:rPr>
        <w:t>权益人与项目公司就其发生的划转基础设施资产业务产生的</w:t>
      </w:r>
      <w:r>
        <w:rPr>
          <w:rFonts w:ascii="宋体" w:hAnsi="宋体" w:eastAsia="宋体" w:cs="宋体"/>
          <w:spacing w:val="-1"/>
          <w:sz w:val="24"/>
          <w:szCs w:val="24"/>
        </w:rPr>
        <w:t>损益金额及调整金额。</w:t>
      </w:r>
    </w:p>
    <w:p w14:paraId="27BCC104">
      <w:pPr>
        <w:spacing w:before="31" w:line="377" w:lineRule="auto"/>
        <w:ind w:right="82" w:firstLine="481"/>
        <w:rPr>
          <w:rFonts w:ascii="宋体" w:hAnsi="宋体" w:eastAsia="宋体" w:cs="宋体"/>
          <w:sz w:val="24"/>
          <w:szCs w:val="24"/>
        </w:rPr>
      </w:pPr>
      <w:r>
        <w:rPr>
          <w:rFonts w:ascii="宋体" w:hAnsi="宋体" w:eastAsia="宋体" w:cs="宋体"/>
          <w:spacing w:val="1"/>
          <w:sz w:val="24"/>
          <w:szCs w:val="24"/>
        </w:rPr>
        <w:t>第</w:t>
      </w:r>
      <w:r>
        <w:rPr>
          <w:rFonts w:ascii="宋体" w:hAnsi="宋体" w:eastAsia="宋体" w:cs="宋体"/>
          <w:spacing w:val="-31"/>
          <w:sz w:val="24"/>
          <w:szCs w:val="24"/>
        </w:rPr>
        <w:t xml:space="preserve"> </w:t>
      </w:r>
      <w:r>
        <w:rPr>
          <w:rFonts w:ascii="宋体" w:hAnsi="宋体" w:eastAsia="宋体" w:cs="宋体"/>
          <w:spacing w:val="1"/>
          <w:sz w:val="24"/>
          <w:szCs w:val="24"/>
        </w:rPr>
        <w:t>15.2</w:t>
      </w:r>
      <w:r>
        <w:rPr>
          <w:rFonts w:ascii="宋体" w:hAnsi="宋体" w:eastAsia="宋体" w:cs="宋体"/>
          <w:spacing w:val="-44"/>
          <w:sz w:val="24"/>
          <w:szCs w:val="24"/>
        </w:rPr>
        <w:t xml:space="preserve"> </w:t>
      </w:r>
      <w:r>
        <w:rPr>
          <w:rFonts w:ascii="宋体" w:hAnsi="宋体" w:eastAsia="宋体" w:cs="宋体"/>
          <w:spacing w:val="1"/>
          <w:sz w:val="24"/>
          <w:szCs w:val="24"/>
        </w:rPr>
        <w:t>行“（二）设立基础设施</w:t>
      </w:r>
      <w:r>
        <w:rPr>
          <w:rFonts w:ascii="宋体" w:hAnsi="宋体" w:eastAsia="宋体" w:cs="宋体"/>
          <w:sz w:val="24"/>
          <w:szCs w:val="24"/>
        </w:rPr>
        <w:t>REITs</w:t>
      </w:r>
      <w:r>
        <w:rPr>
          <w:rFonts w:ascii="宋体" w:hAnsi="宋体" w:eastAsia="宋体" w:cs="宋体"/>
          <w:spacing w:val="-36"/>
          <w:sz w:val="24"/>
          <w:szCs w:val="24"/>
        </w:rPr>
        <w:t xml:space="preserve"> </w:t>
      </w:r>
      <w:r>
        <w:rPr>
          <w:rFonts w:ascii="宋体" w:hAnsi="宋体" w:eastAsia="宋体" w:cs="宋体"/>
          <w:spacing w:val="1"/>
          <w:sz w:val="24"/>
          <w:szCs w:val="24"/>
        </w:rPr>
        <w:t>阶段</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填报原始权益人在设立基础设施 </w:t>
      </w:r>
      <w:r>
        <w:rPr>
          <w:rFonts w:ascii="宋体" w:hAnsi="宋体" w:eastAsia="宋体" w:cs="宋体"/>
          <w:spacing w:val="-1"/>
          <w:sz w:val="24"/>
          <w:szCs w:val="24"/>
        </w:rPr>
        <w:t>REITs</w:t>
      </w:r>
      <w:r>
        <w:rPr>
          <w:rFonts w:ascii="宋体" w:hAnsi="宋体" w:eastAsia="宋体" w:cs="宋体"/>
          <w:spacing w:val="-35"/>
          <w:sz w:val="24"/>
          <w:szCs w:val="24"/>
        </w:rPr>
        <w:t xml:space="preserve"> </w:t>
      </w:r>
      <w:r>
        <w:rPr>
          <w:rFonts w:ascii="宋体" w:hAnsi="宋体" w:eastAsia="宋体" w:cs="宋体"/>
          <w:spacing w:val="-1"/>
          <w:sz w:val="24"/>
          <w:szCs w:val="24"/>
        </w:rPr>
        <w:t>阶段，针对向基础设施</w:t>
      </w:r>
      <w:r>
        <w:rPr>
          <w:rFonts w:ascii="宋体" w:hAnsi="宋体" w:eastAsia="宋体" w:cs="宋体"/>
          <w:spacing w:val="-50"/>
          <w:sz w:val="24"/>
          <w:szCs w:val="24"/>
        </w:rPr>
        <w:t xml:space="preserve"> </w:t>
      </w:r>
      <w:r>
        <w:rPr>
          <w:rFonts w:ascii="宋体" w:hAnsi="宋体" w:eastAsia="宋体" w:cs="宋体"/>
          <w:spacing w:val="-1"/>
          <w:sz w:val="24"/>
          <w:szCs w:val="24"/>
        </w:rPr>
        <w:t>REITs</w:t>
      </w:r>
      <w:r>
        <w:rPr>
          <w:rFonts w:ascii="宋体" w:hAnsi="宋体" w:eastAsia="宋体" w:cs="宋体"/>
          <w:spacing w:val="-50"/>
          <w:sz w:val="24"/>
          <w:szCs w:val="24"/>
        </w:rPr>
        <w:t xml:space="preserve"> </w:t>
      </w:r>
      <w:r>
        <w:rPr>
          <w:rFonts w:ascii="宋体" w:hAnsi="宋体" w:eastAsia="宋体" w:cs="宋体"/>
          <w:spacing w:val="-1"/>
          <w:sz w:val="24"/>
          <w:szCs w:val="24"/>
        </w:rPr>
        <w:t>转让项目公司股权实现的资产转让评估增值以及按</w:t>
      </w:r>
      <w:r>
        <w:rPr>
          <w:rFonts w:ascii="宋体" w:hAnsi="宋体" w:eastAsia="宋体" w:cs="宋体"/>
          <w:sz w:val="24"/>
          <w:szCs w:val="24"/>
        </w:rPr>
        <w:t xml:space="preserve"> </w:t>
      </w:r>
      <w:r>
        <w:rPr>
          <w:rFonts w:ascii="宋体" w:hAnsi="宋体" w:eastAsia="宋体" w:cs="宋体"/>
          <w:spacing w:val="2"/>
          <w:sz w:val="24"/>
          <w:szCs w:val="24"/>
        </w:rPr>
        <w:t>照战略配售要求自持的基础设施</w:t>
      </w:r>
      <w:r>
        <w:rPr>
          <w:rFonts w:ascii="宋体" w:hAnsi="宋体" w:eastAsia="宋体" w:cs="宋体"/>
          <w:sz w:val="24"/>
          <w:szCs w:val="24"/>
        </w:rPr>
        <w:t>REITs</w:t>
      </w:r>
      <w:r>
        <w:rPr>
          <w:rFonts w:ascii="宋体" w:hAnsi="宋体" w:eastAsia="宋体" w:cs="宋体"/>
          <w:spacing w:val="2"/>
          <w:sz w:val="24"/>
          <w:szCs w:val="24"/>
        </w:rPr>
        <w:t>份额对应的资产转让评估增值等</w:t>
      </w:r>
      <w:r>
        <w:rPr>
          <w:rFonts w:ascii="宋体" w:hAnsi="宋体" w:eastAsia="宋体" w:cs="宋体"/>
          <w:spacing w:val="1"/>
          <w:sz w:val="24"/>
          <w:szCs w:val="24"/>
        </w:rPr>
        <w:t>产生的损益金额</w:t>
      </w:r>
      <w:r>
        <w:rPr>
          <w:rFonts w:ascii="宋体" w:hAnsi="宋体" w:eastAsia="宋体" w:cs="宋体"/>
          <w:sz w:val="24"/>
          <w:szCs w:val="24"/>
        </w:rPr>
        <w:t xml:space="preserve"> </w:t>
      </w:r>
      <w:r>
        <w:rPr>
          <w:rFonts w:ascii="宋体" w:hAnsi="宋体" w:eastAsia="宋体" w:cs="宋体"/>
          <w:spacing w:val="-2"/>
          <w:sz w:val="24"/>
          <w:szCs w:val="24"/>
        </w:rPr>
        <w:t>及调整金额。</w:t>
      </w:r>
    </w:p>
    <w:p w14:paraId="3D14B330">
      <w:pPr>
        <w:spacing w:before="33" w:line="220" w:lineRule="auto"/>
        <w:ind w:left="499"/>
        <w:rPr>
          <w:rFonts w:ascii="宋体" w:hAnsi="宋体" w:eastAsia="宋体" w:cs="宋体"/>
          <w:sz w:val="24"/>
          <w:szCs w:val="24"/>
        </w:rPr>
      </w:pPr>
      <w:r>
        <w:rPr>
          <w:rFonts w:ascii="宋体" w:hAnsi="宋体" w:eastAsia="宋体" w:cs="宋体"/>
          <w:spacing w:val="-3"/>
          <w:sz w:val="24"/>
          <w:szCs w:val="24"/>
        </w:rPr>
        <w:t>16.第</w:t>
      </w:r>
      <w:r>
        <w:rPr>
          <w:rFonts w:ascii="宋体" w:hAnsi="宋体" w:eastAsia="宋体" w:cs="宋体"/>
          <w:spacing w:val="-29"/>
          <w:sz w:val="24"/>
          <w:szCs w:val="24"/>
        </w:rPr>
        <w:t xml:space="preserve"> </w:t>
      </w:r>
      <w:r>
        <w:rPr>
          <w:rFonts w:ascii="宋体" w:hAnsi="宋体" w:eastAsia="宋体" w:cs="宋体"/>
          <w:spacing w:val="-3"/>
          <w:sz w:val="24"/>
          <w:szCs w:val="24"/>
        </w:rPr>
        <w:t>16</w:t>
      </w:r>
      <w:r>
        <w:rPr>
          <w:rFonts w:ascii="宋体" w:hAnsi="宋体" w:eastAsia="宋体" w:cs="宋体"/>
          <w:spacing w:val="-47"/>
          <w:sz w:val="24"/>
          <w:szCs w:val="24"/>
        </w:rPr>
        <w:t xml:space="preserve"> </w:t>
      </w:r>
      <w:r>
        <w:rPr>
          <w:rFonts w:ascii="宋体" w:hAnsi="宋体" w:eastAsia="宋体" w:cs="宋体"/>
          <w:spacing w:val="-3"/>
          <w:sz w:val="24"/>
          <w:szCs w:val="24"/>
        </w:rPr>
        <w:t>行“十、其他</w:t>
      </w:r>
      <w:r>
        <w:rPr>
          <w:rFonts w:ascii="宋体" w:hAnsi="宋体" w:eastAsia="宋体" w:cs="宋体"/>
          <w:spacing w:val="-88"/>
          <w:sz w:val="24"/>
          <w:szCs w:val="24"/>
        </w:rPr>
        <w:t xml:space="preserve"> </w:t>
      </w:r>
      <w:r>
        <w:rPr>
          <w:rFonts w:ascii="宋体" w:hAnsi="宋体" w:eastAsia="宋体" w:cs="宋体"/>
          <w:spacing w:val="-3"/>
          <w:sz w:val="24"/>
          <w:szCs w:val="24"/>
        </w:rPr>
        <w:t>”：填报企业发生的其他递延纳税事项的相关金额。</w:t>
      </w:r>
    </w:p>
    <w:p w14:paraId="7A56F9AD">
      <w:pPr>
        <w:spacing w:before="213" w:line="220" w:lineRule="auto"/>
        <w:ind w:left="493"/>
        <w:outlineLvl w:val="2"/>
        <w:rPr>
          <w:rFonts w:ascii="宋体" w:hAnsi="宋体" w:eastAsia="宋体" w:cs="宋体"/>
          <w:sz w:val="24"/>
          <w:szCs w:val="24"/>
        </w:rPr>
      </w:pPr>
      <w:r>
        <w:rPr>
          <w:rFonts w:ascii="宋体" w:hAnsi="宋体" w:eastAsia="宋体" w:cs="宋体"/>
          <w:spacing w:val="-3"/>
          <w:sz w:val="24"/>
          <w:szCs w:val="24"/>
        </w:rPr>
        <w:t>（二）列次填报</w:t>
      </w:r>
    </w:p>
    <w:p w14:paraId="6CF49073">
      <w:pPr>
        <w:spacing w:before="212" w:line="374" w:lineRule="auto"/>
        <w:ind w:left="1" w:right="91" w:firstLine="480"/>
        <w:jc w:val="both"/>
        <w:rPr>
          <w:rFonts w:ascii="宋体" w:hAnsi="宋体" w:eastAsia="宋体" w:cs="宋体"/>
          <w:sz w:val="24"/>
          <w:szCs w:val="24"/>
        </w:rPr>
      </w:pPr>
      <w:r>
        <w:rPr>
          <w:rFonts w:ascii="宋体" w:hAnsi="宋体" w:eastAsia="宋体" w:cs="宋体"/>
          <w:spacing w:val="-4"/>
          <w:sz w:val="24"/>
          <w:szCs w:val="24"/>
        </w:rPr>
        <w:t>本表数据栏设置“一般性税务处理</w:t>
      </w:r>
      <w:r>
        <w:rPr>
          <w:rFonts w:ascii="宋体" w:hAnsi="宋体" w:eastAsia="宋体" w:cs="宋体"/>
          <w:spacing w:val="-76"/>
          <w:sz w:val="24"/>
          <w:szCs w:val="24"/>
        </w:rPr>
        <w:t xml:space="preserve"> </w:t>
      </w:r>
      <w:r>
        <w:rPr>
          <w:rFonts w:ascii="宋体" w:hAnsi="宋体" w:eastAsia="宋体" w:cs="宋体"/>
          <w:spacing w:val="-4"/>
          <w:sz w:val="24"/>
          <w:szCs w:val="24"/>
        </w:rPr>
        <w:t>”“特殊性税务处理（递延纳税）</w:t>
      </w:r>
      <w:r>
        <w:rPr>
          <w:rFonts w:ascii="宋体" w:hAnsi="宋体" w:eastAsia="宋体" w:cs="宋体"/>
          <w:spacing w:val="-88"/>
          <w:sz w:val="24"/>
          <w:szCs w:val="24"/>
        </w:rPr>
        <w:t xml:space="preserve"> </w:t>
      </w:r>
      <w:r>
        <w:rPr>
          <w:rFonts w:ascii="宋体" w:hAnsi="宋体" w:eastAsia="宋体" w:cs="宋体"/>
          <w:spacing w:val="-4"/>
          <w:sz w:val="24"/>
          <w:szCs w:val="24"/>
        </w:rPr>
        <w:t>”两大栏次，</w:t>
      </w:r>
      <w:r>
        <w:rPr>
          <w:rFonts w:ascii="宋体" w:hAnsi="宋体" w:eastAsia="宋体" w:cs="宋体"/>
          <w:spacing w:val="-2"/>
          <w:sz w:val="24"/>
          <w:szCs w:val="24"/>
        </w:rPr>
        <w:t>纳税人应根据企业重组所适用的税务处理办法，分别按照企业重组类型进行累计填报，</w:t>
      </w:r>
      <w:r>
        <w:rPr>
          <w:rFonts w:ascii="宋体" w:hAnsi="宋体" w:eastAsia="宋体" w:cs="宋体"/>
          <w:spacing w:val="-5"/>
          <w:sz w:val="24"/>
          <w:szCs w:val="24"/>
        </w:rPr>
        <w:t>损失以“-</w:t>
      </w:r>
      <w:r>
        <w:rPr>
          <w:rFonts w:ascii="宋体" w:hAnsi="宋体" w:eastAsia="宋体" w:cs="宋体"/>
          <w:spacing w:val="-81"/>
          <w:sz w:val="24"/>
          <w:szCs w:val="24"/>
        </w:rPr>
        <w:t xml:space="preserve"> </w:t>
      </w:r>
      <w:r>
        <w:rPr>
          <w:rFonts w:ascii="宋体" w:hAnsi="宋体" w:eastAsia="宋体" w:cs="宋体"/>
          <w:spacing w:val="-5"/>
          <w:sz w:val="24"/>
          <w:szCs w:val="24"/>
        </w:rPr>
        <w:t>”号填列。</w:t>
      </w:r>
    </w:p>
    <w:p w14:paraId="71B69773">
      <w:pPr>
        <w:spacing w:before="36" w:line="368" w:lineRule="auto"/>
        <w:ind w:right="85" w:firstLine="498"/>
        <w:rPr>
          <w:rFonts w:ascii="宋体" w:hAnsi="宋体" w:eastAsia="宋体" w:cs="宋体"/>
          <w:sz w:val="24"/>
          <w:szCs w:val="24"/>
        </w:rPr>
      </w:pPr>
      <w:r>
        <w:rPr>
          <w:rFonts w:ascii="宋体" w:hAnsi="宋体" w:eastAsia="宋体" w:cs="宋体"/>
          <w:spacing w:val="-1"/>
          <w:sz w:val="24"/>
          <w:szCs w:val="24"/>
        </w:rPr>
        <w:t>1.第</w:t>
      </w:r>
      <w:r>
        <w:rPr>
          <w:rFonts w:ascii="宋体" w:hAnsi="宋体" w:eastAsia="宋体" w:cs="宋体"/>
          <w:spacing w:val="-30"/>
          <w:sz w:val="24"/>
          <w:szCs w:val="24"/>
        </w:rPr>
        <w:t xml:space="preserve"> </w:t>
      </w:r>
      <w:r>
        <w:rPr>
          <w:rFonts w:ascii="宋体" w:hAnsi="宋体" w:eastAsia="宋体" w:cs="宋体"/>
          <w:spacing w:val="-1"/>
          <w:sz w:val="24"/>
          <w:szCs w:val="24"/>
        </w:rPr>
        <w:t>1</w:t>
      </w:r>
      <w:r>
        <w:rPr>
          <w:rFonts w:ascii="宋体" w:hAnsi="宋体" w:eastAsia="宋体" w:cs="宋体"/>
          <w:spacing w:val="-43"/>
          <w:sz w:val="24"/>
          <w:szCs w:val="24"/>
        </w:rPr>
        <w:t xml:space="preserve"> </w:t>
      </w:r>
      <w:r>
        <w:rPr>
          <w:rFonts w:ascii="宋体" w:hAnsi="宋体" w:eastAsia="宋体" w:cs="宋体"/>
          <w:spacing w:val="-1"/>
          <w:sz w:val="24"/>
          <w:szCs w:val="24"/>
        </w:rPr>
        <w:t>列“一般性税务处理-账载金额</w:t>
      </w:r>
      <w:r>
        <w:rPr>
          <w:rFonts w:ascii="宋体" w:hAnsi="宋体" w:eastAsia="宋体" w:cs="宋体"/>
          <w:spacing w:val="-86"/>
          <w:sz w:val="24"/>
          <w:szCs w:val="24"/>
        </w:rPr>
        <w:t xml:space="preserve"> </w:t>
      </w:r>
      <w:r>
        <w:rPr>
          <w:rFonts w:ascii="宋体" w:hAnsi="宋体" w:eastAsia="宋体" w:cs="宋体"/>
          <w:spacing w:val="-1"/>
          <w:sz w:val="24"/>
          <w:szCs w:val="24"/>
        </w:rPr>
        <w:t>”：填报企业重组适用一般性税务处</w:t>
      </w:r>
      <w:r>
        <w:rPr>
          <w:rFonts w:ascii="宋体" w:hAnsi="宋体" w:eastAsia="宋体" w:cs="宋体"/>
          <w:spacing w:val="-2"/>
          <w:sz w:val="24"/>
          <w:szCs w:val="24"/>
        </w:rPr>
        <w:t>理或企</w:t>
      </w:r>
      <w:r>
        <w:rPr>
          <w:rFonts w:ascii="宋体" w:hAnsi="宋体" w:eastAsia="宋体" w:cs="宋体"/>
          <w:sz w:val="24"/>
          <w:szCs w:val="24"/>
        </w:rPr>
        <w:t xml:space="preserve"> </w:t>
      </w:r>
      <w:r>
        <w:rPr>
          <w:rFonts w:ascii="宋体" w:hAnsi="宋体" w:eastAsia="宋体" w:cs="宋体"/>
          <w:spacing w:val="-1"/>
          <w:sz w:val="24"/>
          <w:szCs w:val="24"/>
        </w:rPr>
        <w:t>业未发生递延纳税业务，会计核算确认的企业损益金额。</w:t>
      </w:r>
    </w:p>
    <w:p w14:paraId="6766B6A8">
      <w:pPr>
        <w:spacing w:before="38" w:line="369" w:lineRule="auto"/>
        <w:ind w:right="85" w:firstLine="483"/>
        <w:rPr>
          <w:rFonts w:ascii="宋体" w:hAnsi="宋体" w:eastAsia="宋体" w:cs="宋体"/>
          <w:sz w:val="24"/>
          <w:szCs w:val="24"/>
        </w:rPr>
      </w:pPr>
      <w:r>
        <w:rPr>
          <w:rFonts w:ascii="宋体" w:hAnsi="宋体" w:eastAsia="宋体" w:cs="宋体"/>
          <w:sz w:val="24"/>
          <w:szCs w:val="24"/>
        </w:rPr>
        <w:t>2.第</w:t>
      </w:r>
      <w:r>
        <w:rPr>
          <w:rFonts w:ascii="宋体" w:hAnsi="宋体" w:eastAsia="宋体" w:cs="宋体"/>
          <w:spacing w:val="-45"/>
          <w:sz w:val="24"/>
          <w:szCs w:val="24"/>
        </w:rPr>
        <w:t xml:space="preserve"> </w:t>
      </w:r>
      <w:r>
        <w:rPr>
          <w:rFonts w:ascii="宋体" w:hAnsi="宋体" w:eastAsia="宋体" w:cs="宋体"/>
          <w:sz w:val="24"/>
          <w:szCs w:val="24"/>
        </w:rPr>
        <w:t>2</w:t>
      </w:r>
      <w:r>
        <w:rPr>
          <w:rFonts w:ascii="宋体" w:hAnsi="宋体" w:eastAsia="宋体" w:cs="宋体"/>
          <w:spacing w:val="-44"/>
          <w:sz w:val="24"/>
          <w:szCs w:val="24"/>
        </w:rPr>
        <w:t xml:space="preserve"> </w:t>
      </w:r>
      <w:r>
        <w:rPr>
          <w:rFonts w:ascii="宋体" w:hAnsi="宋体" w:eastAsia="宋体" w:cs="宋体"/>
          <w:sz w:val="24"/>
          <w:szCs w:val="24"/>
        </w:rPr>
        <w:t>列“一般性税务处理-税收金额</w:t>
      </w:r>
      <w:r>
        <w:rPr>
          <w:rFonts w:ascii="宋体" w:hAnsi="宋体" w:eastAsia="宋体" w:cs="宋体"/>
          <w:spacing w:val="-85"/>
          <w:sz w:val="24"/>
          <w:szCs w:val="24"/>
        </w:rPr>
        <w:t xml:space="preserve"> </w:t>
      </w:r>
      <w:r>
        <w:rPr>
          <w:rFonts w:ascii="宋体" w:hAnsi="宋体" w:eastAsia="宋体" w:cs="宋体"/>
          <w:sz w:val="24"/>
          <w:szCs w:val="24"/>
        </w:rPr>
        <w:t>”：填报企业重组适</w:t>
      </w:r>
      <w:r>
        <w:rPr>
          <w:rFonts w:ascii="宋体" w:hAnsi="宋体" w:eastAsia="宋体" w:cs="宋体"/>
          <w:spacing w:val="-1"/>
          <w:sz w:val="24"/>
          <w:szCs w:val="24"/>
        </w:rPr>
        <w:t>用一般性税务处理或企</w:t>
      </w:r>
      <w:r>
        <w:rPr>
          <w:rFonts w:ascii="宋体" w:hAnsi="宋体" w:eastAsia="宋体" w:cs="宋体"/>
          <w:sz w:val="24"/>
          <w:szCs w:val="24"/>
        </w:rPr>
        <w:t xml:space="preserve"> </w:t>
      </w:r>
      <w:r>
        <w:rPr>
          <w:rFonts w:ascii="宋体" w:hAnsi="宋体" w:eastAsia="宋体" w:cs="宋体"/>
          <w:spacing w:val="-1"/>
          <w:sz w:val="24"/>
          <w:szCs w:val="24"/>
        </w:rPr>
        <w:t>业未发生递延纳税业务，按税收规定确认的所得（或损失）。</w:t>
      </w:r>
    </w:p>
    <w:p w14:paraId="7719C632">
      <w:pPr>
        <w:spacing w:before="37" w:line="220" w:lineRule="auto"/>
        <w:ind w:left="486"/>
        <w:rPr>
          <w:rFonts w:ascii="宋体" w:hAnsi="宋体" w:eastAsia="宋体" w:cs="宋体"/>
          <w:spacing w:val="-1"/>
          <w:sz w:val="24"/>
          <w:szCs w:val="24"/>
        </w:rPr>
      </w:pPr>
      <w:r>
        <w:rPr>
          <w:rFonts w:ascii="宋体" w:hAnsi="宋体" w:eastAsia="宋体" w:cs="宋体"/>
          <w:sz w:val="24"/>
          <w:szCs w:val="24"/>
        </w:rPr>
        <w:t>3.第</w:t>
      </w:r>
      <w:r>
        <w:rPr>
          <w:rFonts w:ascii="宋体" w:hAnsi="宋体" w:eastAsia="宋体" w:cs="宋体"/>
          <w:spacing w:val="-44"/>
          <w:sz w:val="24"/>
          <w:szCs w:val="24"/>
        </w:rPr>
        <w:t xml:space="preserve"> </w:t>
      </w:r>
      <w:r>
        <w:rPr>
          <w:rFonts w:ascii="宋体" w:hAnsi="宋体" w:eastAsia="宋体" w:cs="宋体"/>
          <w:sz w:val="24"/>
          <w:szCs w:val="24"/>
        </w:rPr>
        <w:t>3</w:t>
      </w:r>
      <w:r>
        <w:rPr>
          <w:rFonts w:ascii="宋体" w:hAnsi="宋体" w:eastAsia="宋体" w:cs="宋体"/>
          <w:spacing w:val="-43"/>
          <w:sz w:val="24"/>
          <w:szCs w:val="24"/>
        </w:rPr>
        <w:t xml:space="preserve"> </w:t>
      </w:r>
      <w:r>
        <w:rPr>
          <w:rFonts w:ascii="宋体" w:hAnsi="宋体" w:eastAsia="宋体" w:cs="宋体"/>
          <w:sz w:val="24"/>
          <w:szCs w:val="24"/>
        </w:rPr>
        <w:t>列“一般性税务处理-纳税调整金额</w:t>
      </w:r>
      <w:r>
        <w:rPr>
          <w:rFonts w:ascii="宋体" w:hAnsi="宋体" w:eastAsia="宋体" w:cs="宋体"/>
          <w:spacing w:val="-86"/>
          <w:sz w:val="24"/>
          <w:szCs w:val="24"/>
        </w:rPr>
        <w:t xml:space="preserve"> </w:t>
      </w:r>
      <w:r>
        <w:rPr>
          <w:rFonts w:ascii="宋体" w:hAnsi="宋体" w:eastAsia="宋体" w:cs="宋体"/>
          <w:sz w:val="24"/>
          <w:szCs w:val="24"/>
        </w:rPr>
        <w:t>”：填报企业</w:t>
      </w:r>
      <w:r>
        <w:rPr>
          <w:rFonts w:ascii="宋体" w:hAnsi="宋体" w:eastAsia="宋体" w:cs="宋体"/>
          <w:spacing w:val="-1"/>
          <w:sz w:val="24"/>
          <w:szCs w:val="24"/>
        </w:rPr>
        <w:t>重组适用一般性税务处理</w:t>
      </w:r>
    </w:p>
    <w:p w14:paraId="387FC070">
      <w:pPr>
        <w:spacing w:before="78" w:line="370" w:lineRule="auto"/>
        <w:rPr>
          <w:rFonts w:ascii="宋体" w:hAnsi="宋体" w:eastAsia="宋体" w:cs="宋体"/>
          <w:sz w:val="24"/>
          <w:szCs w:val="24"/>
        </w:rPr>
      </w:pPr>
      <w:r>
        <w:rPr>
          <w:rFonts w:ascii="宋体" w:hAnsi="宋体" w:eastAsia="宋体" w:cs="宋体"/>
          <w:spacing w:val="-2"/>
          <w:sz w:val="24"/>
          <w:szCs w:val="24"/>
        </w:rPr>
        <w:t>或企业未发生递延纳税业务，按税收规定确认的所得（或损失）与会计核算确认的损益金额的差额。本项填报第</w:t>
      </w:r>
      <w:r>
        <w:rPr>
          <w:rFonts w:ascii="宋体" w:hAnsi="宋体" w:eastAsia="宋体" w:cs="宋体"/>
          <w:spacing w:val="-48"/>
          <w:sz w:val="24"/>
          <w:szCs w:val="24"/>
        </w:rPr>
        <w:t xml:space="preserve"> </w:t>
      </w:r>
      <w:r>
        <w:rPr>
          <w:rFonts w:ascii="宋体" w:hAnsi="宋体" w:eastAsia="宋体" w:cs="宋体"/>
          <w:spacing w:val="-2"/>
          <w:sz w:val="24"/>
          <w:szCs w:val="24"/>
        </w:rPr>
        <w:t>2-1</w:t>
      </w:r>
      <w:r>
        <w:rPr>
          <w:rFonts w:ascii="宋体" w:hAnsi="宋体" w:eastAsia="宋体" w:cs="宋体"/>
          <w:spacing w:val="-46"/>
          <w:sz w:val="24"/>
          <w:szCs w:val="24"/>
        </w:rPr>
        <w:t xml:space="preserve"> </w:t>
      </w:r>
      <w:r>
        <w:rPr>
          <w:rFonts w:ascii="宋体" w:hAnsi="宋体" w:eastAsia="宋体" w:cs="宋体"/>
          <w:spacing w:val="-2"/>
          <w:sz w:val="24"/>
          <w:szCs w:val="24"/>
        </w:rPr>
        <w:t>列的余额。</w:t>
      </w:r>
    </w:p>
    <w:p w14:paraId="61AAF5DA">
      <w:pPr>
        <w:spacing w:before="33" w:line="370" w:lineRule="auto"/>
        <w:ind w:right="2" w:firstLine="480"/>
        <w:rPr>
          <w:rFonts w:ascii="宋体" w:hAnsi="宋体" w:eastAsia="宋体" w:cs="宋体"/>
          <w:sz w:val="24"/>
          <w:szCs w:val="24"/>
        </w:rPr>
      </w:pPr>
      <w:r>
        <w:rPr>
          <w:rFonts w:ascii="宋体" w:hAnsi="宋体" w:eastAsia="宋体" w:cs="宋体"/>
          <w:sz w:val="24"/>
          <w:szCs w:val="24"/>
        </w:rPr>
        <w:t>4.第</w:t>
      </w:r>
      <w:r>
        <w:rPr>
          <w:rFonts w:ascii="宋体" w:hAnsi="宋体" w:eastAsia="宋体" w:cs="宋体"/>
          <w:spacing w:val="-49"/>
          <w:sz w:val="24"/>
          <w:szCs w:val="24"/>
        </w:rPr>
        <w:t xml:space="preserve"> </w:t>
      </w:r>
      <w:r>
        <w:rPr>
          <w:rFonts w:ascii="宋体" w:hAnsi="宋体" w:eastAsia="宋体" w:cs="宋体"/>
          <w:sz w:val="24"/>
          <w:szCs w:val="24"/>
        </w:rPr>
        <w:t>4</w:t>
      </w:r>
      <w:r>
        <w:rPr>
          <w:rFonts w:ascii="宋体" w:hAnsi="宋体" w:eastAsia="宋体" w:cs="宋体"/>
          <w:spacing w:val="-44"/>
          <w:sz w:val="24"/>
          <w:szCs w:val="24"/>
        </w:rPr>
        <w:t xml:space="preserve"> </w:t>
      </w:r>
      <w:r>
        <w:rPr>
          <w:rFonts w:ascii="宋体" w:hAnsi="宋体" w:eastAsia="宋体" w:cs="宋体"/>
          <w:sz w:val="24"/>
          <w:szCs w:val="24"/>
        </w:rPr>
        <w:t>列“特殊性税务处理（递延纳税）-账载金额</w:t>
      </w:r>
      <w:r>
        <w:rPr>
          <w:rFonts w:ascii="宋体" w:hAnsi="宋体" w:eastAsia="宋体" w:cs="宋体"/>
          <w:spacing w:val="-85"/>
          <w:sz w:val="24"/>
          <w:szCs w:val="24"/>
        </w:rPr>
        <w:t xml:space="preserve"> </w:t>
      </w:r>
      <w:r>
        <w:rPr>
          <w:rFonts w:ascii="宋体" w:hAnsi="宋体" w:eastAsia="宋体" w:cs="宋体"/>
          <w:sz w:val="24"/>
          <w:szCs w:val="24"/>
        </w:rPr>
        <w:t>”：填报企业重组适用特</w:t>
      </w:r>
      <w:r>
        <w:rPr>
          <w:rFonts w:ascii="宋体" w:hAnsi="宋体" w:eastAsia="宋体" w:cs="宋体"/>
          <w:spacing w:val="-1"/>
          <w:sz w:val="24"/>
          <w:szCs w:val="24"/>
        </w:rPr>
        <w:t>殊性税务处理或企业发生递延纳税业务，会计核算确认的损益金额。</w:t>
      </w:r>
    </w:p>
    <w:p w14:paraId="4E8C43EE">
      <w:pPr>
        <w:spacing w:before="32" w:line="371" w:lineRule="auto"/>
        <w:ind w:right="2" w:firstLine="485"/>
        <w:rPr>
          <w:rFonts w:ascii="宋体" w:hAnsi="宋体" w:eastAsia="宋体" w:cs="宋体"/>
          <w:sz w:val="24"/>
          <w:szCs w:val="24"/>
        </w:rPr>
      </w:pPr>
      <w:r>
        <w:rPr>
          <w:rFonts w:ascii="宋体" w:hAnsi="宋体" w:eastAsia="宋体" w:cs="宋体"/>
          <w:sz w:val="24"/>
          <w:szCs w:val="24"/>
        </w:rPr>
        <w:t>5.第</w:t>
      </w:r>
      <w:r>
        <w:rPr>
          <w:rFonts w:ascii="宋体" w:hAnsi="宋体" w:eastAsia="宋体" w:cs="宋体"/>
          <w:spacing w:val="-43"/>
          <w:sz w:val="24"/>
          <w:szCs w:val="24"/>
        </w:rPr>
        <w:t xml:space="preserve"> </w:t>
      </w:r>
      <w:r>
        <w:rPr>
          <w:rFonts w:ascii="宋体" w:hAnsi="宋体" w:eastAsia="宋体" w:cs="宋体"/>
          <w:sz w:val="24"/>
          <w:szCs w:val="24"/>
        </w:rPr>
        <w:t>5</w:t>
      </w:r>
      <w:r>
        <w:rPr>
          <w:rFonts w:ascii="宋体" w:hAnsi="宋体" w:eastAsia="宋体" w:cs="宋体"/>
          <w:spacing w:val="-43"/>
          <w:sz w:val="24"/>
          <w:szCs w:val="24"/>
        </w:rPr>
        <w:t xml:space="preserve"> </w:t>
      </w:r>
      <w:r>
        <w:rPr>
          <w:rFonts w:ascii="宋体" w:hAnsi="宋体" w:eastAsia="宋体" w:cs="宋体"/>
          <w:sz w:val="24"/>
          <w:szCs w:val="24"/>
        </w:rPr>
        <w:t>列“特殊性税务处理（递延纳税）-税收金</w:t>
      </w:r>
      <w:r>
        <w:rPr>
          <w:rFonts w:ascii="宋体" w:hAnsi="宋体" w:eastAsia="宋体" w:cs="宋体"/>
          <w:spacing w:val="-1"/>
          <w:sz w:val="24"/>
          <w:szCs w:val="24"/>
        </w:rPr>
        <w:t>额</w:t>
      </w:r>
      <w:r>
        <w:rPr>
          <w:rFonts w:ascii="宋体" w:hAnsi="宋体" w:eastAsia="宋体" w:cs="宋体"/>
          <w:spacing w:val="-86"/>
          <w:sz w:val="24"/>
          <w:szCs w:val="24"/>
        </w:rPr>
        <w:t xml:space="preserve"> </w:t>
      </w:r>
      <w:r>
        <w:rPr>
          <w:rFonts w:ascii="宋体" w:hAnsi="宋体" w:eastAsia="宋体" w:cs="宋体"/>
          <w:spacing w:val="-1"/>
          <w:sz w:val="24"/>
          <w:szCs w:val="24"/>
        </w:rPr>
        <w:t>”：填报企业重组适用特殊性</w:t>
      </w:r>
      <w:r>
        <w:rPr>
          <w:rFonts w:ascii="宋体" w:hAnsi="宋体" w:eastAsia="宋体" w:cs="宋体"/>
          <w:sz w:val="24"/>
          <w:szCs w:val="24"/>
        </w:rPr>
        <w:t>税务处理或企业发生递延纳税业务，按税收规定确</w:t>
      </w:r>
      <w:r>
        <w:rPr>
          <w:rFonts w:ascii="宋体" w:hAnsi="宋体" w:eastAsia="宋体" w:cs="宋体"/>
          <w:spacing w:val="-1"/>
          <w:sz w:val="24"/>
          <w:szCs w:val="24"/>
        </w:rPr>
        <w:t>认的所得（或损失）。</w:t>
      </w:r>
    </w:p>
    <w:p w14:paraId="7FD56F91">
      <w:pPr>
        <w:spacing w:before="32" w:line="374" w:lineRule="auto"/>
        <w:ind w:firstLine="481"/>
        <w:rPr>
          <w:rFonts w:ascii="宋体" w:hAnsi="宋体" w:eastAsia="宋体" w:cs="宋体"/>
          <w:sz w:val="24"/>
          <w:szCs w:val="24"/>
        </w:rPr>
      </w:pPr>
      <w:r>
        <w:rPr>
          <w:rFonts w:ascii="宋体" w:hAnsi="宋体" w:eastAsia="宋体" w:cs="宋体"/>
          <w:sz w:val="24"/>
          <w:szCs w:val="24"/>
        </w:rPr>
        <w:t>6.第</w:t>
      </w:r>
      <w:r>
        <w:rPr>
          <w:rFonts w:ascii="宋体" w:hAnsi="宋体" w:eastAsia="宋体" w:cs="宋体"/>
          <w:spacing w:val="-47"/>
          <w:sz w:val="24"/>
          <w:szCs w:val="24"/>
        </w:rPr>
        <w:t xml:space="preserve"> </w:t>
      </w:r>
      <w:r>
        <w:rPr>
          <w:rFonts w:ascii="宋体" w:hAnsi="宋体" w:eastAsia="宋体" w:cs="宋体"/>
          <w:sz w:val="24"/>
          <w:szCs w:val="24"/>
        </w:rPr>
        <w:t>6</w:t>
      </w:r>
      <w:r>
        <w:rPr>
          <w:rFonts w:ascii="宋体" w:hAnsi="宋体" w:eastAsia="宋体" w:cs="宋体"/>
          <w:spacing w:val="-43"/>
          <w:sz w:val="24"/>
          <w:szCs w:val="24"/>
        </w:rPr>
        <w:t xml:space="preserve"> </w:t>
      </w:r>
      <w:r>
        <w:rPr>
          <w:rFonts w:ascii="宋体" w:hAnsi="宋体" w:eastAsia="宋体" w:cs="宋体"/>
          <w:sz w:val="24"/>
          <w:szCs w:val="24"/>
        </w:rPr>
        <w:t>列“特殊性税务处理（递延纳税）-纳税调整金额</w:t>
      </w:r>
      <w:r>
        <w:rPr>
          <w:rFonts w:ascii="宋体" w:hAnsi="宋体" w:eastAsia="宋体" w:cs="宋体"/>
          <w:spacing w:val="-86"/>
          <w:sz w:val="24"/>
          <w:szCs w:val="24"/>
        </w:rPr>
        <w:t xml:space="preserve"> </w:t>
      </w:r>
      <w:r>
        <w:rPr>
          <w:rFonts w:ascii="宋体" w:hAnsi="宋体" w:eastAsia="宋体" w:cs="宋体"/>
          <w:sz w:val="24"/>
          <w:szCs w:val="24"/>
        </w:rPr>
        <w:t>”：填报企业</w:t>
      </w:r>
      <w:r>
        <w:rPr>
          <w:rFonts w:ascii="宋体" w:hAnsi="宋体" w:eastAsia="宋体" w:cs="宋体"/>
          <w:spacing w:val="-1"/>
          <w:sz w:val="24"/>
          <w:szCs w:val="24"/>
        </w:rPr>
        <w:t>重组适用特</w:t>
      </w:r>
      <w:r>
        <w:rPr>
          <w:rFonts w:ascii="宋体" w:hAnsi="宋体" w:eastAsia="宋体" w:cs="宋体"/>
          <w:spacing w:val="-2"/>
          <w:sz w:val="24"/>
          <w:szCs w:val="24"/>
        </w:rPr>
        <w:t>殊性税务处理或企业发生递延纳税业务，按税收规定确认的所得（或损失）与会计核算</w:t>
      </w:r>
      <w:bookmarkStart w:id="2" w:name="_GoBack"/>
      <w:bookmarkEnd w:id="2"/>
      <w:r>
        <w:rPr>
          <w:rFonts w:ascii="宋体" w:hAnsi="宋体" w:eastAsia="宋体" w:cs="宋体"/>
          <w:spacing w:val="-2"/>
          <w:sz w:val="24"/>
          <w:szCs w:val="24"/>
        </w:rPr>
        <w:t>确认的损益金额的差额。本项填报第</w:t>
      </w:r>
      <w:r>
        <w:rPr>
          <w:rFonts w:ascii="宋体" w:hAnsi="宋体" w:eastAsia="宋体" w:cs="宋体"/>
          <w:spacing w:val="-37"/>
          <w:sz w:val="24"/>
          <w:szCs w:val="24"/>
        </w:rPr>
        <w:t xml:space="preserve"> </w:t>
      </w:r>
      <w:r>
        <w:rPr>
          <w:rFonts w:ascii="宋体" w:hAnsi="宋体" w:eastAsia="宋体" w:cs="宋体"/>
          <w:spacing w:val="-2"/>
          <w:sz w:val="24"/>
          <w:szCs w:val="24"/>
        </w:rPr>
        <w:t>5-4</w:t>
      </w:r>
      <w:r>
        <w:rPr>
          <w:rFonts w:ascii="宋体" w:hAnsi="宋体" w:eastAsia="宋体" w:cs="宋体"/>
          <w:spacing w:val="-46"/>
          <w:sz w:val="24"/>
          <w:szCs w:val="24"/>
        </w:rPr>
        <w:t xml:space="preserve"> </w:t>
      </w:r>
      <w:r>
        <w:rPr>
          <w:rFonts w:ascii="宋体" w:hAnsi="宋体" w:eastAsia="宋体" w:cs="宋体"/>
          <w:spacing w:val="-2"/>
          <w:sz w:val="24"/>
          <w:szCs w:val="24"/>
        </w:rPr>
        <w:t>列的余额。</w:t>
      </w:r>
    </w:p>
    <w:p w14:paraId="789D5F73">
      <w:pPr>
        <w:spacing w:before="37" w:line="220" w:lineRule="auto"/>
        <w:ind w:left="486"/>
        <w:rPr>
          <w:rFonts w:ascii="宋体" w:hAnsi="宋体" w:eastAsia="宋体" w:cs="宋体"/>
          <w:sz w:val="24"/>
          <w:szCs w:val="24"/>
        </w:rPr>
      </w:pPr>
      <w:r>
        <w:rPr>
          <w:rFonts w:ascii="宋体" w:hAnsi="宋体" w:eastAsia="宋体" w:cs="宋体"/>
          <w:spacing w:val="-4"/>
          <w:sz w:val="24"/>
          <w:szCs w:val="24"/>
        </w:rPr>
        <w:t>7.第</w:t>
      </w:r>
      <w:r>
        <w:rPr>
          <w:rFonts w:ascii="宋体" w:hAnsi="宋体" w:eastAsia="宋体" w:cs="宋体"/>
          <w:spacing w:val="-43"/>
          <w:sz w:val="24"/>
          <w:szCs w:val="24"/>
        </w:rPr>
        <w:t xml:space="preserve"> </w:t>
      </w:r>
      <w:r>
        <w:rPr>
          <w:rFonts w:ascii="宋体" w:hAnsi="宋体" w:eastAsia="宋体" w:cs="宋体"/>
          <w:spacing w:val="-4"/>
          <w:sz w:val="24"/>
          <w:szCs w:val="24"/>
        </w:rPr>
        <w:t>7</w:t>
      </w:r>
      <w:r>
        <w:rPr>
          <w:rFonts w:ascii="宋体" w:hAnsi="宋体" w:eastAsia="宋体" w:cs="宋体"/>
          <w:spacing w:val="-46"/>
          <w:sz w:val="24"/>
          <w:szCs w:val="24"/>
        </w:rPr>
        <w:t xml:space="preserve"> </w:t>
      </w:r>
      <w:r>
        <w:rPr>
          <w:rFonts w:ascii="宋体" w:hAnsi="宋体" w:eastAsia="宋体" w:cs="宋体"/>
          <w:spacing w:val="-4"/>
          <w:sz w:val="24"/>
          <w:szCs w:val="24"/>
        </w:rPr>
        <w:t>列“纳税调整金额</w:t>
      </w:r>
      <w:r>
        <w:rPr>
          <w:rFonts w:ascii="宋体" w:hAnsi="宋体" w:eastAsia="宋体" w:cs="宋体"/>
          <w:spacing w:val="-88"/>
          <w:sz w:val="24"/>
          <w:szCs w:val="24"/>
        </w:rPr>
        <w:t xml:space="preserve"> </w:t>
      </w:r>
      <w:r>
        <w:rPr>
          <w:rFonts w:ascii="宋体" w:hAnsi="宋体" w:eastAsia="宋体" w:cs="宋体"/>
          <w:spacing w:val="-4"/>
          <w:sz w:val="24"/>
          <w:szCs w:val="24"/>
        </w:rPr>
        <w:t>”：填报第</w:t>
      </w:r>
      <w:r>
        <w:rPr>
          <w:rFonts w:ascii="宋体" w:hAnsi="宋体" w:eastAsia="宋体" w:cs="宋体"/>
          <w:spacing w:val="-46"/>
          <w:sz w:val="24"/>
          <w:szCs w:val="24"/>
        </w:rPr>
        <w:t xml:space="preserve"> </w:t>
      </w:r>
      <w:r>
        <w:rPr>
          <w:rFonts w:ascii="宋体" w:hAnsi="宋体" w:eastAsia="宋体" w:cs="宋体"/>
          <w:spacing w:val="-4"/>
          <w:sz w:val="24"/>
          <w:szCs w:val="24"/>
        </w:rPr>
        <w:t>3+6</w:t>
      </w:r>
      <w:r>
        <w:rPr>
          <w:rFonts w:ascii="宋体" w:hAnsi="宋体" w:eastAsia="宋体" w:cs="宋体"/>
          <w:spacing w:val="-46"/>
          <w:sz w:val="24"/>
          <w:szCs w:val="24"/>
        </w:rPr>
        <w:t xml:space="preserve"> </w:t>
      </w:r>
      <w:r>
        <w:rPr>
          <w:rFonts w:ascii="宋体" w:hAnsi="宋体" w:eastAsia="宋体" w:cs="宋体"/>
          <w:spacing w:val="-4"/>
          <w:sz w:val="24"/>
          <w:szCs w:val="24"/>
        </w:rPr>
        <w:t>列的合计金额。</w:t>
      </w:r>
    </w:p>
    <w:p w14:paraId="1A4A34A5">
      <w:pPr>
        <w:spacing w:before="211" w:line="220" w:lineRule="auto"/>
        <w:ind w:left="484"/>
        <w:outlineLvl w:val="1"/>
        <w:rPr>
          <w:rFonts w:ascii="宋体" w:hAnsi="宋体" w:eastAsia="宋体" w:cs="宋体"/>
          <w:sz w:val="24"/>
          <w:szCs w:val="24"/>
        </w:rPr>
      </w:pPr>
      <w:r>
        <w:rPr>
          <w:rFonts w:ascii="宋体" w:hAnsi="宋体" w:eastAsia="宋体" w:cs="宋体"/>
          <w:b/>
          <w:bCs/>
          <w:spacing w:val="-4"/>
          <w:sz w:val="24"/>
          <w:szCs w:val="24"/>
        </w:rPr>
        <w:t>二、表内、表间关系</w:t>
      </w:r>
    </w:p>
    <w:p w14:paraId="5F00F8DE">
      <w:pPr>
        <w:spacing w:before="213" w:line="220" w:lineRule="auto"/>
        <w:ind w:left="492"/>
        <w:outlineLvl w:val="2"/>
        <w:rPr>
          <w:rFonts w:ascii="宋体" w:hAnsi="宋体" w:eastAsia="宋体" w:cs="宋体"/>
          <w:sz w:val="24"/>
          <w:szCs w:val="24"/>
        </w:rPr>
      </w:pPr>
      <w:r>
        <w:rPr>
          <w:rFonts w:ascii="宋体" w:hAnsi="宋体" w:eastAsia="宋体" w:cs="宋体"/>
          <w:spacing w:val="-3"/>
          <w:sz w:val="24"/>
          <w:szCs w:val="24"/>
        </w:rPr>
        <w:t>（一）表内关系</w:t>
      </w:r>
    </w:p>
    <w:p w14:paraId="0BB4033B">
      <w:pPr>
        <w:spacing w:before="211" w:line="220" w:lineRule="auto"/>
        <w:ind w:left="498"/>
        <w:rPr>
          <w:rFonts w:ascii="宋体" w:hAnsi="宋体" w:eastAsia="宋体" w:cs="宋体"/>
          <w:sz w:val="24"/>
          <w:szCs w:val="24"/>
        </w:rPr>
      </w:pPr>
      <w:r>
        <w:rPr>
          <w:rFonts w:ascii="宋体" w:hAnsi="宋体" w:eastAsia="宋体" w:cs="宋体"/>
          <w:spacing w:val="-6"/>
          <w:sz w:val="24"/>
          <w:szCs w:val="24"/>
        </w:rPr>
        <w:t>1.第</w:t>
      </w:r>
      <w:r>
        <w:rPr>
          <w:rFonts w:ascii="宋体" w:hAnsi="宋体" w:eastAsia="宋体" w:cs="宋体"/>
          <w:spacing w:val="-47"/>
          <w:sz w:val="24"/>
          <w:szCs w:val="24"/>
        </w:rPr>
        <w:t xml:space="preserve"> </w:t>
      </w:r>
      <w:r>
        <w:rPr>
          <w:rFonts w:ascii="宋体" w:hAnsi="宋体" w:eastAsia="宋体" w:cs="宋体"/>
          <w:spacing w:val="-6"/>
          <w:sz w:val="24"/>
          <w:szCs w:val="24"/>
        </w:rPr>
        <w:t>8</w:t>
      </w:r>
      <w:r>
        <w:rPr>
          <w:rFonts w:ascii="宋体" w:hAnsi="宋体" w:eastAsia="宋体" w:cs="宋体"/>
          <w:spacing w:val="-47"/>
          <w:sz w:val="24"/>
          <w:szCs w:val="24"/>
        </w:rPr>
        <w:t xml:space="preserve"> </w:t>
      </w:r>
      <w:r>
        <w:rPr>
          <w:rFonts w:ascii="宋体" w:hAnsi="宋体" w:eastAsia="宋体" w:cs="宋体"/>
          <w:spacing w:val="-6"/>
          <w:sz w:val="24"/>
          <w:szCs w:val="24"/>
        </w:rPr>
        <w:t>行＝第</w:t>
      </w:r>
      <w:r>
        <w:rPr>
          <w:rFonts w:ascii="宋体" w:hAnsi="宋体" w:eastAsia="宋体" w:cs="宋体"/>
          <w:spacing w:val="-50"/>
          <w:sz w:val="24"/>
          <w:szCs w:val="24"/>
        </w:rPr>
        <w:t xml:space="preserve"> </w:t>
      </w:r>
      <w:r>
        <w:rPr>
          <w:rFonts w:ascii="宋体" w:hAnsi="宋体" w:eastAsia="宋体" w:cs="宋体"/>
          <w:spacing w:val="-6"/>
          <w:sz w:val="24"/>
          <w:szCs w:val="24"/>
        </w:rPr>
        <w:t>9+10</w:t>
      </w:r>
      <w:r>
        <w:rPr>
          <w:rFonts w:ascii="宋体" w:hAnsi="宋体" w:eastAsia="宋体" w:cs="宋体"/>
          <w:spacing w:val="-47"/>
          <w:sz w:val="24"/>
          <w:szCs w:val="24"/>
        </w:rPr>
        <w:t xml:space="preserve"> </w:t>
      </w:r>
      <w:r>
        <w:rPr>
          <w:rFonts w:ascii="宋体" w:hAnsi="宋体" w:eastAsia="宋体" w:cs="宋体"/>
          <w:spacing w:val="-6"/>
          <w:sz w:val="24"/>
          <w:szCs w:val="24"/>
        </w:rPr>
        <w:t>行。</w:t>
      </w:r>
    </w:p>
    <w:p w14:paraId="2FB33477">
      <w:pPr>
        <w:spacing w:before="213" w:line="220" w:lineRule="auto"/>
        <w:ind w:left="483"/>
        <w:rPr>
          <w:rFonts w:ascii="宋体" w:hAnsi="宋体" w:eastAsia="宋体" w:cs="宋体"/>
          <w:sz w:val="24"/>
          <w:szCs w:val="24"/>
        </w:rPr>
      </w:pPr>
      <w:r>
        <w:rPr>
          <w:rFonts w:ascii="宋体" w:hAnsi="宋体" w:eastAsia="宋体" w:cs="宋体"/>
          <w:spacing w:val="-5"/>
          <w:sz w:val="24"/>
          <w:szCs w:val="24"/>
        </w:rPr>
        <w:t>2.第</w:t>
      </w:r>
      <w:r>
        <w:rPr>
          <w:rFonts w:ascii="宋体" w:hAnsi="宋体" w:eastAsia="宋体" w:cs="宋体"/>
          <w:spacing w:val="-32"/>
          <w:sz w:val="24"/>
          <w:szCs w:val="24"/>
        </w:rPr>
        <w:t xml:space="preserve"> </w:t>
      </w:r>
      <w:r>
        <w:rPr>
          <w:rFonts w:ascii="宋体" w:hAnsi="宋体" w:eastAsia="宋体" w:cs="宋体"/>
          <w:spacing w:val="-5"/>
          <w:sz w:val="24"/>
          <w:szCs w:val="24"/>
        </w:rPr>
        <w:t>15</w:t>
      </w:r>
      <w:r>
        <w:rPr>
          <w:rFonts w:ascii="宋体" w:hAnsi="宋体" w:eastAsia="宋体" w:cs="宋体"/>
          <w:spacing w:val="-47"/>
          <w:sz w:val="24"/>
          <w:szCs w:val="24"/>
        </w:rPr>
        <w:t xml:space="preserve"> </w:t>
      </w:r>
      <w:r>
        <w:rPr>
          <w:rFonts w:ascii="宋体" w:hAnsi="宋体" w:eastAsia="宋体" w:cs="宋体"/>
          <w:spacing w:val="-5"/>
          <w:sz w:val="24"/>
          <w:szCs w:val="24"/>
        </w:rPr>
        <w:t>行＝第</w:t>
      </w:r>
      <w:r>
        <w:rPr>
          <w:rFonts w:ascii="宋体" w:hAnsi="宋体" w:eastAsia="宋体" w:cs="宋体"/>
          <w:spacing w:val="-33"/>
          <w:sz w:val="24"/>
          <w:szCs w:val="24"/>
        </w:rPr>
        <w:t xml:space="preserve"> </w:t>
      </w:r>
      <w:r>
        <w:rPr>
          <w:rFonts w:ascii="宋体" w:hAnsi="宋体" w:eastAsia="宋体" w:cs="宋体"/>
          <w:spacing w:val="-5"/>
          <w:sz w:val="24"/>
          <w:szCs w:val="24"/>
        </w:rPr>
        <w:t>15.1+15.2</w:t>
      </w:r>
      <w:r>
        <w:rPr>
          <w:rFonts w:ascii="宋体" w:hAnsi="宋体" w:eastAsia="宋体" w:cs="宋体"/>
          <w:spacing w:val="-47"/>
          <w:sz w:val="24"/>
          <w:szCs w:val="24"/>
        </w:rPr>
        <w:t xml:space="preserve"> </w:t>
      </w:r>
      <w:r>
        <w:rPr>
          <w:rFonts w:ascii="宋体" w:hAnsi="宋体" w:eastAsia="宋体" w:cs="宋体"/>
          <w:spacing w:val="-5"/>
          <w:sz w:val="24"/>
          <w:szCs w:val="24"/>
        </w:rPr>
        <w:t>行。</w:t>
      </w:r>
    </w:p>
    <w:p w14:paraId="5434B79E">
      <w:pPr>
        <w:spacing w:before="210" w:line="371" w:lineRule="auto"/>
        <w:ind w:left="480" w:right="3470" w:firstLine="5"/>
        <w:rPr>
          <w:rFonts w:ascii="宋体" w:hAnsi="宋体" w:eastAsia="宋体" w:cs="宋体"/>
          <w:sz w:val="24"/>
          <w:szCs w:val="24"/>
        </w:rPr>
      </w:pPr>
      <w:r>
        <w:rPr>
          <w:rFonts w:ascii="宋体" w:hAnsi="宋体" w:eastAsia="宋体" w:cs="宋体"/>
          <w:spacing w:val="-4"/>
          <w:sz w:val="24"/>
          <w:szCs w:val="24"/>
        </w:rPr>
        <w:t>3.第</w:t>
      </w:r>
      <w:r>
        <w:rPr>
          <w:rFonts w:ascii="宋体" w:hAnsi="宋体" w:eastAsia="宋体" w:cs="宋体"/>
          <w:spacing w:val="-28"/>
          <w:sz w:val="24"/>
          <w:szCs w:val="24"/>
        </w:rPr>
        <w:t xml:space="preserve"> </w:t>
      </w:r>
      <w:r>
        <w:rPr>
          <w:rFonts w:ascii="宋体" w:hAnsi="宋体" w:eastAsia="宋体" w:cs="宋体"/>
          <w:spacing w:val="-4"/>
          <w:sz w:val="24"/>
          <w:szCs w:val="24"/>
        </w:rPr>
        <w:t>17</w:t>
      </w:r>
      <w:r>
        <w:rPr>
          <w:rFonts w:ascii="宋体" w:hAnsi="宋体" w:eastAsia="宋体" w:cs="宋体"/>
          <w:spacing w:val="-47"/>
          <w:sz w:val="24"/>
          <w:szCs w:val="24"/>
        </w:rPr>
        <w:t xml:space="preserve"> </w:t>
      </w:r>
      <w:r>
        <w:rPr>
          <w:rFonts w:ascii="宋体" w:hAnsi="宋体" w:eastAsia="宋体" w:cs="宋体"/>
          <w:spacing w:val="-4"/>
          <w:sz w:val="24"/>
          <w:szCs w:val="24"/>
        </w:rPr>
        <w:t>行＝第</w:t>
      </w:r>
      <w:r>
        <w:rPr>
          <w:rFonts w:ascii="宋体" w:hAnsi="宋体" w:eastAsia="宋体" w:cs="宋体"/>
          <w:spacing w:val="-33"/>
          <w:sz w:val="24"/>
          <w:szCs w:val="24"/>
        </w:rPr>
        <w:t xml:space="preserve"> </w:t>
      </w:r>
      <w:r>
        <w:rPr>
          <w:rFonts w:ascii="宋体" w:hAnsi="宋体" w:eastAsia="宋体" w:cs="宋体"/>
          <w:spacing w:val="-4"/>
          <w:sz w:val="24"/>
          <w:szCs w:val="24"/>
        </w:rPr>
        <w:t>1+4+6+8+11+12+13+14+15+16</w:t>
      </w:r>
      <w:r>
        <w:rPr>
          <w:rFonts w:ascii="宋体" w:hAnsi="宋体" w:eastAsia="宋体" w:cs="宋体"/>
          <w:spacing w:val="-46"/>
          <w:sz w:val="24"/>
          <w:szCs w:val="24"/>
        </w:rPr>
        <w:t xml:space="preserve"> </w:t>
      </w:r>
      <w:r>
        <w:rPr>
          <w:rFonts w:ascii="宋体" w:hAnsi="宋体" w:eastAsia="宋体" w:cs="宋体"/>
          <w:spacing w:val="-4"/>
          <w:sz w:val="24"/>
          <w:szCs w:val="24"/>
        </w:rPr>
        <w:t>行。</w:t>
      </w:r>
      <w:r>
        <w:rPr>
          <w:rFonts w:ascii="宋体" w:hAnsi="宋体" w:eastAsia="宋体" w:cs="宋体"/>
          <w:sz w:val="24"/>
          <w:szCs w:val="24"/>
        </w:rPr>
        <w:t xml:space="preserve"> </w:t>
      </w:r>
    </w:p>
    <w:p w14:paraId="5AE9115D">
      <w:pPr>
        <w:spacing w:before="210" w:line="371" w:lineRule="auto"/>
        <w:ind w:left="480" w:right="3470" w:firstLine="5"/>
        <w:rPr>
          <w:rFonts w:ascii="宋体" w:hAnsi="宋体" w:eastAsia="宋体" w:cs="宋体"/>
          <w:sz w:val="24"/>
          <w:szCs w:val="24"/>
        </w:rPr>
      </w:pPr>
      <w:r>
        <w:rPr>
          <w:rFonts w:ascii="宋体" w:hAnsi="宋体" w:eastAsia="宋体" w:cs="宋体"/>
          <w:spacing w:val="-6"/>
          <w:sz w:val="24"/>
          <w:szCs w:val="24"/>
        </w:rPr>
        <w:t>4.第</w:t>
      </w:r>
      <w:r>
        <w:rPr>
          <w:rFonts w:ascii="宋体" w:hAnsi="宋体" w:eastAsia="宋体" w:cs="宋体"/>
          <w:spacing w:val="-38"/>
          <w:sz w:val="24"/>
          <w:szCs w:val="24"/>
        </w:rPr>
        <w:t xml:space="preserve"> </w:t>
      </w:r>
      <w:r>
        <w:rPr>
          <w:rFonts w:ascii="宋体" w:hAnsi="宋体" w:eastAsia="宋体" w:cs="宋体"/>
          <w:spacing w:val="-6"/>
          <w:sz w:val="24"/>
          <w:szCs w:val="24"/>
        </w:rPr>
        <w:t>3</w:t>
      </w:r>
      <w:r>
        <w:rPr>
          <w:rFonts w:ascii="宋体" w:hAnsi="宋体" w:eastAsia="宋体" w:cs="宋体"/>
          <w:spacing w:val="-46"/>
          <w:sz w:val="24"/>
          <w:szCs w:val="24"/>
        </w:rPr>
        <w:t xml:space="preserve"> </w:t>
      </w:r>
      <w:r>
        <w:rPr>
          <w:rFonts w:ascii="宋体" w:hAnsi="宋体" w:eastAsia="宋体" w:cs="宋体"/>
          <w:spacing w:val="-6"/>
          <w:sz w:val="24"/>
          <w:szCs w:val="24"/>
        </w:rPr>
        <w:t>列＝第</w:t>
      </w:r>
      <w:r>
        <w:rPr>
          <w:rFonts w:ascii="宋体" w:hAnsi="宋体" w:eastAsia="宋体" w:cs="宋体"/>
          <w:spacing w:val="-48"/>
          <w:sz w:val="24"/>
          <w:szCs w:val="24"/>
        </w:rPr>
        <w:t xml:space="preserve"> </w:t>
      </w:r>
      <w:r>
        <w:rPr>
          <w:rFonts w:ascii="宋体" w:hAnsi="宋体" w:eastAsia="宋体" w:cs="宋体"/>
          <w:spacing w:val="-6"/>
          <w:sz w:val="24"/>
          <w:szCs w:val="24"/>
        </w:rPr>
        <w:t>2-1</w:t>
      </w:r>
      <w:r>
        <w:rPr>
          <w:rFonts w:ascii="宋体" w:hAnsi="宋体" w:eastAsia="宋体" w:cs="宋体"/>
          <w:spacing w:val="-46"/>
          <w:sz w:val="24"/>
          <w:szCs w:val="24"/>
        </w:rPr>
        <w:t xml:space="preserve"> </w:t>
      </w:r>
      <w:r>
        <w:rPr>
          <w:rFonts w:ascii="宋体" w:hAnsi="宋体" w:eastAsia="宋体" w:cs="宋体"/>
          <w:spacing w:val="-6"/>
          <w:sz w:val="24"/>
          <w:szCs w:val="24"/>
        </w:rPr>
        <w:t>列。</w:t>
      </w:r>
    </w:p>
    <w:p w14:paraId="4824A4C8">
      <w:pPr>
        <w:spacing w:before="31" w:line="371" w:lineRule="auto"/>
        <w:ind w:left="482" w:right="6230" w:firstLine="2"/>
        <w:rPr>
          <w:rFonts w:ascii="宋体" w:hAnsi="宋体" w:eastAsia="宋体" w:cs="宋体"/>
          <w:sz w:val="24"/>
          <w:szCs w:val="24"/>
        </w:rPr>
      </w:pPr>
      <w:r>
        <w:rPr>
          <w:rFonts w:ascii="宋体" w:hAnsi="宋体" w:eastAsia="宋体" w:cs="宋体"/>
          <w:spacing w:val="-9"/>
          <w:sz w:val="24"/>
          <w:szCs w:val="24"/>
        </w:rPr>
        <w:t>5.第</w:t>
      </w:r>
      <w:r>
        <w:rPr>
          <w:rFonts w:ascii="宋体" w:hAnsi="宋体" w:eastAsia="宋体" w:cs="宋体"/>
          <w:spacing w:val="-49"/>
          <w:sz w:val="24"/>
          <w:szCs w:val="24"/>
        </w:rPr>
        <w:t xml:space="preserve"> </w:t>
      </w:r>
      <w:r>
        <w:rPr>
          <w:rFonts w:ascii="宋体" w:hAnsi="宋体" w:eastAsia="宋体" w:cs="宋体"/>
          <w:spacing w:val="-9"/>
          <w:sz w:val="24"/>
          <w:szCs w:val="24"/>
        </w:rPr>
        <w:t>6</w:t>
      </w:r>
      <w:r>
        <w:rPr>
          <w:rFonts w:ascii="宋体" w:hAnsi="宋体" w:eastAsia="宋体" w:cs="宋体"/>
          <w:spacing w:val="-46"/>
          <w:sz w:val="24"/>
          <w:szCs w:val="24"/>
        </w:rPr>
        <w:t xml:space="preserve"> </w:t>
      </w:r>
      <w:r>
        <w:rPr>
          <w:rFonts w:ascii="宋体" w:hAnsi="宋体" w:eastAsia="宋体" w:cs="宋体"/>
          <w:spacing w:val="-9"/>
          <w:sz w:val="24"/>
          <w:szCs w:val="24"/>
        </w:rPr>
        <w:t>列＝第</w:t>
      </w:r>
      <w:r>
        <w:rPr>
          <w:rFonts w:ascii="宋体" w:hAnsi="宋体" w:eastAsia="宋体" w:cs="宋体"/>
          <w:spacing w:val="-46"/>
          <w:sz w:val="24"/>
          <w:szCs w:val="24"/>
        </w:rPr>
        <w:t xml:space="preserve"> </w:t>
      </w:r>
      <w:r>
        <w:rPr>
          <w:rFonts w:ascii="宋体" w:hAnsi="宋体" w:eastAsia="宋体" w:cs="宋体"/>
          <w:spacing w:val="-9"/>
          <w:sz w:val="24"/>
          <w:szCs w:val="24"/>
        </w:rPr>
        <w:t>5-4</w:t>
      </w:r>
      <w:r>
        <w:rPr>
          <w:rFonts w:ascii="宋体" w:hAnsi="宋体" w:eastAsia="宋体" w:cs="宋体"/>
          <w:spacing w:val="-45"/>
          <w:sz w:val="24"/>
          <w:szCs w:val="24"/>
        </w:rPr>
        <w:t xml:space="preserve"> </w:t>
      </w:r>
      <w:r>
        <w:rPr>
          <w:rFonts w:ascii="宋体" w:hAnsi="宋体" w:eastAsia="宋体" w:cs="宋体"/>
          <w:spacing w:val="-9"/>
          <w:sz w:val="24"/>
          <w:szCs w:val="24"/>
        </w:rPr>
        <w:t>列。</w:t>
      </w:r>
      <w:r>
        <w:rPr>
          <w:rFonts w:ascii="宋体" w:hAnsi="宋体" w:eastAsia="宋体" w:cs="宋体"/>
          <w:sz w:val="24"/>
          <w:szCs w:val="24"/>
        </w:rPr>
        <w:t xml:space="preserve"> </w:t>
      </w:r>
    </w:p>
    <w:p w14:paraId="448FA6C4">
      <w:pPr>
        <w:spacing w:before="31" w:line="371" w:lineRule="auto"/>
        <w:ind w:left="482" w:right="6230" w:firstLine="2"/>
        <w:rPr>
          <w:rFonts w:ascii="宋体" w:hAnsi="宋体" w:eastAsia="宋体" w:cs="宋体"/>
          <w:sz w:val="24"/>
          <w:szCs w:val="24"/>
        </w:rPr>
      </w:pPr>
      <w:r>
        <w:rPr>
          <w:rFonts w:ascii="宋体" w:hAnsi="宋体" w:eastAsia="宋体" w:cs="宋体"/>
          <w:spacing w:val="-9"/>
          <w:sz w:val="24"/>
          <w:szCs w:val="24"/>
        </w:rPr>
        <w:t>6.第</w:t>
      </w:r>
      <w:r>
        <w:rPr>
          <w:rFonts w:ascii="宋体" w:hAnsi="宋体" w:eastAsia="宋体" w:cs="宋体"/>
          <w:spacing w:val="-45"/>
          <w:sz w:val="24"/>
          <w:szCs w:val="24"/>
        </w:rPr>
        <w:t xml:space="preserve"> </w:t>
      </w:r>
      <w:r>
        <w:rPr>
          <w:rFonts w:ascii="宋体" w:hAnsi="宋体" w:eastAsia="宋体" w:cs="宋体"/>
          <w:spacing w:val="-9"/>
          <w:sz w:val="24"/>
          <w:szCs w:val="24"/>
        </w:rPr>
        <w:t>7</w:t>
      </w:r>
      <w:r>
        <w:rPr>
          <w:rFonts w:ascii="宋体" w:hAnsi="宋体" w:eastAsia="宋体" w:cs="宋体"/>
          <w:spacing w:val="-46"/>
          <w:sz w:val="24"/>
          <w:szCs w:val="24"/>
        </w:rPr>
        <w:t xml:space="preserve"> </w:t>
      </w:r>
      <w:r>
        <w:rPr>
          <w:rFonts w:ascii="宋体" w:hAnsi="宋体" w:eastAsia="宋体" w:cs="宋体"/>
          <w:spacing w:val="-9"/>
          <w:sz w:val="24"/>
          <w:szCs w:val="24"/>
        </w:rPr>
        <w:t>列＝第</w:t>
      </w:r>
      <w:r>
        <w:rPr>
          <w:rFonts w:ascii="宋体" w:hAnsi="宋体" w:eastAsia="宋体" w:cs="宋体"/>
          <w:spacing w:val="-46"/>
          <w:sz w:val="24"/>
          <w:szCs w:val="24"/>
        </w:rPr>
        <w:t xml:space="preserve"> </w:t>
      </w:r>
      <w:r>
        <w:rPr>
          <w:rFonts w:ascii="宋体" w:hAnsi="宋体" w:eastAsia="宋体" w:cs="宋体"/>
          <w:spacing w:val="-9"/>
          <w:sz w:val="24"/>
          <w:szCs w:val="24"/>
        </w:rPr>
        <w:t>3+6</w:t>
      </w:r>
      <w:r>
        <w:rPr>
          <w:rFonts w:ascii="宋体" w:hAnsi="宋体" w:eastAsia="宋体" w:cs="宋体"/>
          <w:spacing w:val="-46"/>
          <w:sz w:val="24"/>
          <w:szCs w:val="24"/>
        </w:rPr>
        <w:t xml:space="preserve"> </w:t>
      </w:r>
      <w:r>
        <w:rPr>
          <w:rFonts w:ascii="宋体" w:hAnsi="宋体" w:eastAsia="宋体" w:cs="宋体"/>
          <w:spacing w:val="-9"/>
          <w:sz w:val="24"/>
          <w:szCs w:val="24"/>
        </w:rPr>
        <w:t>列。</w:t>
      </w:r>
    </w:p>
    <w:p w14:paraId="4D970EA2">
      <w:pPr>
        <w:spacing w:before="32" w:line="221" w:lineRule="auto"/>
        <w:ind w:left="492"/>
        <w:outlineLvl w:val="2"/>
        <w:rPr>
          <w:rFonts w:ascii="宋体" w:hAnsi="宋体" w:eastAsia="宋体" w:cs="宋体"/>
          <w:sz w:val="24"/>
          <w:szCs w:val="24"/>
        </w:rPr>
      </w:pPr>
      <w:r>
        <w:rPr>
          <w:rFonts w:ascii="宋体" w:hAnsi="宋体" w:eastAsia="宋体" w:cs="宋体"/>
          <w:spacing w:val="-3"/>
          <w:sz w:val="24"/>
          <w:szCs w:val="24"/>
        </w:rPr>
        <w:t>（二）表间关系</w:t>
      </w:r>
    </w:p>
    <w:p w14:paraId="3240BEDA">
      <w:pPr>
        <w:spacing w:before="212" w:line="369" w:lineRule="auto"/>
        <w:ind w:left="483" w:right="3350" w:firstLine="14"/>
        <w:rPr>
          <w:rFonts w:ascii="宋体" w:hAnsi="宋体" w:eastAsia="宋体" w:cs="宋体"/>
          <w:sz w:val="24"/>
          <w:szCs w:val="24"/>
        </w:rPr>
      </w:pPr>
      <w:r>
        <w:rPr>
          <w:rFonts w:ascii="宋体" w:hAnsi="宋体" w:eastAsia="宋体" w:cs="宋体"/>
          <w:spacing w:val="-8"/>
          <w:sz w:val="24"/>
          <w:szCs w:val="24"/>
        </w:rPr>
        <w:t>1.第</w:t>
      </w:r>
      <w:r>
        <w:rPr>
          <w:rFonts w:ascii="宋体" w:hAnsi="宋体" w:eastAsia="宋体" w:cs="宋体"/>
          <w:spacing w:val="-33"/>
          <w:sz w:val="24"/>
          <w:szCs w:val="24"/>
        </w:rPr>
        <w:t xml:space="preserve"> </w:t>
      </w:r>
      <w:r>
        <w:rPr>
          <w:rFonts w:ascii="宋体" w:hAnsi="宋体" w:eastAsia="宋体" w:cs="宋体"/>
          <w:spacing w:val="-8"/>
          <w:sz w:val="24"/>
          <w:szCs w:val="24"/>
        </w:rPr>
        <w:t>17</w:t>
      </w:r>
      <w:r>
        <w:rPr>
          <w:rFonts w:ascii="宋体" w:hAnsi="宋体" w:eastAsia="宋体" w:cs="宋体"/>
          <w:spacing w:val="-47"/>
          <w:sz w:val="24"/>
          <w:szCs w:val="24"/>
        </w:rPr>
        <w:t xml:space="preserve"> </w:t>
      </w:r>
      <w:r>
        <w:rPr>
          <w:rFonts w:ascii="宋体" w:hAnsi="宋体" w:eastAsia="宋体" w:cs="宋体"/>
          <w:spacing w:val="-8"/>
          <w:sz w:val="24"/>
          <w:szCs w:val="24"/>
        </w:rPr>
        <w:t>行第</w:t>
      </w:r>
      <w:r>
        <w:rPr>
          <w:rFonts w:ascii="宋体" w:hAnsi="宋体" w:eastAsia="宋体" w:cs="宋体"/>
          <w:spacing w:val="-33"/>
          <w:sz w:val="24"/>
          <w:szCs w:val="24"/>
        </w:rPr>
        <w:t xml:space="preserve"> </w:t>
      </w:r>
      <w:r>
        <w:rPr>
          <w:rFonts w:ascii="宋体" w:hAnsi="宋体" w:eastAsia="宋体" w:cs="宋体"/>
          <w:spacing w:val="-8"/>
          <w:sz w:val="24"/>
          <w:szCs w:val="24"/>
        </w:rPr>
        <w:t>1+4</w:t>
      </w:r>
      <w:r>
        <w:rPr>
          <w:rFonts w:ascii="宋体" w:hAnsi="宋体" w:eastAsia="宋体" w:cs="宋体"/>
          <w:spacing w:val="-45"/>
          <w:sz w:val="24"/>
          <w:szCs w:val="24"/>
        </w:rPr>
        <w:t xml:space="preserve"> </w:t>
      </w:r>
      <w:r>
        <w:rPr>
          <w:rFonts w:ascii="宋体" w:hAnsi="宋体" w:eastAsia="宋体" w:cs="宋体"/>
          <w:spacing w:val="-8"/>
          <w:sz w:val="24"/>
          <w:szCs w:val="24"/>
        </w:rPr>
        <w:t>列＝表</w:t>
      </w:r>
      <w:r>
        <w:rPr>
          <w:rFonts w:ascii="宋体" w:hAnsi="宋体" w:eastAsia="宋体" w:cs="宋体"/>
          <w:spacing w:val="-58"/>
          <w:sz w:val="24"/>
          <w:szCs w:val="24"/>
        </w:rPr>
        <w:t xml:space="preserve"> </w:t>
      </w:r>
      <w:r>
        <w:rPr>
          <w:rFonts w:ascii="宋体" w:hAnsi="宋体" w:eastAsia="宋体" w:cs="宋体"/>
          <w:spacing w:val="-8"/>
          <w:sz w:val="24"/>
          <w:szCs w:val="24"/>
        </w:rPr>
        <w:t>A105000</w:t>
      </w:r>
      <w:r>
        <w:rPr>
          <w:rFonts w:ascii="宋体" w:hAnsi="宋体" w:eastAsia="宋体" w:cs="宋体"/>
          <w:spacing w:val="-51"/>
          <w:sz w:val="24"/>
          <w:szCs w:val="24"/>
        </w:rPr>
        <w:t xml:space="preserve"> </w:t>
      </w:r>
      <w:r>
        <w:rPr>
          <w:rFonts w:ascii="宋体" w:hAnsi="宋体" w:eastAsia="宋体" w:cs="宋体"/>
          <w:spacing w:val="-8"/>
          <w:sz w:val="24"/>
          <w:szCs w:val="24"/>
        </w:rPr>
        <w:t>第</w:t>
      </w:r>
      <w:r>
        <w:rPr>
          <w:rFonts w:ascii="宋体" w:hAnsi="宋体" w:eastAsia="宋体" w:cs="宋体"/>
          <w:spacing w:val="-46"/>
          <w:sz w:val="24"/>
          <w:szCs w:val="24"/>
        </w:rPr>
        <w:t xml:space="preserve"> </w:t>
      </w:r>
      <w:r>
        <w:rPr>
          <w:rFonts w:ascii="宋体" w:hAnsi="宋体" w:eastAsia="宋体" w:cs="宋体"/>
          <w:spacing w:val="-8"/>
          <w:sz w:val="24"/>
          <w:szCs w:val="24"/>
        </w:rPr>
        <w:t>37</w:t>
      </w:r>
      <w:r>
        <w:rPr>
          <w:rFonts w:ascii="宋体" w:hAnsi="宋体" w:eastAsia="宋体" w:cs="宋体"/>
          <w:spacing w:val="-47"/>
          <w:sz w:val="24"/>
          <w:szCs w:val="24"/>
        </w:rPr>
        <w:t xml:space="preserve"> </w:t>
      </w:r>
      <w:r>
        <w:rPr>
          <w:rFonts w:ascii="宋体" w:hAnsi="宋体" w:eastAsia="宋体" w:cs="宋体"/>
          <w:spacing w:val="-9"/>
          <w:sz w:val="24"/>
          <w:szCs w:val="24"/>
        </w:rPr>
        <w:t>行第</w:t>
      </w:r>
      <w:r>
        <w:rPr>
          <w:rFonts w:ascii="宋体" w:hAnsi="宋体" w:eastAsia="宋体" w:cs="宋体"/>
          <w:spacing w:val="-33"/>
          <w:sz w:val="24"/>
          <w:szCs w:val="24"/>
        </w:rPr>
        <w:t xml:space="preserve"> </w:t>
      </w:r>
      <w:r>
        <w:rPr>
          <w:rFonts w:ascii="宋体" w:hAnsi="宋体" w:eastAsia="宋体" w:cs="宋体"/>
          <w:spacing w:val="-9"/>
          <w:sz w:val="24"/>
          <w:szCs w:val="24"/>
        </w:rPr>
        <w:t>1</w:t>
      </w:r>
      <w:r>
        <w:rPr>
          <w:rFonts w:ascii="宋体" w:hAnsi="宋体" w:eastAsia="宋体" w:cs="宋体"/>
          <w:spacing w:val="-45"/>
          <w:sz w:val="24"/>
          <w:szCs w:val="24"/>
        </w:rPr>
        <w:t xml:space="preserve"> </w:t>
      </w:r>
      <w:r>
        <w:rPr>
          <w:rFonts w:ascii="宋体" w:hAnsi="宋体" w:eastAsia="宋体" w:cs="宋体"/>
          <w:spacing w:val="-9"/>
          <w:sz w:val="24"/>
          <w:szCs w:val="24"/>
        </w:rPr>
        <w:t>列。</w:t>
      </w:r>
      <w:r>
        <w:rPr>
          <w:rFonts w:ascii="宋体" w:hAnsi="宋体" w:eastAsia="宋体" w:cs="宋体"/>
          <w:sz w:val="24"/>
          <w:szCs w:val="24"/>
        </w:rPr>
        <w:t xml:space="preserve"> </w:t>
      </w:r>
    </w:p>
    <w:p w14:paraId="40A10D0F">
      <w:pPr>
        <w:spacing w:before="212" w:line="369" w:lineRule="auto"/>
        <w:ind w:left="483" w:right="3350" w:firstLine="14"/>
        <w:rPr>
          <w:rFonts w:ascii="宋体" w:hAnsi="宋体" w:eastAsia="宋体" w:cs="宋体"/>
          <w:sz w:val="24"/>
          <w:szCs w:val="24"/>
        </w:rPr>
      </w:pPr>
      <w:r>
        <w:rPr>
          <w:rFonts w:ascii="宋体" w:hAnsi="宋体" w:eastAsia="宋体" w:cs="宋体"/>
          <w:spacing w:val="-7"/>
          <w:sz w:val="24"/>
          <w:szCs w:val="24"/>
        </w:rPr>
        <w:t>2.第</w:t>
      </w:r>
      <w:r>
        <w:rPr>
          <w:rFonts w:ascii="宋体" w:hAnsi="宋体" w:eastAsia="宋体" w:cs="宋体"/>
          <w:spacing w:val="-21"/>
          <w:sz w:val="24"/>
          <w:szCs w:val="24"/>
        </w:rPr>
        <w:t xml:space="preserve"> </w:t>
      </w:r>
      <w:r>
        <w:rPr>
          <w:rFonts w:ascii="宋体" w:hAnsi="宋体" w:eastAsia="宋体" w:cs="宋体"/>
          <w:spacing w:val="-7"/>
          <w:sz w:val="24"/>
          <w:szCs w:val="24"/>
        </w:rPr>
        <w:t>17</w:t>
      </w:r>
      <w:r>
        <w:rPr>
          <w:rFonts w:ascii="宋体" w:hAnsi="宋体" w:eastAsia="宋体" w:cs="宋体"/>
          <w:spacing w:val="-47"/>
          <w:sz w:val="24"/>
          <w:szCs w:val="24"/>
        </w:rPr>
        <w:t xml:space="preserve"> </w:t>
      </w:r>
      <w:r>
        <w:rPr>
          <w:rFonts w:ascii="宋体" w:hAnsi="宋体" w:eastAsia="宋体" w:cs="宋体"/>
          <w:spacing w:val="-7"/>
          <w:sz w:val="24"/>
          <w:szCs w:val="24"/>
        </w:rPr>
        <w:t>行第</w:t>
      </w:r>
      <w:r>
        <w:rPr>
          <w:rFonts w:ascii="宋体" w:hAnsi="宋体" w:eastAsia="宋体" w:cs="宋体"/>
          <w:spacing w:val="-48"/>
          <w:sz w:val="24"/>
          <w:szCs w:val="24"/>
        </w:rPr>
        <w:t xml:space="preserve"> </w:t>
      </w:r>
      <w:r>
        <w:rPr>
          <w:rFonts w:ascii="宋体" w:hAnsi="宋体" w:eastAsia="宋体" w:cs="宋体"/>
          <w:spacing w:val="-7"/>
          <w:sz w:val="24"/>
          <w:szCs w:val="24"/>
        </w:rPr>
        <w:t>2+5</w:t>
      </w:r>
      <w:r>
        <w:rPr>
          <w:rFonts w:ascii="宋体" w:hAnsi="宋体" w:eastAsia="宋体" w:cs="宋体"/>
          <w:spacing w:val="-46"/>
          <w:sz w:val="24"/>
          <w:szCs w:val="24"/>
        </w:rPr>
        <w:t xml:space="preserve"> </w:t>
      </w:r>
      <w:r>
        <w:rPr>
          <w:rFonts w:ascii="宋体" w:hAnsi="宋体" w:eastAsia="宋体" w:cs="宋体"/>
          <w:spacing w:val="-7"/>
          <w:sz w:val="24"/>
          <w:szCs w:val="24"/>
        </w:rPr>
        <w:t>列＝表</w:t>
      </w:r>
      <w:r>
        <w:rPr>
          <w:rFonts w:ascii="宋体" w:hAnsi="宋体" w:eastAsia="宋体" w:cs="宋体"/>
          <w:spacing w:val="-58"/>
          <w:sz w:val="24"/>
          <w:szCs w:val="24"/>
        </w:rPr>
        <w:t xml:space="preserve"> </w:t>
      </w:r>
      <w:r>
        <w:rPr>
          <w:rFonts w:ascii="宋体" w:hAnsi="宋体" w:eastAsia="宋体" w:cs="宋体"/>
          <w:spacing w:val="-7"/>
          <w:sz w:val="24"/>
          <w:szCs w:val="24"/>
        </w:rPr>
        <w:t>A105000</w:t>
      </w:r>
      <w:r>
        <w:rPr>
          <w:rFonts w:ascii="宋体" w:hAnsi="宋体" w:eastAsia="宋体" w:cs="宋体"/>
          <w:spacing w:val="-50"/>
          <w:sz w:val="24"/>
          <w:szCs w:val="24"/>
        </w:rPr>
        <w:t xml:space="preserve"> </w:t>
      </w:r>
      <w:r>
        <w:rPr>
          <w:rFonts w:ascii="宋体" w:hAnsi="宋体" w:eastAsia="宋体" w:cs="宋体"/>
          <w:spacing w:val="-7"/>
          <w:sz w:val="24"/>
          <w:szCs w:val="24"/>
        </w:rPr>
        <w:t>第</w:t>
      </w:r>
      <w:r>
        <w:rPr>
          <w:rFonts w:ascii="宋体" w:hAnsi="宋体" w:eastAsia="宋体" w:cs="宋体"/>
          <w:spacing w:val="-46"/>
          <w:sz w:val="24"/>
          <w:szCs w:val="24"/>
        </w:rPr>
        <w:t xml:space="preserve"> </w:t>
      </w:r>
      <w:r>
        <w:rPr>
          <w:rFonts w:ascii="宋体" w:hAnsi="宋体" w:eastAsia="宋体" w:cs="宋体"/>
          <w:spacing w:val="-7"/>
          <w:sz w:val="24"/>
          <w:szCs w:val="24"/>
        </w:rPr>
        <w:t>37</w:t>
      </w:r>
      <w:r>
        <w:rPr>
          <w:rFonts w:ascii="宋体" w:hAnsi="宋体" w:eastAsia="宋体" w:cs="宋体"/>
          <w:spacing w:val="-47"/>
          <w:sz w:val="24"/>
          <w:szCs w:val="24"/>
        </w:rPr>
        <w:t xml:space="preserve"> </w:t>
      </w:r>
      <w:r>
        <w:rPr>
          <w:rFonts w:ascii="宋体" w:hAnsi="宋体" w:eastAsia="宋体" w:cs="宋体"/>
          <w:spacing w:val="-7"/>
          <w:sz w:val="24"/>
          <w:szCs w:val="24"/>
        </w:rPr>
        <w:t>行第</w:t>
      </w:r>
      <w:r>
        <w:rPr>
          <w:rFonts w:ascii="宋体" w:hAnsi="宋体" w:eastAsia="宋体" w:cs="宋体"/>
          <w:spacing w:val="-48"/>
          <w:sz w:val="24"/>
          <w:szCs w:val="24"/>
        </w:rPr>
        <w:t xml:space="preserve"> </w:t>
      </w:r>
      <w:r>
        <w:rPr>
          <w:rFonts w:ascii="宋体" w:hAnsi="宋体" w:eastAsia="宋体" w:cs="宋体"/>
          <w:spacing w:val="-7"/>
          <w:sz w:val="24"/>
          <w:szCs w:val="24"/>
        </w:rPr>
        <w:t>2</w:t>
      </w:r>
      <w:r>
        <w:rPr>
          <w:rFonts w:ascii="宋体" w:hAnsi="宋体" w:eastAsia="宋体" w:cs="宋体"/>
          <w:spacing w:val="-46"/>
          <w:sz w:val="24"/>
          <w:szCs w:val="24"/>
        </w:rPr>
        <w:t xml:space="preserve"> </w:t>
      </w:r>
      <w:r>
        <w:rPr>
          <w:rFonts w:ascii="宋体" w:hAnsi="宋体" w:eastAsia="宋体" w:cs="宋体"/>
          <w:spacing w:val="-7"/>
          <w:sz w:val="24"/>
          <w:szCs w:val="24"/>
        </w:rPr>
        <w:t>列。</w:t>
      </w:r>
    </w:p>
    <w:p w14:paraId="4A9D7652">
      <w:pPr>
        <w:spacing w:before="36" w:line="369" w:lineRule="auto"/>
        <w:ind w:firstLine="484"/>
        <w:rPr>
          <w:rFonts w:ascii="宋体" w:hAnsi="宋体" w:eastAsia="宋体" w:cs="宋体"/>
          <w:sz w:val="24"/>
          <w:szCs w:val="24"/>
        </w:rPr>
      </w:pPr>
      <w:r>
        <w:rPr>
          <w:rFonts w:ascii="宋体" w:hAnsi="宋体" w:eastAsia="宋体" w:cs="宋体"/>
          <w:spacing w:val="-5"/>
          <w:sz w:val="24"/>
          <w:szCs w:val="24"/>
        </w:rPr>
        <w:t>3.若第</w:t>
      </w:r>
      <w:r>
        <w:rPr>
          <w:rFonts w:ascii="宋体" w:hAnsi="宋体" w:eastAsia="宋体" w:cs="宋体"/>
          <w:spacing w:val="-30"/>
          <w:sz w:val="24"/>
          <w:szCs w:val="24"/>
        </w:rPr>
        <w:t xml:space="preserve"> </w:t>
      </w:r>
      <w:r>
        <w:rPr>
          <w:rFonts w:ascii="宋体" w:hAnsi="宋体" w:eastAsia="宋体" w:cs="宋体"/>
          <w:spacing w:val="-5"/>
          <w:sz w:val="24"/>
          <w:szCs w:val="24"/>
        </w:rPr>
        <w:t>17</w:t>
      </w:r>
      <w:r>
        <w:rPr>
          <w:rFonts w:ascii="宋体" w:hAnsi="宋体" w:eastAsia="宋体" w:cs="宋体"/>
          <w:spacing w:val="-45"/>
          <w:sz w:val="24"/>
          <w:szCs w:val="24"/>
        </w:rPr>
        <w:t xml:space="preserve"> </w:t>
      </w:r>
      <w:r>
        <w:rPr>
          <w:rFonts w:ascii="宋体" w:hAnsi="宋体" w:eastAsia="宋体" w:cs="宋体"/>
          <w:spacing w:val="-5"/>
          <w:sz w:val="24"/>
          <w:szCs w:val="24"/>
        </w:rPr>
        <w:t>行第</w:t>
      </w:r>
      <w:r>
        <w:rPr>
          <w:rFonts w:ascii="宋体" w:hAnsi="宋体" w:eastAsia="宋体" w:cs="宋体"/>
          <w:spacing w:val="-42"/>
          <w:sz w:val="24"/>
          <w:szCs w:val="24"/>
        </w:rPr>
        <w:t xml:space="preserve"> </w:t>
      </w:r>
      <w:r>
        <w:rPr>
          <w:rFonts w:ascii="宋体" w:hAnsi="宋体" w:eastAsia="宋体" w:cs="宋体"/>
          <w:spacing w:val="-5"/>
          <w:sz w:val="24"/>
          <w:szCs w:val="24"/>
        </w:rPr>
        <w:t>7</w:t>
      </w:r>
      <w:r>
        <w:rPr>
          <w:rFonts w:ascii="宋体" w:hAnsi="宋体" w:eastAsia="宋体" w:cs="宋体"/>
          <w:spacing w:val="-43"/>
          <w:sz w:val="24"/>
          <w:szCs w:val="24"/>
        </w:rPr>
        <w:t xml:space="preserve"> </w:t>
      </w:r>
      <w:r>
        <w:rPr>
          <w:rFonts w:ascii="宋体" w:hAnsi="宋体" w:eastAsia="宋体" w:cs="宋体"/>
          <w:spacing w:val="-5"/>
          <w:sz w:val="24"/>
          <w:szCs w:val="24"/>
        </w:rPr>
        <w:t>列≥0，第</w:t>
      </w:r>
      <w:r>
        <w:rPr>
          <w:rFonts w:ascii="宋体" w:hAnsi="宋体" w:eastAsia="宋体" w:cs="宋体"/>
          <w:spacing w:val="-31"/>
          <w:sz w:val="24"/>
          <w:szCs w:val="24"/>
        </w:rPr>
        <w:t xml:space="preserve"> </w:t>
      </w:r>
      <w:r>
        <w:rPr>
          <w:rFonts w:ascii="宋体" w:hAnsi="宋体" w:eastAsia="宋体" w:cs="宋体"/>
          <w:spacing w:val="-5"/>
          <w:sz w:val="24"/>
          <w:szCs w:val="24"/>
        </w:rPr>
        <w:t>17</w:t>
      </w:r>
      <w:r>
        <w:rPr>
          <w:rFonts w:ascii="宋体" w:hAnsi="宋体" w:eastAsia="宋体" w:cs="宋体"/>
          <w:spacing w:val="-44"/>
          <w:sz w:val="24"/>
          <w:szCs w:val="24"/>
        </w:rPr>
        <w:t xml:space="preserve"> </w:t>
      </w:r>
      <w:r>
        <w:rPr>
          <w:rFonts w:ascii="宋体" w:hAnsi="宋体" w:eastAsia="宋体" w:cs="宋体"/>
          <w:spacing w:val="-5"/>
          <w:sz w:val="24"/>
          <w:szCs w:val="24"/>
        </w:rPr>
        <w:t>行第</w:t>
      </w:r>
      <w:r>
        <w:rPr>
          <w:rFonts w:ascii="宋体" w:hAnsi="宋体" w:eastAsia="宋体" w:cs="宋体"/>
          <w:spacing w:val="-43"/>
          <w:sz w:val="24"/>
          <w:szCs w:val="24"/>
        </w:rPr>
        <w:t xml:space="preserve"> </w:t>
      </w:r>
      <w:r>
        <w:rPr>
          <w:rFonts w:ascii="宋体" w:hAnsi="宋体" w:eastAsia="宋体" w:cs="宋体"/>
          <w:spacing w:val="-5"/>
          <w:sz w:val="24"/>
          <w:szCs w:val="24"/>
        </w:rPr>
        <w:t>7</w:t>
      </w:r>
      <w:r>
        <w:rPr>
          <w:rFonts w:ascii="宋体" w:hAnsi="宋体" w:eastAsia="宋体" w:cs="宋体"/>
          <w:spacing w:val="-43"/>
          <w:sz w:val="24"/>
          <w:szCs w:val="24"/>
        </w:rPr>
        <w:t xml:space="preserve"> </w:t>
      </w:r>
      <w:r>
        <w:rPr>
          <w:rFonts w:ascii="宋体" w:hAnsi="宋体" w:eastAsia="宋体" w:cs="宋体"/>
          <w:spacing w:val="-5"/>
          <w:sz w:val="24"/>
          <w:szCs w:val="24"/>
        </w:rPr>
        <w:t>列＝表</w:t>
      </w:r>
      <w:r>
        <w:rPr>
          <w:rFonts w:ascii="宋体" w:hAnsi="宋体" w:eastAsia="宋体" w:cs="宋体"/>
          <w:spacing w:val="-56"/>
          <w:sz w:val="24"/>
          <w:szCs w:val="24"/>
        </w:rPr>
        <w:t xml:space="preserve"> </w:t>
      </w:r>
      <w:r>
        <w:rPr>
          <w:rFonts w:ascii="宋体" w:hAnsi="宋体" w:eastAsia="宋体" w:cs="宋体"/>
          <w:spacing w:val="-5"/>
          <w:sz w:val="24"/>
          <w:szCs w:val="24"/>
        </w:rPr>
        <w:t>A</w:t>
      </w:r>
      <w:r>
        <w:rPr>
          <w:rFonts w:ascii="宋体" w:hAnsi="宋体" w:eastAsia="宋体" w:cs="宋体"/>
          <w:spacing w:val="-6"/>
          <w:sz w:val="24"/>
          <w:szCs w:val="24"/>
        </w:rPr>
        <w:t>105000</w:t>
      </w:r>
      <w:r>
        <w:rPr>
          <w:rFonts w:ascii="宋体" w:hAnsi="宋体" w:eastAsia="宋体" w:cs="宋体"/>
          <w:spacing w:val="-48"/>
          <w:sz w:val="24"/>
          <w:szCs w:val="24"/>
        </w:rPr>
        <w:t xml:space="preserve"> </w:t>
      </w:r>
      <w:r>
        <w:rPr>
          <w:rFonts w:ascii="宋体" w:hAnsi="宋体" w:eastAsia="宋体" w:cs="宋体"/>
          <w:spacing w:val="-6"/>
          <w:sz w:val="24"/>
          <w:szCs w:val="24"/>
        </w:rPr>
        <w:t>第</w:t>
      </w:r>
      <w:r>
        <w:rPr>
          <w:rFonts w:ascii="宋体" w:hAnsi="宋体" w:eastAsia="宋体" w:cs="宋体"/>
          <w:spacing w:val="-44"/>
          <w:sz w:val="24"/>
          <w:szCs w:val="24"/>
        </w:rPr>
        <w:t xml:space="preserve"> </w:t>
      </w:r>
      <w:r>
        <w:rPr>
          <w:rFonts w:ascii="宋体" w:hAnsi="宋体" w:eastAsia="宋体" w:cs="宋体"/>
          <w:spacing w:val="-6"/>
          <w:sz w:val="24"/>
          <w:szCs w:val="24"/>
        </w:rPr>
        <w:t>37</w:t>
      </w:r>
      <w:r>
        <w:rPr>
          <w:rFonts w:ascii="宋体" w:hAnsi="宋体" w:eastAsia="宋体" w:cs="宋体"/>
          <w:spacing w:val="-44"/>
          <w:sz w:val="24"/>
          <w:szCs w:val="24"/>
        </w:rPr>
        <w:t xml:space="preserve"> </w:t>
      </w:r>
      <w:r>
        <w:rPr>
          <w:rFonts w:ascii="宋体" w:hAnsi="宋体" w:eastAsia="宋体" w:cs="宋体"/>
          <w:spacing w:val="-6"/>
          <w:sz w:val="24"/>
          <w:szCs w:val="24"/>
        </w:rPr>
        <w:t>行第</w:t>
      </w:r>
      <w:r>
        <w:rPr>
          <w:rFonts w:ascii="宋体" w:hAnsi="宋体" w:eastAsia="宋体" w:cs="宋体"/>
          <w:spacing w:val="-43"/>
          <w:sz w:val="24"/>
          <w:szCs w:val="24"/>
        </w:rPr>
        <w:t xml:space="preserve"> </w:t>
      </w:r>
      <w:r>
        <w:rPr>
          <w:rFonts w:ascii="宋体" w:hAnsi="宋体" w:eastAsia="宋体" w:cs="宋体"/>
          <w:spacing w:val="-6"/>
          <w:sz w:val="24"/>
          <w:szCs w:val="24"/>
        </w:rPr>
        <w:t>3</w:t>
      </w:r>
      <w:r>
        <w:rPr>
          <w:rFonts w:ascii="宋体" w:hAnsi="宋体" w:eastAsia="宋体" w:cs="宋体"/>
          <w:spacing w:val="-44"/>
          <w:sz w:val="24"/>
          <w:szCs w:val="24"/>
        </w:rPr>
        <w:t xml:space="preserve"> </w:t>
      </w:r>
      <w:r>
        <w:rPr>
          <w:rFonts w:ascii="宋体" w:hAnsi="宋体" w:eastAsia="宋体" w:cs="宋体"/>
          <w:spacing w:val="-6"/>
          <w:sz w:val="24"/>
          <w:szCs w:val="24"/>
        </w:rPr>
        <w:t>列；若第</w:t>
      </w:r>
      <w:r>
        <w:rPr>
          <w:rFonts w:ascii="宋体" w:hAnsi="宋体" w:eastAsia="宋体" w:cs="宋体"/>
          <w:spacing w:val="-30"/>
          <w:sz w:val="24"/>
          <w:szCs w:val="24"/>
        </w:rPr>
        <w:t xml:space="preserve"> </w:t>
      </w:r>
      <w:r>
        <w:rPr>
          <w:rFonts w:ascii="宋体" w:hAnsi="宋体" w:eastAsia="宋体" w:cs="宋体"/>
          <w:spacing w:val="-6"/>
          <w:sz w:val="24"/>
          <w:szCs w:val="24"/>
        </w:rPr>
        <w:t>17</w:t>
      </w:r>
      <w:r>
        <w:rPr>
          <w:rFonts w:ascii="宋体" w:hAnsi="宋体" w:eastAsia="宋体" w:cs="宋体"/>
          <w:spacing w:val="-45"/>
          <w:sz w:val="24"/>
          <w:szCs w:val="24"/>
        </w:rPr>
        <w:t xml:space="preserve"> </w:t>
      </w:r>
      <w:r>
        <w:rPr>
          <w:rFonts w:ascii="宋体" w:hAnsi="宋体" w:eastAsia="宋体" w:cs="宋体"/>
          <w:spacing w:val="-6"/>
          <w:sz w:val="24"/>
          <w:szCs w:val="24"/>
        </w:rPr>
        <w:t>行</w:t>
      </w:r>
      <w:r>
        <w:rPr>
          <w:rFonts w:ascii="宋体" w:hAnsi="宋体" w:eastAsia="宋体" w:cs="宋体"/>
          <w:sz w:val="24"/>
          <w:szCs w:val="24"/>
        </w:rPr>
        <w:t xml:space="preserve"> </w:t>
      </w:r>
      <w:r>
        <w:rPr>
          <w:rFonts w:ascii="宋体" w:hAnsi="宋体" w:eastAsia="宋体" w:cs="宋体"/>
          <w:spacing w:val="-5"/>
          <w:sz w:val="24"/>
          <w:szCs w:val="24"/>
        </w:rPr>
        <w:t>第</w:t>
      </w:r>
      <w:r>
        <w:rPr>
          <w:rFonts w:ascii="宋体" w:hAnsi="宋体" w:eastAsia="宋体" w:cs="宋体"/>
          <w:spacing w:val="-45"/>
          <w:sz w:val="24"/>
          <w:szCs w:val="24"/>
        </w:rPr>
        <w:t xml:space="preserve"> </w:t>
      </w:r>
      <w:r>
        <w:rPr>
          <w:rFonts w:ascii="宋体" w:hAnsi="宋体" w:eastAsia="宋体" w:cs="宋体"/>
          <w:spacing w:val="-5"/>
          <w:sz w:val="24"/>
          <w:szCs w:val="24"/>
        </w:rPr>
        <w:t>7</w:t>
      </w:r>
      <w:r>
        <w:rPr>
          <w:rFonts w:ascii="宋体" w:hAnsi="宋体" w:eastAsia="宋体" w:cs="宋体"/>
          <w:spacing w:val="-46"/>
          <w:sz w:val="24"/>
          <w:szCs w:val="24"/>
        </w:rPr>
        <w:t xml:space="preserve"> </w:t>
      </w:r>
      <w:r>
        <w:rPr>
          <w:rFonts w:ascii="宋体" w:hAnsi="宋体" w:eastAsia="宋体" w:cs="宋体"/>
          <w:spacing w:val="-5"/>
          <w:sz w:val="24"/>
          <w:szCs w:val="24"/>
        </w:rPr>
        <w:t>列＜0，第</w:t>
      </w:r>
      <w:r>
        <w:rPr>
          <w:rFonts w:ascii="宋体" w:hAnsi="宋体" w:eastAsia="宋体" w:cs="宋体"/>
          <w:spacing w:val="-33"/>
          <w:sz w:val="24"/>
          <w:szCs w:val="24"/>
        </w:rPr>
        <w:t xml:space="preserve"> </w:t>
      </w:r>
      <w:r>
        <w:rPr>
          <w:rFonts w:ascii="宋体" w:hAnsi="宋体" w:eastAsia="宋体" w:cs="宋体"/>
          <w:spacing w:val="-5"/>
          <w:sz w:val="24"/>
          <w:szCs w:val="24"/>
        </w:rPr>
        <w:t>17</w:t>
      </w:r>
      <w:r>
        <w:rPr>
          <w:rFonts w:ascii="宋体" w:hAnsi="宋体" w:eastAsia="宋体" w:cs="宋体"/>
          <w:spacing w:val="-47"/>
          <w:sz w:val="24"/>
          <w:szCs w:val="24"/>
        </w:rPr>
        <w:t xml:space="preserve"> </w:t>
      </w:r>
      <w:r>
        <w:rPr>
          <w:rFonts w:ascii="宋体" w:hAnsi="宋体" w:eastAsia="宋体" w:cs="宋体"/>
          <w:spacing w:val="-5"/>
          <w:sz w:val="24"/>
          <w:szCs w:val="24"/>
        </w:rPr>
        <w:t>行第</w:t>
      </w:r>
      <w:r>
        <w:rPr>
          <w:rFonts w:ascii="宋体" w:hAnsi="宋体" w:eastAsia="宋体" w:cs="宋体"/>
          <w:spacing w:val="-45"/>
          <w:sz w:val="24"/>
          <w:szCs w:val="24"/>
        </w:rPr>
        <w:t xml:space="preserve"> </w:t>
      </w:r>
      <w:r>
        <w:rPr>
          <w:rFonts w:ascii="宋体" w:hAnsi="宋体" w:eastAsia="宋体" w:cs="宋体"/>
          <w:spacing w:val="-5"/>
          <w:sz w:val="24"/>
          <w:szCs w:val="24"/>
        </w:rPr>
        <w:t>7</w:t>
      </w:r>
      <w:r>
        <w:rPr>
          <w:rFonts w:ascii="宋体" w:hAnsi="宋体" w:eastAsia="宋体" w:cs="宋体"/>
          <w:spacing w:val="-46"/>
          <w:sz w:val="24"/>
          <w:szCs w:val="24"/>
        </w:rPr>
        <w:t xml:space="preserve"> </w:t>
      </w:r>
      <w:r>
        <w:rPr>
          <w:rFonts w:ascii="宋体" w:hAnsi="宋体" w:eastAsia="宋体" w:cs="宋体"/>
          <w:spacing w:val="-5"/>
          <w:sz w:val="24"/>
          <w:szCs w:val="24"/>
        </w:rPr>
        <w:t>列的绝对值＝表</w:t>
      </w:r>
      <w:r>
        <w:rPr>
          <w:rFonts w:ascii="宋体" w:hAnsi="宋体" w:eastAsia="宋体" w:cs="宋体"/>
          <w:spacing w:val="-58"/>
          <w:sz w:val="24"/>
          <w:szCs w:val="24"/>
        </w:rPr>
        <w:t xml:space="preserve"> </w:t>
      </w:r>
      <w:r>
        <w:rPr>
          <w:rFonts w:ascii="宋体" w:hAnsi="宋体" w:eastAsia="宋体" w:cs="宋体"/>
          <w:spacing w:val="-5"/>
          <w:sz w:val="24"/>
          <w:szCs w:val="24"/>
        </w:rPr>
        <w:t>A105000</w:t>
      </w:r>
      <w:r>
        <w:rPr>
          <w:rFonts w:ascii="宋体" w:hAnsi="宋体" w:eastAsia="宋体" w:cs="宋体"/>
          <w:spacing w:val="-51"/>
          <w:sz w:val="24"/>
          <w:szCs w:val="24"/>
        </w:rPr>
        <w:t xml:space="preserve"> </w:t>
      </w:r>
      <w:r>
        <w:rPr>
          <w:rFonts w:ascii="宋体" w:hAnsi="宋体" w:eastAsia="宋体" w:cs="宋体"/>
          <w:spacing w:val="-5"/>
          <w:sz w:val="24"/>
          <w:szCs w:val="24"/>
        </w:rPr>
        <w:t>第</w:t>
      </w:r>
      <w:r>
        <w:rPr>
          <w:rFonts w:ascii="宋体" w:hAnsi="宋体" w:eastAsia="宋体" w:cs="宋体"/>
          <w:spacing w:val="-46"/>
          <w:sz w:val="24"/>
          <w:szCs w:val="24"/>
        </w:rPr>
        <w:t xml:space="preserve"> </w:t>
      </w:r>
      <w:r>
        <w:rPr>
          <w:rFonts w:ascii="宋体" w:hAnsi="宋体" w:eastAsia="宋体" w:cs="宋体"/>
          <w:spacing w:val="-5"/>
          <w:sz w:val="24"/>
          <w:szCs w:val="24"/>
        </w:rPr>
        <w:t>37</w:t>
      </w:r>
      <w:r>
        <w:rPr>
          <w:rFonts w:ascii="宋体" w:hAnsi="宋体" w:eastAsia="宋体" w:cs="宋体"/>
          <w:spacing w:val="-46"/>
          <w:sz w:val="24"/>
          <w:szCs w:val="24"/>
        </w:rPr>
        <w:t xml:space="preserve"> </w:t>
      </w:r>
      <w:r>
        <w:rPr>
          <w:rFonts w:ascii="宋体" w:hAnsi="宋体" w:eastAsia="宋体" w:cs="宋体"/>
          <w:spacing w:val="-5"/>
          <w:sz w:val="24"/>
          <w:szCs w:val="24"/>
        </w:rPr>
        <w:t>行第</w:t>
      </w:r>
      <w:r>
        <w:rPr>
          <w:rFonts w:ascii="宋体" w:hAnsi="宋体" w:eastAsia="宋体" w:cs="宋体"/>
          <w:spacing w:val="-52"/>
          <w:sz w:val="24"/>
          <w:szCs w:val="24"/>
        </w:rPr>
        <w:t xml:space="preserve"> </w:t>
      </w:r>
      <w:r>
        <w:rPr>
          <w:rFonts w:ascii="宋体" w:hAnsi="宋体" w:eastAsia="宋体" w:cs="宋体"/>
          <w:spacing w:val="-5"/>
          <w:sz w:val="24"/>
          <w:szCs w:val="24"/>
        </w:rPr>
        <w:t>4</w:t>
      </w:r>
      <w:r>
        <w:rPr>
          <w:rFonts w:ascii="宋体" w:hAnsi="宋体" w:eastAsia="宋体" w:cs="宋体"/>
          <w:spacing w:val="-46"/>
          <w:sz w:val="24"/>
          <w:szCs w:val="24"/>
        </w:rPr>
        <w:t xml:space="preserve"> </w:t>
      </w:r>
      <w:r>
        <w:rPr>
          <w:rFonts w:ascii="宋体" w:hAnsi="宋体" w:eastAsia="宋体" w:cs="宋体"/>
          <w:spacing w:val="-5"/>
          <w:sz w:val="24"/>
          <w:szCs w:val="24"/>
        </w:rPr>
        <w:t>列。</w:t>
      </w:r>
    </w:p>
    <w:p w14:paraId="1F9861D8">
      <w:pPr>
        <w:spacing w:line="369" w:lineRule="auto"/>
        <w:rPr>
          <w:rFonts w:ascii="宋体" w:hAnsi="宋体" w:eastAsia="宋体" w:cs="宋体"/>
          <w:sz w:val="24"/>
          <w:szCs w:val="24"/>
        </w:rPr>
        <w:sectPr>
          <w:footerReference r:id="rId7" w:type="default"/>
          <w:pgSz w:w="11905" w:h="16839"/>
          <w:pgMar w:top="1431" w:right="1416" w:bottom="889" w:left="1424" w:header="0" w:footer="684" w:gutter="0"/>
          <w:cols w:space="720" w:num="1"/>
        </w:sectPr>
      </w:pPr>
    </w:p>
    <w:p w14:paraId="6DA69E5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DAEE0">
    <w:pPr>
      <w:spacing w:line="179" w:lineRule="auto"/>
      <w:ind w:left="7338"/>
      <w:rPr>
        <w:rFonts w:ascii="宋体" w:hAnsi="宋体" w:eastAsia="宋体" w:cs="宋体"/>
        <w:sz w:val="20"/>
        <w:szCs w:val="20"/>
      </w:rPr>
    </w:pPr>
    <w:r>
      <w:rPr>
        <w:rFonts w:ascii="宋体" w:hAnsi="宋体" w:eastAsia="宋体" w:cs="宋体"/>
        <w:spacing w:val="-1"/>
        <w:sz w:val="20"/>
        <w:szCs w:val="20"/>
      </w:rPr>
      <w:t>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8BFCB">
    <w:pPr>
      <w:spacing w:line="179" w:lineRule="auto"/>
      <w:ind w:left="4432"/>
      <w:rPr>
        <w:rFonts w:ascii="宋体" w:hAnsi="宋体" w:eastAsia="宋体" w:cs="宋体"/>
        <w:sz w:val="20"/>
        <w:szCs w:val="20"/>
      </w:rPr>
    </w:pPr>
    <w:r>
      <w:rPr>
        <w:rFonts w:ascii="宋体" w:hAnsi="宋体" w:eastAsia="宋体" w:cs="宋体"/>
        <w:spacing w:val="-1"/>
        <w:sz w:val="20"/>
        <w:szCs w:val="20"/>
      </w:rPr>
      <w:t>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8C9FE">
    <w:pPr>
      <w:spacing w:line="179" w:lineRule="auto"/>
      <w:ind w:left="4432"/>
      <w:rPr>
        <w:rFonts w:ascii="宋体" w:hAnsi="宋体" w:eastAsia="宋体" w:cs="宋体"/>
        <w:sz w:val="20"/>
        <w:szCs w:val="20"/>
      </w:rPr>
    </w:pPr>
    <w:r>
      <w:rPr>
        <w:rFonts w:ascii="宋体" w:hAnsi="宋体" w:eastAsia="宋体" w:cs="宋体"/>
        <w:spacing w:val="-1"/>
        <w:sz w:val="20"/>
        <w:szCs w:val="20"/>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02F5596E"/>
    <w:rsid w:val="02F5596E"/>
    <w:rsid w:val="4CFC467E"/>
    <w:rsid w:val="789A1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customStyle="1" w:styleId="5">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6">
    <w:name w:val="Table Text"/>
    <w:basedOn w:val="1"/>
    <w:semiHidden/>
    <w:qFormat/>
    <w:uiPriority w:val="0"/>
    <w:rPr>
      <w:rFonts w:ascii="Arial" w:hAnsi="Arial" w:eastAsia="Arial" w:cs="Arial"/>
      <w:sz w:val="21"/>
      <w:szCs w:val="21"/>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3104</Words>
  <Characters>3427</Characters>
  <Lines>0</Lines>
  <Paragraphs>0</Paragraphs>
  <TotalTime>2</TotalTime>
  <ScaleCrop>false</ScaleCrop>
  <LinksUpToDate>false</LinksUpToDate>
  <CharactersWithSpaces>3437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2024-08-07T03:30:00Z</dcterms:created>
  <dc:creator>www.shuiwu114.com</dc:creator>
  <cp:lastModifiedBy>www.shuiwu114.com</cp:lastModifiedBy>
  <dcterms:modified xsi:type="dcterms:W3CDTF">2024-08-11T02:03:05Z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2A7DAB754258477E9ED2CDFE460C76CE_11</vt:lpwstr>
  </property>
</Properties>
</file>