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E43FB">
      <w:pPr>
        <w:pStyle w:val="9"/>
      </w:pPr>
      <w:bookmarkStart w:id="0" w:name="_Toc499456603"/>
      <w:r>
        <w:rPr>
          <w:rFonts w:hint="eastAsia"/>
        </w:rPr>
        <w:t>A107020</w:t>
      </w:r>
      <w:r>
        <w:tab/>
      </w:r>
      <w:r>
        <w:rPr>
          <w:rFonts w:hint="eastAsia"/>
          <w:lang w:val="en-US" w:eastAsia="zh-CN"/>
        </w:rPr>
        <w:t xml:space="preserve">                                     </w:t>
      </w:r>
      <w:r>
        <w:rPr>
          <w:rFonts w:hint="eastAsia"/>
        </w:rPr>
        <w:t>所得减免优惠明细表</w:t>
      </w:r>
      <w:bookmarkEnd w:id="0"/>
    </w:p>
    <w:tbl>
      <w:tblPr>
        <w:tblStyle w:val="6"/>
        <w:tblW w:w="139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0"/>
        <w:gridCol w:w="1833"/>
        <w:gridCol w:w="731"/>
        <w:gridCol w:w="1060"/>
        <w:gridCol w:w="809"/>
        <w:gridCol w:w="1060"/>
        <w:gridCol w:w="1060"/>
        <w:gridCol w:w="938"/>
        <w:gridCol w:w="1060"/>
        <w:gridCol w:w="1060"/>
        <w:gridCol w:w="1060"/>
        <w:gridCol w:w="1060"/>
        <w:gridCol w:w="1609"/>
      </w:tblGrid>
      <w:tr w14:paraId="2369C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30" w:type="dxa"/>
            <w:vMerge w:val="restart"/>
            <w:shd w:val="clear" w:color="auto" w:fill="auto"/>
            <w:noWrap/>
            <w:vAlign w:val="center"/>
          </w:tcPr>
          <w:p w14:paraId="5A843C71">
            <w:pPr>
              <w:widowControl/>
              <w:jc w:val="center"/>
              <w:rPr>
                <w:rFonts w:ascii="宋体" w:hAnsi="宋体" w:cs="宋体"/>
                <w:kern w:val="0"/>
                <w:sz w:val="20"/>
                <w:szCs w:val="20"/>
              </w:rPr>
            </w:pPr>
            <w:r>
              <w:rPr>
                <w:rFonts w:hint="eastAsia" w:ascii="宋体" w:hAnsi="宋体" w:cs="宋体"/>
                <w:kern w:val="0"/>
                <w:sz w:val="20"/>
                <w:szCs w:val="20"/>
              </w:rPr>
              <w:t>行次</w:t>
            </w:r>
          </w:p>
        </w:tc>
        <w:tc>
          <w:tcPr>
            <w:tcW w:w="1833" w:type="dxa"/>
            <w:vMerge w:val="restart"/>
            <w:shd w:val="clear" w:color="auto" w:fill="auto"/>
            <w:noWrap/>
            <w:vAlign w:val="center"/>
          </w:tcPr>
          <w:p w14:paraId="72041D25">
            <w:pPr>
              <w:widowControl/>
              <w:jc w:val="center"/>
              <w:rPr>
                <w:rFonts w:ascii="宋体" w:hAnsi="宋体" w:cs="宋体"/>
                <w:kern w:val="0"/>
                <w:sz w:val="20"/>
                <w:szCs w:val="20"/>
              </w:rPr>
            </w:pPr>
            <w:r>
              <w:rPr>
                <w:rFonts w:hint="eastAsia" w:ascii="宋体" w:hAnsi="宋体" w:cs="宋体"/>
                <w:kern w:val="0"/>
                <w:sz w:val="20"/>
                <w:szCs w:val="20"/>
              </w:rPr>
              <w:t>减免项目</w:t>
            </w:r>
          </w:p>
        </w:tc>
        <w:tc>
          <w:tcPr>
            <w:tcW w:w="731" w:type="dxa"/>
            <w:vMerge w:val="restart"/>
            <w:shd w:val="clear" w:color="auto" w:fill="auto"/>
            <w:noWrap w:val="0"/>
            <w:vAlign w:val="center"/>
          </w:tcPr>
          <w:p w14:paraId="31232F84">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060" w:type="dxa"/>
            <w:vMerge w:val="restart"/>
            <w:shd w:val="clear" w:color="auto" w:fill="auto"/>
            <w:noWrap w:val="0"/>
            <w:vAlign w:val="center"/>
          </w:tcPr>
          <w:p w14:paraId="2EAA97F4">
            <w:pPr>
              <w:widowControl/>
              <w:jc w:val="center"/>
              <w:rPr>
                <w:rFonts w:ascii="宋体" w:hAnsi="宋体" w:cs="宋体"/>
                <w:kern w:val="0"/>
                <w:sz w:val="20"/>
                <w:szCs w:val="20"/>
              </w:rPr>
            </w:pPr>
            <w:r>
              <w:rPr>
                <w:rFonts w:hint="eastAsia" w:ascii="宋体" w:hAnsi="宋体" w:cs="宋体"/>
                <w:kern w:val="0"/>
                <w:sz w:val="20"/>
                <w:szCs w:val="20"/>
              </w:rPr>
              <w:t>优惠事项名称</w:t>
            </w:r>
          </w:p>
        </w:tc>
        <w:tc>
          <w:tcPr>
            <w:tcW w:w="809" w:type="dxa"/>
            <w:vMerge w:val="restart"/>
            <w:shd w:val="clear" w:color="auto" w:fill="auto"/>
            <w:noWrap w:val="0"/>
            <w:vAlign w:val="center"/>
          </w:tcPr>
          <w:p w14:paraId="6771912A">
            <w:pPr>
              <w:widowControl/>
              <w:jc w:val="center"/>
              <w:rPr>
                <w:rFonts w:ascii="宋体" w:hAnsi="宋体" w:cs="宋体"/>
                <w:kern w:val="0"/>
                <w:sz w:val="20"/>
                <w:szCs w:val="20"/>
              </w:rPr>
            </w:pPr>
            <w:r>
              <w:rPr>
                <w:rFonts w:hint="eastAsia" w:ascii="宋体" w:hAnsi="宋体" w:cs="宋体"/>
                <w:kern w:val="0"/>
                <w:sz w:val="20"/>
                <w:szCs w:val="20"/>
              </w:rPr>
              <w:t>优惠方式</w:t>
            </w:r>
          </w:p>
        </w:tc>
        <w:tc>
          <w:tcPr>
            <w:tcW w:w="1060" w:type="dxa"/>
            <w:vMerge w:val="restart"/>
            <w:shd w:val="clear" w:color="auto" w:fill="auto"/>
            <w:noWrap w:val="0"/>
            <w:vAlign w:val="center"/>
          </w:tcPr>
          <w:p w14:paraId="2B30B8B7">
            <w:pPr>
              <w:widowControl/>
              <w:jc w:val="center"/>
              <w:rPr>
                <w:rFonts w:ascii="宋体" w:hAnsi="宋体" w:cs="宋体"/>
                <w:kern w:val="0"/>
                <w:sz w:val="20"/>
                <w:szCs w:val="20"/>
              </w:rPr>
            </w:pPr>
            <w:r>
              <w:rPr>
                <w:rFonts w:hint="eastAsia" w:ascii="宋体" w:hAnsi="宋体" w:cs="宋体"/>
                <w:kern w:val="0"/>
                <w:sz w:val="20"/>
                <w:szCs w:val="20"/>
              </w:rPr>
              <w:t>项目收入</w:t>
            </w:r>
          </w:p>
        </w:tc>
        <w:tc>
          <w:tcPr>
            <w:tcW w:w="1060" w:type="dxa"/>
            <w:vMerge w:val="restart"/>
            <w:shd w:val="clear" w:color="auto" w:fill="auto"/>
            <w:noWrap w:val="0"/>
            <w:vAlign w:val="center"/>
          </w:tcPr>
          <w:p w14:paraId="2981382E">
            <w:pPr>
              <w:widowControl/>
              <w:jc w:val="center"/>
              <w:rPr>
                <w:rFonts w:ascii="宋体" w:hAnsi="宋体" w:cs="宋体"/>
                <w:kern w:val="0"/>
                <w:sz w:val="20"/>
                <w:szCs w:val="20"/>
              </w:rPr>
            </w:pPr>
            <w:r>
              <w:rPr>
                <w:rFonts w:hint="eastAsia" w:ascii="宋体" w:hAnsi="宋体" w:cs="宋体"/>
                <w:kern w:val="0"/>
                <w:sz w:val="20"/>
                <w:szCs w:val="20"/>
              </w:rPr>
              <w:t>项目成本</w:t>
            </w:r>
          </w:p>
        </w:tc>
        <w:tc>
          <w:tcPr>
            <w:tcW w:w="938" w:type="dxa"/>
            <w:vMerge w:val="restart"/>
            <w:shd w:val="clear" w:color="auto" w:fill="auto"/>
            <w:noWrap w:val="0"/>
            <w:vAlign w:val="center"/>
          </w:tcPr>
          <w:p w14:paraId="426A952B">
            <w:pPr>
              <w:widowControl/>
              <w:jc w:val="center"/>
              <w:rPr>
                <w:rFonts w:ascii="宋体" w:hAnsi="宋体" w:cs="宋体"/>
                <w:kern w:val="0"/>
                <w:sz w:val="20"/>
                <w:szCs w:val="20"/>
              </w:rPr>
            </w:pPr>
            <w:r>
              <w:rPr>
                <w:rFonts w:hint="eastAsia" w:ascii="宋体" w:hAnsi="宋体" w:cs="宋体"/>
                <w:kern w:val="0"/>
                <w:sz w:val="20"/>
                <w:szCs w:val="20"/>
              </w:rPr>
              <w:t>相关税费</w:t>
            </w:r>
          </w:p>
        </w:tc>
        <w:tc>
          <w:tcPr>
            <w:tcW w:w="1060" w:type="dxa"/>
            <w:vMerge w:val="restart"/>
            <w:shd w:val="clear" w:color="auto" w:fill="auto"/>
            <w:noWrap w:val="0"/>
            <w:vAlign w:val="center"/>
          </w:tcPr>
          <w:p w14:paraId="61A5D835">
            <w:pPr>
              <w:widowControl/>
              <w:jc w:val="center"/>
              <w:rPr>
                <w:rFonts w:ascii="宋体" w:hAnsi="宋体" w:cs="宋体"/>
                <w:kern w:val="0"/>
                <w:sz w:val="20"/>
                <w:szCs w:val="20"/>
              </w:rPr>
            </w:pPr>
            <w:r>
              <w:rPr>
                <w:rFonts w:hint="eastAsia" w:ascii="宋体" w:hAnsi="宋体" w:cs="宋体"/>
                <w:kern w:val="0"/>
                <w:sz w:val="20"/>
                <w:szCs w:val="20"/>
              </w:rPr>
              <w:t>应分摊期间费用</w:t>
            </w:r>
          </w:p>
        </w:tc>
        <w:tc>
          <w:tcPr>
            <w:tcW w:w="1060" w:type="dxa"/>
            <w:vMerge w:val="restart"/>
            <w:shd w:val="clear" w:color="auto" w:fill="auto"/>
            <w:noWrap w:val="0"/>
            <w:vAlign w:val="center"/>
          </w:tcPr>
          <w:p w14:paraId="496B1C69">
            <w:pPr>
              <w:widowControl/>
              <w:jc w:val="center"/>
              <w:rPr>
                <w:rFonts w:ascii="宋体" w:hAnsi="宋体" w:cs="宋体"/>
                <w:kern w:val="0"/>
                <w:sz w:val="20"/>
                <w:szCs w:val="20"/>
              </w:rPr>
            </w:pPr>
            <w:r>
              <w:rPr>
                <w:rFonts w:hint="eastAsia" w:ascii="宋体" w:hAnsi="宋体" w:cs="宋体"/>
                <w:kern w:val="0"/>
                <w:sz w:val="20"/>
                <w:szCs w:val="20"/>
              </w:rPr>
              <w:t>纳税调整额</w:t>
            </w:r>
          </w:p>
        </w:tc>
        <w:tc>
          <w:tcPr>
            <w:tcW w:w="2120" w:type="dxa"/>
            <w:gridSpan w:val="2"/>
            <w:shd w:val="clear" w:color="auto" w:fill="auto"/>
            <w:noWrap w:val="0"/>
            <w:vAlign w:val="center"/>
          </w:tcPr>
          <w:p w14:paraId="317136DB">
            <w:pPr>
              <w:widowControl/>
              <w:jc w:val="center"/>
              <w:rPr>
                <w:rFonts w:ascii="宋体" w:hAnsi="宋体" w:cs="宋体"/>
                <w:kern w:val="0"/>
                <w:sz w:val="20"/>
                <w:szCs w:val="20"/>
              </w:rPr>
            </w:pPr>
            <w:r>
              <w:rPr>
                <w:rFonts w:hint="eastAsia" w:ascii="宋体" w:hAnsi="宋体" w:cs="宋体"/>
                <w:kern w:val="0"/>
                <w:sz w:val="20"/>
                <w:szCs w:val="20"/>
              </w:rPr>
              <w:t>项目所得额</w:t>
            </w:r>
          </w:p>
        </w:tc>
        <w:tc>
          <w:tcPr>
            <w:tcW w:w="1609" w:type="dxa"/>
            <w:vMerge w:val="restart"/>
            <w:shd w:val="clear" w:color="auto" w:fill="auto"/>
            <w:noWrap/>
            <w:vAlign w:val="center"/>
          </w:tcPr>
          <w:p w14:paraId="5EB01F38">
            <w:pPr>
              <w:widowControl/>
              <w:jc w:val="center"/>
              <w:rPr>
                <w:rFonts w:ascii="宋体" w:hAnsi="宋体" w:cs="宋体"/>
                <w:kern w:val="0"/>
                <w:sz w:val="20"/>
                <w:szCs w:val="20"/>
              </w:rPr>
            </w:pPr>
            <w:r>
              <w:rPr>
                <w:rFonts w:hint="eastAsia" w:ascii="宋体" w:hAnsi="宋体" w:cs="宋体"/>
                <w:kern w:val="0"/>
                <w:sz w:val="20"/>
                <w:szCs w:val="20"/>
              </w:rPr>
              <w:t>减免所得额</w:t>
            </w:r>
          </w:p>
        </w:tc>
      </w:tr>
      <w:tr w14:paraId="785AE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30" w:type="dxa"/>
            <w:vMerge w:val="continue"/>
            <w:shd w:val="clear" w:color="auto" w:fill="auto"/>
            <w:noWrap w:val="0"/>
            <w:vAlign w:val="center"/>
          </w:tcPr>
          <w:p w14:paraId="704AFF52">
            <w:pPr>
              <w:widowControl/>
              <w:jc w:val="left"/>
              <w:rPr>
                <w:rFonts w:ascii="宋体" w:hAnsi="宋体" w:cs="宋体"/>
                <w:kern w:val="0"/>
                <w:sz w:val="20"/>
                <w:szCs w:val="20"/>
              </w:rPr>
            </w:pPr>
          </w:p>
        </w:tc>
        <w:tc>
          <w:tcPr>
            <w:tcW w:w="1833" w:type="dxa"/>
            <w:vMerge w:val="continue"/>
            <w:shd w:val="clear" w:color="auto" w:fill="auto"/>
            <w:noWrap w:val="0"/>
            <w:vAlign w:val="center"/>
          </w:tcPr>
          <w:p w14:paraId="570AA1A4">
            <w:pPr>
              <w:widowControl/>
              <w:jc w:val="left"/>
              <w:rPr>
                <w:rFonts w:ascii="宋体" w:hAnsi="宋体" w:cs="宋体"/>
                <w:kern w:val="0"/>
                <w:sz w:val="20"/>
                <w:szCs w:val="20"/>
              </w:rPr>
            </w:pPr>
          </w:p>
        </w:tc>
        <w:tc>
          <w:tcPr>
            <w:tcW w:w="731" w:type="dxa"/>
            <w:vMerge w:val="continue"/>
            <w:shd w:val="clear" w:color="auto" w:fill="auto"/>
            <w:noWrap w:val="0"/>
            <w:vAlign w:val="center"/>
          </w:tcPr>
          <w:p w14:paraId="36CBA670">
            <w:pPr>
              <w:widowControl/>
              <w:jc w:val="left"/>
              <w:rPr>
                <w:rFonts w:ascii="宋体" w:hAnsi="宋体" w:cs="宋体"/>
                <w:kern w:val="0"/>
                <w:sz w:val="20"/>
                <w:szCs w:val="20"/>
              </w:rPr>
            </w:pPr>
          </w:p>
        </w:tc>
        <w:tc>
          <w:tcPr>
            <w:tcW w:w="1060" w:type="dxa"/>
            <w:vMerge w:val="continue"/>
            <w:shd w:val="clear" w:color="auto" w:fill="auto"/>
            <w:noWrap w:val="0"/>
            <w:vAlign w:val="center"/>
          </w:tcPr>
          <w:p w14:paraId="1E14FC47">
            <w:pPr>
              <w:widowControl/>
              <w:jc w:val="left"/>
              <w:rPr>
                <w:rFonts w:ascii="宋体" w:hAnsi="宋体" w:cs="宋体"/>
                <w:kern w:val="0"/>
                <w:sz w:val="20"/>
                <w:szCs w:val="20"/>
              </w:rPr>
            </w:pPr>
          </w:p>
        </w:tc>
        <w:tc>
          <w:tcPr>
            <w:tcW w:w="809" w:type="dxa"/>
            <w:vMerge w:val="continue"/>
            <w:shd w:val="clear" w:color="auto" w:fill="auto"/>
            <w:noWrap w:val="0"/>
            <w:vAlign w:val="center"/>
          </w:tcPr>
          <w:p w14:paraId="4BC77D51">
            <w:pPr>
              <w:widowControl/>
              <w:jc w:val="left"/>
              <w:rPr>
                <w:rFonts w:ascii="宋体" w:hAnsi="宋体" w:cs="宋体"/>
                <w:kern w:val="0"/>
                <w:sz w:val="20"/>
                <w:szCs w:val="20"/>
              </w:rPr>
            </w:pPr>
          </w:p>
        </w:tc>
        <w:tc>
          <w:tcPr>
            <w:tcW w:w="1060" w:type="dxa"/>
            <w:vMerge w:val="continue"/>
            <w:shd w:val="clear" w:color="auto" w:fill="auto"/>
            <w:noWrap w:val="0"/>
            <w:vAlign w:val="center"/>
          </w:tcPr>
          <w:p w14:paraId="4C5BADC9">
            <w:pPr>
              <w:widowControl/>
              <w:jc w:val="left"/>
              <w:rPr>
                <w:rFonts w:ascii="宋体" w:hAnsi="宋体" w:cs="宋体"/>
                <w:kern w:val="0"/>
                <w:sz w:val="20"/>
                <w:szCs w:val="20"/>
              </w:rPr>
            </w:pPr>
          </w:p>
        </w:tc>
        <w:tc>
          <w:tcPr>
            <w:tcW w:w="1060" w:type="dxa"/>
            <w:vMerge w:val="continue"/>
            <w:shd w:val="clear" w:color="auto" w:fill="auto"/>
            <w:noWrap w:val="0"/>
            <w:vAlign w:val="center"/>
          </w:tcPr>
          <w:p w14:paraId="5FF00695">
            <w:pPr>
              <w:widowControl/>
              <w:jc w:val="left"/>
              <w:rPr>
                <w:rFonts w:ascii="宋体" w:hAnsi="宋体" w:cs="宋体"/>
                <w:kern w:val="0"/>
                <w:sz w:val="20"/>
                <w:szCs w:val="20"/>
              </w:rPr>
            </w:pPr>
          </w:p>
        </w:tc>
        <w:tc>
          <w:tcPr>
            <w:tcW w:w="938" w:type="dxa"/>
            <w:vMerge w:val="continue"/>
            <w:shd w:val="clear" w:color="auto" w:fill="auto"/>
            <w:noWrap w:val="0"/>
            <w:vAlign w:val="center"/>
          </w:tcPr>
          <w:p w14:paraId="242923EF">
            <w:pPr>
              <w:widowControl/>
              <w:jc w:val="left"/>
              <w:rPr>
                <w:rFonts w:ascii="宋体" w:hAnsi="宋体" w:cs="宋体"/>
                <w:kern w:val="0"/>
                <w:sz w:val="20"/>
                <w:szCs w:val="20"/>
              </w:rPr>
            </w:pPr>
          </w:p>
        </w:tc>
        <w:tc>
          <w:tcPr>
            <w:tcW w:w="1060" w:type="dxa"/>
            <w:vMerge w:val="continue"/>
            <w:shd w:val="clear" w:color="auto" w:fill="auto"/>
            <w:noWrap w:val="0"/>
            <w:vAlign w:val="center"/>
          </w:tcPr>
          <w:p w14:paraId="69D5C17C">
            <w:pPr>
              <w:widowControl/>
              <w:jc w:val="left"/>
              <w:rPr>
                <w:rFonts w:ascii="宋体" w:hAnsi="宋体" w:cs="宋体"/>
                <w:kern w:val="0"/>
                <w:sz w:val="20"/>
                <w:szCs w:val="20"/>
              </w:rPr>
            </w:pPr>
          </w:p>
        </w:tc>
        <w:tc>
          <w:tcPr>
            <w:tcW w:w="1060" w:type="dxa"/>
            <w:vMerge w:val="continue"/>
            <w:shd w:val="clear" w:color="auto" w:fill="auto"/>
            <w:noWrap w:val="0"/>
            <w:vAlign w:val="center"/>
          </w:tcPr>
          <w:p w14:paraId="1823B6CA">
            <w:pPr>
              <w:widowControl/>
              <w:jc w:val="left"/>
              <w:rPr>
                <w:rFonts w:ascii="宋体" w:hAnsi="宋体" w:cs="宋体"/>
                <w:kern w:val="0"/>
                <w:sz w:val="20"/>
                <w:szCs w:val="20"/>
              </w:rPr>
            </w:pPr>
          </w:p>
        </w:tc>
        <w:tc>
          <w:tcPr>
            <w:tcW w:w="1060" w:type="dxa"/>
            <w:shd w:val="clear" w:color="auto" w:fill="auto"/>
            <w:noWrap w:val="0"/>
            <w:vAlign w:val="center"/>
          </w:tcPr>
          <w:p w14:paraId="7F4346D9">
            <w:pPr>
              <w:widowControl/>
              <w:jc w:val="center"/>
              <w:rPr>
                <w:rFonts w:ascii="宋体" w:hAnsi="宋体" w:cs="宋体"/>
                <w:kern w:val="0"/>
                <w:sz w:val="20"/>
                <w:szCs w:val="20"/>
              </w:rPr>
            </w:pPr>
            <w:r>
              <w:rPr>
                <w:rFonts w:hint="eastAsia" w:ascii="宋体" w:hAnsi="宋体" w:cs="宋体"/>
                <w:kern w:val="0"/>
                <w:sz w:val="20"/>
                <w:szCs w:val="20"/>
              </w:rPr>
              <w:t>免税项目</w:t>
            </w:r>
          </w:p>
        </w:tc>
        <w:tc>
          <w:tcPr>
            <w:tcW w:w="1060" w:type="dxa"/>
            <w:shd w:val="clear" w:color="auto" w:fill="auto"/>
            <w:noWrap w:val="0"/>
            <w:vAlign w:val="center"/>
          </w:tcPr>
          <w:p w14:paraId="1F6B40D2">
            <w:pPr>
              <w:widowControl/>
              <w:jc w:val="center"/>
              <w:rPr>
                <w:rFonts w:ascii="宋体" w:hAnsi="宋体" w:cs="宋体"/>
                <w:kern w:val="0"/>
                <w:sz w:val="20"/>
                <w:szCs w:val="20"/>
              </w:rPr>
            </w:pPr>
            <w:r>
              <w:rPr>
                <w:rFonts w:hint="eastAsia" w:ascii="宋体" w:hAnsi="宋体" w:cs="宋体"/>
                <w:kern w:val="0"/>
                <w:sz w:val="20"/>
                <w:szCs w:val="20"/>
              </w:rPr>
              <w:t>减半项目</w:t>
            </w:r>
          </w:p>
        </w:tc>
        <w:tc>
          <w:tcPr>
            <w:tcW w:w="1609" w:type="dxa"/>
            <w:vMerge w:val="continue"/>
            <w:noWrap w:val="0"/>
            <w:vAlign w:val="center"/>
          </w:tcPr>
          <w:p w14:paraId="402A2B2B">
            <w:pPr>
              <w:widowControl/>
              <w:jc w:val="left"/>
              <w:rPr>
                <w:rFonts w:ascii="宋体" w:hAnsi="宋体" w:cs="宋体"/>
                <w:kern w:val="0"/>
                <w:sz w:val="20"/>
                <w:szCs w:val="20"/>
              </w:rPr>
            </w:pPr>
          </w:p>
        </w:tc>
      </w:tr>
      <w:tr w14:paraId="2A2B4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30" w:type="dxa"/>
            <w:vMerge w:val="continue"/>
            <w:shd w:val="clear" w:color="auto" w:fill="auto"/>
            <w:noWrap w:val="0"/>
            <w:vAlign w:val="center"/>
          </w:tcPr>
          <w:p w14:paraId="66CF1996">
            <w:pPr>
              <w:widowControl/>
              <w:jc w:val="left"/>
              <w:rPr>
                <w:rFonts w:ascii="宋体" w:hAnsi="宋体" w:cs="宋体"/>
                <w:kern w:val="0"/>
                <w:sz w:val="20"/>
                <w:szCs w:val="20"/>
              </w:rPr>
            </w:pPr>
          </w:p>
        </w:tc>
        <w:tc>
          <w:tcPr>
            <w:tcW w:w="1833" w:type="dxa"/>
            <w:vMerge w:val="continue"/>
            <w:shd w:val="clear" w:color="auto" w:fill="auto"/>
            <w:noWrap w:val="0"/>
            <w:vAlign w:val="center"/>
          </w:tcPr>
          <w:p w14:paraId="4B4BB03B">
            <w:pPr>
              <w:widowControl/>
              <w:jc w:val="left"/>
              <w:rPr>
                <w:rFonts w:ascii="宋体" w:hAnsi="宋体" w:cs="宋体"/>
                <w:kern w:val="0"/>
                <w:sz w:val="20"/>
                <w:szCs w:val="20"/>
              </w:rPr>
            </w:pPr>
          </w:p>
        </w:tc>
        <w:tc>
          <w:tcPr>
            <w:tcW w:w="731" w:type="dxa"/>
            <w:shd w:val="clear" w:color="auto" w:fill="auto"/>
            <w:noWrap/>
            <w:vAlign w:val="center"/>
          </w:tcPr>
          <w:p w14:paraId="27BCC6F9">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shd w:val="clear" w:color="auto" w:fill="auto"/>
            <w:noWrap/>
            <w:vAlign w:val="center"/>
          </w:tcPr>
          <w:p w14:paraId="3721D7E3">
            <w:pPr>
              <w:widowControl/>
              <w:jc w:val="center"/>
              <w:rPr>
                <w:rFonts w:ascii="宋体" w:hAnsi="宋体" w:cs="宋体"/>
                <w:kern w:val="0"/>
                <w:sz w:val="20"/>
                <w:szCs w:val="20"/>
              </w:rPr>
            </w:pPr>
            <w:r>
              <w:rPr>
                <w:rFonts w:hint="eastAsia" w:ascii="宋体" w:hAnsi="宋体" w:cs="宋体"/>
                <w:kern w:val="0"/>
                <w:sz w:val="20"/>
                <w:szCs w:val="20"/>
              </w:rPr>
              <w:t>2</w:t>
            </w:r>
          </w:p>
        </w:tc>
        <w:tc>
          <w:tcPr>
            <w:tcW w:w="809" w:type="dxa"/>
            <w:shd w:val="clear" w:color="auto" w:fill="auto"/>
            <w:noWrap/>
            <w:vAlign w:val="center"/>
          </w:tcPr>
          <w:p w14:paraId="27852657">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shd w:val="clear" w:color="auto" w:fill="auto"/>
            <w:noWrap/>
            <w:vAlign w:val="center"/>
          </w:tcPr>
          <w:p w14:paraId="43EBA9C7">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shd w:val="clear" w:color="auto" w:fill="auto"/>
            <w:noWrap/>
            <w:vAlign w:val="center"/>
          </w:tcPr>
          <w:p w14:paraId="0AED9CAB">
            <w:pPr>
              <w:widowControl/>
              <w:jc w:val="center"/>
              <w:rPr>
                <w:rFonts w:ascii="宋体" w:hAnsi="宋体" w:cs="宋体"/>
                <w:kern w:val="0"/>
                <w:sz w:val="20"/>
                <w:szCs w:val="20"/>
              </w:rPr>
            </w:pPr>
            <w:r>
              <w:rPr>
                <w:rFonts w:hint="eastAsia" w:ascii="宋体" w:hAnsi="宋体" w:cs="宋体"/>
                <w:kern w:val="0"/>
                <w:sz w:val="20"/>
                <w:szCs w:val="20"/>
              </w:rPr>
              <w:t>5</w:t>
            </w:r>
          </w:p>
        </w:tc>
        <w:tc>
          <w:tcPr>
            <w:tcW w:w="938" w:type="dxa"/>
            <w:shd w:val="clear" w:color="auto" w:fill="auto"/>
            <w:noWrap/>
            <w:vAlign w:val="center"/>
          </w:tcPr>
          <w:p w14:paraId="5C989607">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shd w:val="clear" w:color="auto" w:fill="auto"/>
            <w:noWrap/>
            <w:vAlign w:val="center"/>
          </w:tcPr>
          <w:p w14:paraId="5F7DC0A8">
            <w:pPr>
              <w:widowControl/>
              <w:jc w:val="center"/>
              <w:rPr>
                <w:rFonts w:ascii="宋体" w:hAnsi="宋体" w:cs="宋体"/>
                <w:kern w:val="0"/>
                <w:sz w:val="20"/>
                <w:szCs w:val="20"/>
              </w:rPr>
            </w:pPr>
            <w:r>
              <w:rPr>
                <w:rFonts w:hint="eastAsia" w:ascii="宋体" w:hAnsi="宋体" w:cs="宋体"/>
                <w:kern w:val="0"/>
                <w:sz w:val="20"/>
                <w:szCs w:val="20"/>
              </w:rPr>
              <w:t>7</w:t>
            </w:r>
          </w:p>
        </w:tc>
        <w:tc>
          <w:tcPr>
            <w:tcW w:w="1060" w:type="dxa"/>
            <w:shd w:val="clear" w:color="auto" w:fill="auto"/>
            <w:noWrap w:val="0"/>
            <w:vAlign w:val="center"/>
          </w:tcPr>
          <w:p w14:paraId="38B97939">
            <w:pPr>
              <w:widowControl/>
              <w:jc w:val="center"/>
              <w:rPr>
                <w:rFonts w:ascii="宋体" w:hAnsi="宋体" w:cs="宋体"/>
                <w:kern w:val="0"/>
                <w:sz w:val="20"/>
                <w:szCs w:val="20"/>
              </w:rPr>
            </w:pPr>
            <w:r>
              <w:rPr>
                <w:rFonts w:hint="eastAsia" w:ascii="宋体" w:hAnsi="宋体" w:cs="宋体"/>
                <w:kern w:val="0"/>
                <w:sz w:val="20"/>
                <w:szCs w:val="20"/>
              </w:rPr>
              <w:t>8</w:t>
            </w:r>
          </w:p>
        </w:tc>
        <w:tc>
          <w:tcPr>
            <w:tcW w:w="1060" w:type="dxa"/>
            <w:shd w:val="clear" w:color="auto" w:fill="auto"/>
            <w:noWrap w:val="0"/>
            <w:vAlign w:val="center"/>
          </w:tcPr>
          <w:p w14:paraId="5912FA3B">
            <w:pPr>
              <w:widowControl/>
              <w:jc w:val="center"/>
              <w:rPr>
                <w:rFonts w:ascii="宋体" w:hAnsi="宋体" w:cs="宋体"/>
                <w:kern w:val="0"/>
                <w:sz w:val="20"/>
                <w:szCs w:val="20"/>
              </w:rPr>
            </w:pPr>
            <w:r>
              <w:rPr>
                <w:rFonts w:hint="eastAsia" w:ascii="宋体" w:hAnsi="宋体" w:cs="宋体"/>
                <w:kern w:val="0"/>
                <w:sz w:val="20"/>
                <w:szCs w:val="20"/>
              </w:rPr>
              <w:t>9</w:t>
            </w:r>
          </w:p>
        </w:tc>
        <w:tc>
          <w:tcPr>
            <w:tcW w:w="1060" w:type="dxa"/>
            <w:shd w:val="clear" w:color="auto" w:fill="auto"/>
            <w:noWrap w:val="0"/>
            <w:vAlign w:val="center"/>
          </w:tcPr>
          <w:p w14:paraId="7013A9A9">
            <w:pPr>
              <w:widowControl/>
              <w:jc w:val="center"/>
              <w:rPr>
                <w:rFonts w:ascii="宋体" w:hAnsi="宋体" w:cs="宋体"/>
                <w:kern w:val="0"/>
                <w:sz w:val="20"/>
                <w:szCs w:val="20"/>
              </w:rPr>
            </w:pPr>
            <w:r>
              <w:rPr>
                <w:rFonts w:hint="eastAsia" w:ascii="宋体" w:hAnsi="宋体" w:cs="宋体"/>
                <w:kern w:val="0"/>
                <w:sz w:val="20"/>
                <w:szCs w:val="20"/>
              </w:rPr>
              <w:t>10</w:t>
            </w:r>
          </w:p>
        </w:tc>
        <w:tc>
          <w:tcPr>
            <w:tcW w:w="1609" w:type="dxa"/>
            <w:shd w:val="clear" w:color="auto" w:fill="auto"/>
            <w:noWrap/>
            <w:vAlign w:val="center"/>
          </w:tcPr>
          <w:p w14:paraId="5A80D195">
            <w:pPr>
              <w:widowControl/>
              <w:jc w:val="center"/>
              <w:rPr>
                <w:rFonts w:ascii="宋体" w:hAnsi="宋体" w:cs="宋体"/>
                <w:kern w:val="0"/>
                <w:sz w:val="20"/>
                <w:szCs w:val="20"/>
              </w:rPr>
            </w:pPr>
            <w:r>
              <w:rPr>
                <w:rFonts w:hint="eastAsia" w:ascii="宋体" w:hAnsi="宋体" w:cs="宋体"/>
                <w:kern w:val="0"/>
                <w:sz w:val="20"/>
                <w:szCs w:val="20"/>
              </w:rPr>
              <w:t>11(9+10×50%)</w:t>
            </w:r>
          </w:p>
        </w:tc>
      </w:tr>
      <w:tr w14:paraId="24BB8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3E6961FE">
            <w:pPr>
              <w:widowControl/>
              <w:jc w:val="center"/>
              <w:rPr>
                <w:rFonts w:ascii="宋体" w:hAnsi="宋体" w:cs="宋体"/>
                <w:kern w:val="0"/>
                <w:sz w:val="20"/>
                <w:szCs w:val="20"/>
              </w:rPr>
            </w:pPr>
            <w:r>
              <w:rPr>
                <w:rFonts w:hint="eastAsia" w:ascii="宋体" w:hAnsi="宋体" w:cs="宋体"/>
                <w:kern w:val="0"/>
                <w:sz w:val="20"/>
                <w:szCs w:val="20"/>
              </w:rPr>
              <w:t>1</w:t>
            </w:r>
          </w:p>
        </w:tc>
        <w:tc>
          <w:tcPr>
            <w:tcW w:w="1833" w:type="dxa"/>
            <w:vMerge w:val="restart"/>
            <w:shd w:val="clear" w:color="auto" w:fill="auto"/>
            <w:noWrap w:val="0"/>
            <w:vAlign w:val="center"/>
          </w:tcPr>
          <w:p w14:paraId="3CADF660">
            <w:pPr>
              <w:widowControl/>
              <w:jc w:val="left"/>
              <w:rPr>
                <w:rFonts w:ascii="宋体" w:hAnsi="宋体" w:cs="宋体"/>
                <w:kern w:val="0"/>
                <w:sz w:val="20"/>
                <w:szCs w:val="20"/>
              </w:rPr>
            </w:pPr>
            <w:r>
              <w:rPr>
                <w:rFonts w:hint="eastAsia" w:ascii="宋体" w:hAnsi="宋体" w:cs="宋体"/>
                <w:kern w:val="0"/>
                <w:sz w:val="20"/>
                <w:szCs w:val="20"/>
              </w:rPr>
              <w:t>一、农、林、牧、渔业项目</w:t>
            </w:r>
          </w:p>
        </w:tc>
        <w:tc>
          <w:tcPr>
            <w:tcW w:w="731" w:type="dxa"/>
            <w:shd w:val="clear" w:color="auto" w:fill="auto"/>
            <w:noWrap w:val="0"/>
            <w:vAlign w:val="center"/>
          </w:tcPr>
          <w:p w14:paraId="0F0B4F8F">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0"/>
            <w:vAlign w:val="center"/>
          </w:tcPr>
          <w:p w14:paraId="514D5AA0">
            <w:pPr>
              <w:widowControl/>
              <w:jc w:val="right"/>
              <w:rPr>
                <w:rFonts w:ascii="宋体" w:hAnsi="宋体" w:cs="宋体"/>
                <w:kern w:val="0"/>
                <w:sz w:val="20"/>
                <w:szCs w:val="20"/>
              </w:rPr>
            </w:pPr>
            <w:r>
              <w:rPr>
                <w:rFonts w:hint="eastAsia" w:ascii="宋体" w:hAnsi="宋体" w:cs="宋体"/>
                <w:kern w:val="0"/>
                <w:sz w:val="20"/>
                <w:szCs w:val="20"/>
              </w:rPr>
              <w:t>　</w:t>
            </w:r>
          </w:p>
        </w:tc>
        <w:tc>
          <w:tcPr>
            <w:tcW w:w="809" w:type="dxa"/>
            <w:shd w:val="clear" w:color="auto" w:fill="auto"/>
            <w:noWrap w:val="0"/>
            <w:vAlign w:val="center"/>
          </w:tcPr>
          <w:p w14:paraId="4EB2A042">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0"/>
            <w:vAlign w:val="center"/>
          </w:tcPr>
          <w:p w14:paraId="40ACDC4B">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0"/>
            <w:vAlign w:val="center"/>
          </w:tcPr>
          <w:p w14:paraId="208CC283">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shd w:val="clear" w:color="auto" w:fill="auto"/>
            <w:noWrap/>
            <w:vAlign w:val="center"/>
          </w:tcPr>
          <w:p w14:paraId="3A1D3D6F">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shd w:val="clear" w:color="auto" w:fill="auto"/>
            <w:noWrap/>
            <w:vAlign w:val="center"/>
          </w:tcPr>
          <w:p w14:paraId="1DCBD9D7">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shd w:val="clear" w:color="auto" w:fill="auto"/>
            <w:noWrap w:val="0"/>
            <w:vAlign w:val="center"/>
          </w:tcPr>
          <w:p w14:paraId="5ECEDC54">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0"/>
            <w:vAlign w:val="center"/>
          </w:tcPr>
          <w:p w14:paraId="12438F29">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0"/>
            <w:vAlign w:val="center"/>
          </w:tcPr>
          <w:p w14:paraId="475E4A10">
            <w:pPr>
              <w:widowControl/>
              <w:jc w:val="right"/>
              <w:rPr>
                <w:rFonts w:ascii="宋体" w:hAnsi="宋体" w:cs="宋体"/>
                <w:kern w:val="0"/>
                <w:sz w:val="20"/>
                <w:szCs w:val="20"/>
              </w:rPr>
            </w:pPr>
            <w:r>
              <w:rPr>
                <w:rFonts w:hint="eastAsia" w:ascii="宋体" w:hAnsi="宋体" w:cs="宋体"/>
                <w:kern w:val="0"/>
                <w:sz w:val="20"/>
                <w:szCs w:val="20"/>
              </w:rPr>
              <w:t>　</w:t>
            </w:r>
          </w:p>
        </w:tc>
        <w:tc>
          <w:tcPr>
            <w:tcW w:w="1609" w:type="dxa"/>
            <w:shd w:val="clear" w:color="auto" w:fill="auto"/>
            <w:noWrap/>
            <w:vAlign w:val="center"/>
          </w:tcPr>
          <w:p w14:paraId="4699EC33">
            <w:pPr>
              <w:widowControl/>
              <w:jc w:val="right"/>
              <w:rPr>
                <w:rFonts w:ascii="宋体" w:hAnsi="宋体" w:cs="宋体"/>
                <w:kern w:val="0"/>
                <w:sz w:val="20"/>
                <w:szCs w:val="20"/>
              </w:rPr>
            </w:pPr>
            <w:r>
              <w:rPr>
                <w:rFonts w:hint="eastAsia" w:ascii="宋体" w:hAnsi="宋体" w:cs="宋体"/>
                <w:kern w:val="0"/>
                <w:sz w:val="20"/>
                <w:szCs w:val="20"/>
              </w:rPr>
              <w:t>　</w:t>
            </w:r>
          </w:p>
        </w:tc>
      </w:tr>
      <w:tr w14:paraId="5346C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7967E15A">
            <w:pPr>
              <w:widowControl/>
              <w:jc w:val="center"/>
              <w:rPr>
                <w:rFonts w:ascii="宋体" w:hAnsi="宋体" w:cs="宋体"/>
                <w:kern w:val="0"/>
                <w:sz w:val="20"/>
                <w:szCs w:val="20"/>
              </w:rPr>
            </w:pPr>
            <w:r>
              <w:rPr>
                <w:rFonts w:hint="eastAsia" w:ascii="宋体" w:hAnsi="宋体" w:cs="宋体"/>
                <w:kern w:val="0"/>
                <w:sz w:val="20"/>
                <w:szCs w:val="20"/>
              </w:rPr>
              <w:t>2</w:t>
            </w:r>
          </w:p>
        </w:tc>
        <w:tc>
          <w:tcPr>
            <w:tcW w:w="1833" w:type="dxa"/>
            <w:vMerge w:val="continue"/>
            <w:shd w:val="clear" w:color="auto" w:fill="auto"/>
            <w:noWrap w:val="0"/>
            <w:vAlign w:val="center"/>
          </w:tcPr>
          <w:p w14:paraId="28F4CDB2">
            <w:pPr>
              <w:widowControl/>
              <w:jc w:val="left"/>
              <w:rPr>
                <w:rFonts w:ascii="宋体" w:hAnsi="宋体" w:cs="宋体"/>
                <w:kern w:val="0"/>
                <w:sz w:val="20"/>
                <w:szCs w:val="20"/>
              </w:rPr>
            </w:pPr>
          </w:p>
        </w:tc>
        <w:tc>
          <w:tcPr>
            <w:tcW w:w="731" w:type="dxa"/>
            <w:shd w:val="clear" w:color="auto" w:fill="auto"/>
            <w:noWrap w:val="0"/>
            <w:vAlign w:val="center"/>
          </w:tcPr>
          <w:p w14:paraId="76D16D0F">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0"/>
            <w:vAlign w:val="center"/>
          </w:tcPr>
          <w:p w14:paraId="5528ECDA">
            <w:pPr>
              <w:widowControl/>
              <w:jc w:val="right"/>
              <w:rPr>
                <w:rFonts w:ascii="宋体" w:hAnsi="宋体" w:cs="宋体"/>
                <w:kern w:val="0"/>
                <w:sz w:val="20"/>
                <w:szCs w:val="20"/>
              </w:rPr>
            </w:pPr>
            <w:r>
              <w:rPr>
                <w:rFonts w:hint="eastAsia" w:ascii="宋体" w:hAnsi="宋体" w:cs="宋体"/>
                <w:kern w:val="0"/>
                <w:sz w:val="20"/>
                <w:szCs w:val="20"/>
              </w:rPr>
              <w:t>　</w:t>
            </w:r>
          </w:p>
        </w:tc>
        <w:tc>
          <w:tcPr>
            <w:tcW w:w="809" w:type="dxa"/>
            <w:shd w:val="clear" w:color="auto" w:fill="auto"/>
            <w:noWrap w:val="0"/>
            <w:vAlign w:val="center"/>
          </w:tcPr>
          <w:p w14:paraId="5048308D">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0"/>
            <w:vAlign w:val="center"/>
          </w:tcPr>
          <w:p w14:paraId="7B677BE1">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ign w:val="center"/>
          </w:tcPr>
          <w:p w14:paraId="62364506">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shd w:val="clear" w:color="auto" w:fill="auto"/>
            <w:noWrap/>
            <w:vAlign w:val="center"/>
          </w:tcPr>
          <w:p w14:paraId="5704472D">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shd w:val="clear" w:color="auto" w:fill="auto"/>
            <w:noWrap/>
            <w:vAlign w:val="center"/>
          </w:tcPr>
          <w:p w14:paraId="116D26A3">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shd w:val="clear" w:color="auto" w:fill="auto"/>
            <w:noWrap/>
            <w:vAlign w:val="center"/>
          </w:tcPr>
          <w:p w14:paraId="4E930A1A">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ign w:val="center"/>
          </w:tcPr>
          <w:p w14:paraId="18B1B901">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noWrap/>
            <w:vAlign w:val="center"/>
          </w:tcPr>
          <w:p w14:paraId="175D11CB">
            <w:pPr>
              <w:widowControl/>
              <w:jc w:val="right"/>
              <w:rPr>
                <w:rFonts w:ascii="宋体" w:hAnsi="宋体" w:cs="宋体"/>
                <w:kern w:val="0"/>
                <w:sz w:val="20"/>
                <w:szCs w:val="20"/>
              </w:rPr>
            </w:pPr>
            <w:r>
              <w:rPr>
                <w:rFonts w:hint="eastAsia" w:ascii="宋体" w:hAnsi="宋体" w:cs="宋体"/>
                <w:kern w:val="0"/>
                <w:sz w:val="20"/>
                <w:szCs w:val="20"/>
              </w:rPr>
              <w:t>　</w:t>
            </w:r>
          </w:p>
        </w:tc>
        <w:tc>
          <w:tcPr>
            <w:tcW w:w="1609" w:type="dxa"/>
            <w:shd w:val="clear" w:color="auto" w:fill="auto"/>
            <w:noWrap/>
            <w:vAlign w:val="center"/>
          </w:tcPr>
          <w:p w14:paraId="5C0B801A">
            <w:pPr>
              <w:widowControl/>
              <w:jc w:val="right"/>
              <w:rPr>
                <w:rFonts w:ascii="宋体" w:hAnsi="宋体" w:cs="宋体"/>
                <w:kern w:val="0"/>
                <w:sz w:val="20"/>
                <w:szCs w:val="20"/>
              </w:rPr>
            </w:pPr>
            <w:r>
              <w:rPr>
                <w:rFonts w:hint="eastAsia" w:ascii="宋体" w:hAnsi="宋体" w:cs="宋体"/>
                <w:kern w:val="0"/>
                <w:sz w:val="20"/>
                <w:szCs w:val="20"/>
              </w:rPr>
              <w:t>　</w:t>
            </w:r>
          </w:p>
        </w:tc>
      </w:tr>
      <w:tr w14:paraId="69E33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196EC3FC">
            <w:pPr>
              <w:widowControl/>
              <w:jc w:val="center"/>
              <w:rPr>
                <w:rFonts w:ascii="宋体" w:hAnsi="宋体" w:cs="宋体"/>
                <w:kern w:val="0"/>
                <w:sz w:val="20"/>
                <w:szCs w:val="20"/>
              </w:rPr>
            </w:pPr>
            <w:r>
              <w:rPr>
                <w:rFonts w:hint="eastAsia" w:ascii="宋体" w:hAnsi="宋体" w:cs="宋体"/>
                <w:kern w:val="0"/>
                <w:sz w:val="20"/>
                <w:szCs w:val="20"/>
              </w:rPr>
              <w:t>3</w:t>
            </w:r>
          </w:p>
        </w:tc>
        <w:tc>
          <w:tcPr>
            <w:tcW w:w="1833" w:type="dxa"/>
            <w:vMerge w:val="continue"/>
            <w:shd w:val="clear" w:color="auto" w:fill="auto"/>
            <w:noWrap w:val="0"/>
            <w:vAlign w:val="center"/>
          </w:tcPr>
          <w:p w14:paraId="376C789E">
            <w:pPr>
              <w:widowControl/>
              <w:jc w:val="left"/>
              <w:rPr>
                <w:rFonts w:ascii="宋体" w:hAnsi="宋体" w:cs="宋体"/>
                <w:kern w:val="0"/>
                <w:sz w:val="20"/>
                <w:szCs w:val="20"/>
              </w:rPr>
            </w:pPr>
          </w:p>
        </w:tc>
        <w:tc>
          <w:tcPr>
            <w:tcW w:w="731" w:type="dxa"/>
            <w:shd w:val="clear" w:color="auto" w:fill="auto"/>
            <w:noWrap w:val="0"/>
            <w:vAlign w:val="center"/>
          </w:tcPr>
          <w:p w14:paraId="5200F3E7">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noWrap/>
            <w:vAlign w:val="center"/>
          </w:tcPr>
          <w:p w14:paraId="5F57AE9D">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noWrap/>
            <w:vAlign w:val="center"/>
          </w:tcPr>
          <w:p w14:paraId="68425243">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214DC31F">
            <w:pPr>
              <w:widowControl/>
              <w:jc w:val="center"/>
              <w:rPr>
                <w:rFonts w:ascii="宋体" w:hAnsi="宋体" w:cs="宋体"/>
                <w:kern w:val="0"/>
                <w:sz w:val="18"/>
                <w:szCs w:val="18"/>
              </w:rPr>
            </w:pPr>
          </w:p>
        </w:tc>
        <w:tc>
          <w:tcPr>
            <w:tcW w:w="1060" w:type="dxa"/>
            <w:shd w:val="clear" w:color="auto" w:fill="auto"/>
            <w:noWrap/>
            <w:vAlign w:val="center"/>
          </w:tcPr>
          <w:p w14:paraId="51F11836">
            <w:pPr>
              <w:widowControl/>
              <w:jc w:val="center"/>
              <w:rPr>
                <w:rFonts w:ascii="宋体" w:hAnsi="宋体" w:cs="宋体"/>
                <w:kern w:val="0"/>
                <w:sz w:val="18"/>
                <w:szCs w:val="18"/>
              </w:rPr>
            </w:pPr>
          </w:p>
        </w:tc>
        <w:tc>
          <w:tcPr>
            <w:tcW w:w="938" w:type="dxa"/>
            <w:shd w:val="clear" w:color="auto" w:fill="auto"/>
            <w:noWrap/>
            <w:vAlign w:val="center"/>
          </w:tcPr>
          <w:p w14:paraId="5F180455">
            <w:pPr>
              <w:widowControl/>
              <w:jc w:val="center"/>
              <w:rPr>
                <w:rFonts w:ascii="宋体" w:hAnsi="宋体" w:cs="宋体"/>
                <w:kern w:val="0"/>
                <w:sz w:val="18"/>
                <w:szCs w:val="18"/>
              </w:rPr>
            </w:pPr>
          </w:p>
        </w:tc>
        <w:tc>
          <w:tcPr>
            <w:tcW w:w="1060" w:type="dxa"/>
            <w:shd w:val="clear" w:color="auto" w:fill="auto"/>
            <w:noWrap/>
            <w:vAlign w:val="center"/>
          </w:tcPr>
          <w:p w14:paraId="22899DF2">
            <w:pPr>
              <w:widowControl/>
              <w:jc w:val="center"/>
              <w:rPr>
                <w:rFonts w:ascii="宋体" w:hAnsi="宋体" w:cs="宋体"/>
                <w:kern w:val="0"/>
                <w:sz w:val="18"/>
                <w:szCs w:val="18"/>
              </w:rPr>
            </w:pPr>
          </w:p>
        </w:tc>
        <w:tc>
          <w:tcPr>
            <w:tcW w:w="1060" w:type="dxa"/>
            <w:shd w:val="clear" w:color="auto" w:fill="auto"/>
            <w:noWrap/>
            <w:vAlign w:val="center"/>
          </w:tcPr>
          <w:p w14:paraId="0B5F4B51">
            <w:pPr>
              <w:widowControl/>
              <w:jc w:val="center"/>
              <w:rPr>
                <w:rFonts w:ascii="宋体" w:hAnsi="宋体" w:cs="宋体"/>
                <w:kern w:val="0"/>
                <w:sz w:val="18"/>
                <w:szCs w:val="18"/>
              </w:rPr>
            </w:pPr>
          </w:p>
        </w:tc>
        <w:tc>
          <w:tcPr>
            <w:tcW w:w="1060" w:type="dxa"/>
            <w:shd w:val="clear" w:color="auto" w:fill="auto"/>
            <w:noWrap/>
            <w:vAlign w:val="center"/>
          </w:tcPr>
          <w:p w14:paraId="6EB4439E">
            <w:pPr>
              <w:widowControl/>
              <w:jc w:val="right"/>
              <w:rPr>
                <w:rFonts w:ascii="宋体" w:hAnsi="宋体" w:cs="宋体"/>
                <w:kern w:val="0"/>
                <w:sz w:val="20"/>
                <w:szCs w:val="20"/>
              </w:rPr>
            </w:pPr>
          </w:p>
        </w:tc>
        <w:tc>
          <w:tcPr>
            <w:tcW w:w="1060" w:type="dxa"/>
            <w:shd w:val="clear" w:color="auto" w:fill="auto"/>
            <w:noWrap/>
            <w:vAlign w:val="center"/>
          </w:tcPr>
          <w:p w14:paraId="02F9A707">
            <w:pPr>
              <w:widowControl/>
              <w:jc w:val="center"/>
              <w:rPr>
                <w:rFonts w:ascii="宋体" w:hAnsi="宋体" w:cs="宋体"/>
                <w:kern w:val="0"/>
                <w:sz w:val="20"/>
                <w:szCs w:val="20"/>
              </w:rPr>
            </w:pPr>
          </w:p>
        </w:tc>
        <w:tc>
          <w:tcPr>
            <w:tcW w:w="1609" w:type="dxa"/>
            <w:shd w:val="clear" w:color="auto" w:fill="auto"/>
            <w:noWrap/>
            <w:vAlign w:val="center"/>
          </w:tcPr>
          <w:p w14:paraId="1A8F973F">
            <w:pPr>
              <w:widowControl/>
              <w:jc w:val="center"/>
              <w:rPr>
                <w:rFonts w:ascii="宋体" w:hAnsi="宋体" w:cs="宋体"/>
                <w:kern w:val="0"/>
                <w:sz w:val="20"/>
                <w:szCs w:val="20"/>
              </w:rPr>
            </w:pPr>
          </w:p>
        </w:tc>
      </w:tr>
      <w:tr w14:paraId="237EE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2820B479">
            <w:pPr>
              <w:widowControl/>
              <w:jc w:val="center"/>
              <w:rPr>
                <w:rFonts w:ascii="宋体" w:hAnsi="宋体" w:cs="宋体"/>
                <w:kern w:val="0"/>
                <w:sz w:val="20"/>
                <w:szCs w:val="20"/>
              </w:rPr>
            </w:pPr>
            <w:r>
              <w:rPr>
                <w:rFonts w:hint="eastAsia" w:ascii="宋体" w:hAnsi="宋体" w:cs="宋体"/>
                <w:kern w:val="0"/>
                <w:sz w:val="20"/>
                <w:szCs w:val="20"/>
              </w:rPr>
              <w:t>4</w:t>
            </w:r>
          </w:p>
        </w:tc>
        <w:tc>
          <w:tcPr>
            <w:tcW w:w="1833" w:type="dxa"/>
            <w:vMerge w:val="restart"/>
            <w:shd w:val="clear" w:color="auto" w:fill="auto"/>
            <w:noWrap w:val="0"/>
            <w:vAlign w:val="center"/>
          </w:tcPr>
          <w:p w14:paraId="73CDAAF2">
            <w:pPr>
              <w:widowControl/>
              <w:jc w:val="left"/>
              <w:rPr>
                <w:rFonts w:ascii="宋体" w:hAnsi="宋体" w:cs="宋体"/>
                <w:kern w:val="0"/>
                <w:sz w:val="20"/>
                <w:szCs w:val="20"/>
              </w:rPr>
            </w:pPr>
            <w:r>
              <w:rPr>
                <w:rFonts w:hint="eastAsia" w:ascii="宋体" w:hAnsi="宋体" w:cs="宋体"/>
                <w:kern w:val="0"/>
                <w:sz w:val="20"/>
                <w:szCs w:val="20"/>
              </w:rPr>
              <w:t>二、国家重点扶持的公共基础设施项目</w:t>
            </w:r>
          </w:p>
        </w:tc>
        <w:tc>
          <w:tcPr>
            <w:tcW w:w="731" w:type="dxa"/>
            <w:shd w:val="clear" w:color="auto" w:fill="auto"/>
            <w:noWrap w:val="0"/>
            <w:vAlign w:val="center"/>
          </w:tcPr>
          <w:p w14:paraId="27CECEA0">
            <w:pPr>
              <w:widowControl/>
              <w:jc w:val="center"/>
              <w:rPr>
                <w:rFonts w:ascii="宋体" w:hAnsi="宋体" w:cs="宋体"/>
                <w:kern w:val="0"/>
                <w:sz w:val="20"/>
                <w:szCs w:val="20"/>
              </w:rPr>
            </w:pPr>
          </w:p>
        </w:tc>
        <w:tc>
          <w:tcPr>
            <w:tcW w:w="1060" w:type="dxa"/>
            <w:shd w:val="clear" w:color="auto" w:fill="auto"/>
            <w:noWrap w:val="0"/>
            <w:vAlign w:val="center"/>
          </w:tcPr>
          <w:p w14:paraId="64B96FB5">
            <w:pPr>
              <w:widowControl/>
              <w:jc w:val="center"/>
              <w:rPr>
                <w:rFonts w:ascii="宋体" w:hAnsi="宋体" w:cs="宋体"/>
                <w:kern w:val="0"/>
                <w:sz w:val="20"/>
                <w:szCs w:val="20"/>
              </w:rPr>
            </w:pPr>
          </w:p>
        </w:tc>
        <w:tc>
          <w:tcPr>
            <w:tcW w:w="809" w:type="dxa"/>
            <w:shd w:val="clear" w:color="auto" w:fill="auto"/>
            <w:noWrap w:val="0"/>
            <w:vAlign w:val="center"/>
          </w:tcPr>
          <w:p w14:paraId="347454D4">
            <w:pPr>
              <w:widowControl/>
              <w:jc w:val="center"/>
              <w:rPr>
                <w:rFonts w:ascii="宋体" w:hAnsi="宋体" w:cs="宋体"/>
                <w:kern w:val="0"/>
                <w:sz w:val="20"/>
                <w:szCs w:val="20"/>
              </w:rPr>
            </w:pPr>
          </w:p>
        </w:tc>
        <w:tc>
          <w:tcPr>
            <w:tcW w:w="1060" w:type="dxa"/>
            <w:shd w:val="clear" w:color="auto" w:fill="auto"/>
            <w:noWrap w:val="0"/>
            <w:vAlign w:val="center"/>
          </w:tcPr>
          <w:p w14:paraId="08354A4A">
            <w:pPr>
              <w:widowControl/>
              <w:jc w:val="center"/>
              <w:rPr>
                <w:rFonts w:ascii="宋体" w:hAnsi="宋体" w:cs="宋体"/>
                <w:kern w:val="0"/>
                <w:sz w:val="20"/>
                <w:szCs w:val="20"/>
              </w:rPr>
            </w:pPr>
          </w:p>
        </w:tc>
        <w:tc>
          <w:tcPr>
            <w:tcW w:w="1060" w:type="dxa"/>
            <w:shd w:val="clear" w:color="auto" w:fill="auto"/>
            <w:noWrap/>
            <w:vAlign w:val="center"/>
          </w:tcPr>
          <w:p w14:paraId="771A887E">
            <w:pPr>
              <w:widowControl/>
              <w:jc w:val="center"/>
              <w:rPr>
                <w:rFonts w:ascii="宋体" w:hAnsi="宋体" w:cs="宋体"/>
                <w:kern w:val="0"/>
                <w:sz w:val="20"/>
                <w:szCs w:val="20"/>
              </w:rPr>
            </w:pPr>
          </w:p>
        </w:tc>
        <w:tc>
          <w:tcPr>
            <w:tcW w:w="938" w:type="dxa"/>
            <w:shd w:val="clear" w:color="auto" w:fill="auto"/>
            <w:noWrap/>
            <w:vAlign w:val="center"/>
          </w:tcPr>
          <w:p w14:paraId="3EED84AE">
            <w:pPr>
              <w:widowControl/>
              <w:jc w:val="center"/>
              <w:rPr>
                <w:rFonts w:ascii="宋体" w:hAnsi="宋体" w:cs="宋体"/>
                <w:kern w:val="0"/>
                <w:sz w:val="18"/>
                <w:szCs w:val="18"/>
              </w:rPr>
            </w:pPr>
          </w:p>
        </w:tc>
        <w:tc>
          <w:tcPr>
            <w:tcW w:w="1060" w:type="dxa"/>
            <w:shd w:val="clear" w:color="auto" w:fill="auto"/>
            <w:noWrap/>
            <w:vAlign w:val="center"/>
          </w:tcPr>
          <w:p w14:paraId="51016A3E">
            <w:pPr>
              <w:widowControl/>
              <w:jc w:val="center"/>
              <w:rPr>
                <w:rFonts w:ascii="宋体" w:hAnsi="宋体" w:cs="宋体"/>
                <w:kern w:val="0"/>
                <w:sz w:val="18"/>
                <w:szCs w:val="18"/>
              </w:rPr>
            </w:pPr>
          </w:p>
        </w:tc>
        <w:tc>
          <w:tcPr>
            <w:tcW w:w="1060" w:type="dxa"/>
            <w:shd w:val="clear" w:color="auto" w:fill="auto"/>
            <w:noWrap/>
            <w:vAlign w:val="center"/>
          </w:tcPr>
          <w:p w14:paraId="33380C13">
            <w:pPr>
              <w:widowControl/>
              <w:jc w:val="center"/>
              <w:rPr>
                <w:rFonts w:ascii="宋体" w:hAnsi="宋体" w:cs="宋体"/>
                <w:kern w:val="0"/>
                <w:sz w:val="18"/>
                <w:szCs w:val="18"/>
              </w:rPr>
            </w:pPr>
          </w:p>
        </w:tc>
        <w:tc>
          <w:tcPr>
            <w:tcW w:w="1060" w:type="dxa"/>
            <w:shd w:val="clear" w:color="auto" w:fill="auto"/>
            <w:noWrap/>
            <w:vAlign w:val="center"/>
          </w:tcPr>
          <w:p w14:paraId="636BA769">
            <w:pPr>
              <w:widowControl/>
              <w:jc w:val="right"/>
              <w:rPr>
                <w:rFonts w:ascii="宋体" w:hAnsi="宋体" w:cs="宋体"/>
                <w:kern w:val="0"/>
                <w:sz w:val="20"/>
                <w:szCs w:val="20"/>
              </w:rPr>
            </w:pPr>
          </w:p>
        </w:tc>
        <w:tc>
          <w:tcPr>
            <w:tcW w:w="1060" w:type="dxa"/>
            <w:shd w:val="clear" w:color="auto" w:fill="auto"/>
            <w:noWrap/>
            <w:vAlign w:val="center"/>
          </w:tcPr>
          <w:p w14:paraId="4C32C83A">
            <w:pPr>
              <w:widowControl/>
              <w:jc w:val="center"/>
              <w:rPr>
                <w:rFonts w:ascii="宋体" w:hAnsi="宋体" w:cs="宋体"/>
                <w:kern w:val="0"/>
                <w:sz w:val="20"/>
                <w:szCs w:val="20"/>
              </w:rPr>
            </w:pPr>
          </w:p>
        </w:tc>
        <w:tc>
          <w:tcPr>
            <w:tcW w:w="1609" w:type="dxa"/>
            <w:shd w:val="clear" w:color="auto" w:fill="auto"/>
            <w:noWrap/>
            <w:vAlign w:val="center"/>
          </w:tcPr>
          <w:p w14:paraId="06D7A69F">
            <w:pPr>
              <w:widowControl/>
              <w:jc w:val="center"/>
              <w:rPr>
                <w:rFonts w:ascii="宋体" w:hAnsi="宋体" w:cs="宋体"/>
                <w:kern w:val="0"/>
                <w:sz w:val="20"/>
                <w:szCs w:val="20"/>
              </w:rPr>
            </w:pPr>
          </w:p>
        </w:tc>
      </w:tr>
      <w:tr w14:paraId="7A9E2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5F66DF76">
            <w:pPr>
              <w:widowControl/>
              <w:jc w:val="center"/>
              <w:rPr>
                <w:rFonts w:ascii="宋体" w:hAnsi="宋体" w:cs="宋体"/>
                <w:kern w:val="0"/>
                <w:sz w:val="20"/>
                <w:szCs w:val="20"/>
              </w:rPr>
            </w:pPr>
            <w:r>
              <w:rPr>
                <w:rFonts w:hint="eastAsia" w:ascii="宋体" w:hAnsi="宋体" w:cs="宋体"/>
                <w:kern w:val="0"/>
                <w:sz w:val="20"/>
                <w:szCs w:val="20"/>
              </w:rPr>
              <w:t>5</w:t>
            </w:r>
          </w:p>
        </w:tc>
        <w:tc>
          <w:tcPr>
            <w:tcW w:w="1833" w:type="dxa"/>
            <w:vMerge w:val="continue"/>
            <w:shd w:val="clear" w:color="auto" w:fill="auto"/>
            <w:noWrap w:val="0"/>
            <w:vAlign w:val="center"/>
          </w:tcPr>
          <w:p w14:paraId="0F7EBC46">
            <w:pPr>
              <w:widowControl/>
              <w:jc w:val="left"/>
              <w:rPr>
                <w:rFonts w:ascii="宋体" w:hAnsi="宋体" w:cs="宋体"/>
                <w:kern w:val="0"/>
                <w:sz w:val="20"/>
                <w:szCs w:val="20"/>
              </w:rPr>
            </w:pPr>
          </w:p>
        </w:tc>
        <w:tc>
          <w:tcPr>
            <w:tcW w:w="731" w:type="dxa"/>
            <w:shd w:val="clear" w:color="auto" w:fill="auto"/>
            <w:noWrap w:val="0"/>
            <w:vAlign w:val="center"/>
          </w:tcPr>
          <w:p w14:paraId="5FF079AE">
            <w:pPr>
              <w:widowControl/>
              <w:jc w:val="center"/>
              <w:rPr>
                <w:rFonts w:ascii="宋体" w:hAnsi="宋体" w:cs="宋体"/>
                <w:kern w:val="0"/>
                <w:sz w:val="20"/>
                <w:szCs w:val="20"/>
              </w:rPr>
            </w:pPr>
          </w:p>
        </w:tc>
        <w:tc>
          <w:tcPr>
            <w:tcW w:w="1060" w:type="dxa"/>
            <w:shd w:val="clear" w:color="auto" w:fill="auto"/>
            <w:noWrap w:val="0"/>
            <w:vAlign w:val="center"/>
          </w:tcPr>
          <w:p w14:paraId="2231BBC5">
            <w:pPr>
              <w:widowControl/>
              <w:jc w:val="center"/>
              <w:rPr>
                <w:rFonts w:ascii="宋体" w:hAnsi="宋体" w:cs="宋体"/>
                <w:kern w:val="0"/>
                <w:sz w:val="20"/>
                <w:szCs w:val="20"/>
              </w:rPr>
            </w:pPr>
          </w:p>
        </w:tc>
        <w:tc>
          <w:tcPr>
            <w:tcW w:w="809" w:type="dxa"/>
            <w:shd w:val="clear" w:color="auto" w:fill="auto"/>
            <w:noWrap w:val="0"/>
            <w:vAlign w:val="center"/>
          </w:tcPr>
          <w:p w14:paraId="2533EE2F">
            <w:pPr>
              <w:widowControl/>
              <w:jc w:val="center"/>
              <w:rPr>
                <w:rFonts w:ascii="宋体" w:hAnsi="宋体" w:cs="宋体"/>
                <w:kern w:val="0"/>
                <w:sz w:val="20"/>
                <w:szCs w:val="20"/>
              </w:rPr>
            </w:pPr>
          </w:p>
        </w:tc>
        <w:tc>
          <w:tcPr>
            <w:tcW w:w="1060" w:type="dxa"/>
            <w:shd w:val="clear" w:color="auto" w:fill="auto"/>
            <w:noWrap w:val="0"/>
            <w:vAlign w:val="center"/>
          </w:tcPr>
          <w:p w14:paraId="3AC29707">
            <w:pPr>
              <w:widowControl/>
              <w:jc w:val="center"/>
              <w:rPr>
                <w:rFonts w:ascii="宋体" w:hAnsi="宋体" w:cs="宋体"/>
                <w:kern w:val="0"/>
                <w:sz w:val="20"/>
                <w:szCs w:val="20"/>
              </w:rPr>
            </w:pPr>
          </w:p>
        </w:tc>
        <w:tc>
          <w:tcPr>
            <w:tcW w:w="1060" w:type="dxa"/>
            <w:shd w:val="clear" w:color="auto" w:fill="auto"/>
            <w:noWrap/>
            <w:vAlign w:val="center"/>
          </w:tcPr>
          <w:p w14:paraId="46BC8C30">
            <w:pPr>
              <w:widowControl/>
              <w:jc w:val="center"/>
              <w:rPr>
                <w:rFonts w:ascii="宋体" w:hAnsi="宋体" w:cs="宋体"/>
                <w:kern w:val="0"/>
                <w:sz w:val="20"/>
                <w:szCs w:val="20"/>
              </w:rPr>
            </w:pPr>
          </w:p>
        </w:tc>
        <w:tc>
          <w:tcPr>
            <w:tcW w:w="938" w:type="dxa"/>
            <w:shd w:val="clear" w:color="auto" w:fill="auto"/>
            <w:noWrap/>
            <w:vAlign w:val="center"/>
          </w:tcPr>
          <w:p w14:paraId="4B15B944">
            <w:pPr>
              <w:widowControl/>
              <w:jc w:val="center"/>
              <w:rPr>
                <w:rFonts w:ascii="宋体" w:hAnsi="宋体" w:cs="宋体"/>
                <w:kern w:val="0"/>
                <w:sz w:val="18"/>
                <w:szCs w:val="18"/>
              </w:rPr>
            </w:pPr>
          </w:p>
        </w:tc>
        <w:tc>
          <w:tcPr>
            <w:tcW w:w="1060" w:type="dxa"/>
            <w:shd w:val="clear" w:color="auto" w:fill="auto"/>
            <w:noWrap/>
            <w:vAlign w:val="center"/>
          </w:tcPr>
          <w:p w14:paraId="0A73CCE5">
            <w:pPr>
              <w:widowControl/>
              <w:jc w:val="center"/>
              <w:rPr>
                <w:rFonts w:ascii="宋体" w:hAnsi="宋体" w:cs="宋体"/>
                <w:kern w:val="0"/>
                <w:sz w:val="18"/>
                <w:szCs w:val="18"/>
              </w:rPr>
            </w:pPr>
          </w:p>
        </w:tc>
        <w:tc>
          <w:tcPr>
            <w:tcW w:w="1060" w:type="dxa"/>
            <w:shd w:val="clear" w:color="auto" w:fill="auto"/>
            <w:noWrap/>
            <w:vAlign w:val="center"/>
          </w:tcPr>
          <w:p w14:paraId="705A8AC6">
            <w:pPr>
              <w:widowControl/>
              <w:jc w:val="center"/>
              <w:rPr>
                <w:rFonts w:ascii="宋体" w:hAnsi="宋体" w:cs="宋体"/>
                <w:kern w:val="0"/>
                <w:sz w:val="20"/>
                <w:szCs w:val="20"/>
              </w:rPr>
            </w:pPr>
          </w:p>
        </w:tc>
        <w:tc>
          <w:tcPr>
            <w:tcW w:w="1060" w:type="dxa"/>
            <w:shd w:val="clear" w:color="auto" w:fill="auto"/>
            <w:noWrap/>
            <w:vAlign w:val="center"/>
          </w:tcPr>
          <w:p w14:paraId="6F9855C8">
            <w:pPr>
              <w:widowControl/>
              <w:jc w:val="right"/>
              <w:rPr>
                <w:rFonts w:ascii="宋体" w:hAnsi="宋体" w:cs="宋体"/>
                <w:kern w:val="0"/>
                <w:sz w:val="20"/>
                <w:szCs w:val="20"/>
              </w:rPr>
            </w:pPr>
          </w:p>
        </w:tc>
        <w:tc>
          <w:tcPr>
            <w:tcW w:w="1060" w:type="dxa"/>
            <w:shd w:val="clear" w:color="auto" w:fill="auto"/>
            <w:noWrap/>
            <w:vAlign w:val="center"/>
          </w:tcPr>
          <w:p w14:paraId="54E72829">
            <w:pPr>
              <w:widowControl/>
              <w:jc w:val="center"/>
              <w:rPr>
                <w:rFonts w:ascii="宋体" w:hAnsi="宋体" w:cs="宋体"/>
                <w:kern w:val="0"/>
                <w:sz w:val="20"/>
                <w:szCs w:val="20"/>
              </w:rPr>
            </w:pPr>
          </w:p>
        </w:tc>
        <w:tc>
          <w:tcPr>
            <w:tcW w:w="1609" w:type="dxa"/>
            <w:shd w:val="clear" w:color="auto" w:fill="auto"/>
            <w:noWrap/>
            <w:vAlign w:val="center"/>
          </w:tcPr>
          <w:p w14:paraId="398F3660">
            <w:pPr>
              <w:widowControl/>
              <w:jc w:val="center"/>
              <w:rPr>
                <w:rFonts w:ascii="宋体" w:hAnsi="宋体" w:cs="宋体"/>
                <w:kern w:val="0"/>
                <w:sz w:val="20"/>
                <w:szCs w:val="20"/>
              </w:rPr>
            </w:pPr>
          </w:p>
        </w:tc>
      </w:tr>
      <w:tr w14:paraId="3A6FC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50F5F7F8">
            <w:pPr>
              <w:widowControl/>
              <w:jc w:val="center"/>
              <w:rPr>
                <w:rFonts w:ascii="宋体" w:hAnsi="宋体" w:cs="宋体"/>
                <w:kern w:val="0"/>
                <w:sz w:val="20"/>
                <w:szCs w:val="20"/>
              </w:rPr>
            </w:pPr>
            <w:r>
              <w:rPr>
                <w:rFonts w:hint="eastAsia" w:ascii="宋体" w:hAnsi="宋体" w:cs="宋体"/>
                <w:kern w:val="0"/>
                <w:sz w:val="20"/>
                <w:szCs w:val="20"/>
              </w:rPr>
              <w:t>6</w:t>
            </w:r>
          </w:p>
        </w:tc>
        <w:tc>
          <w:tcPr>
            <w:tcW w:w="1833" w:type="dxa"/>
            <w:vMerge w:val="continue"/>
            <w:shd w:val="clear" w:color="auto" w:fill="auto"/>
            <w:noWrap w:val="0"/>
            <w:vAlign w:val="center"/>
          </w:tcPr>
          <w:p w14:paraId="3D69A7BE">
            <w:pPr>
              <w:widowControl/>
              <w:jc w:val="left"/>
              <w:rPr>
                <w:rFonts w:ascii="宋体" w:hAnsi="宋体" w:cs="宋体"/>
                <w:kern w:val="0"/>
                <w:sz w:val="20"/>
                <w:szCs w:val="20"/>
              </w:rPr>
            </w:pPr>
          </w:p>
        </w:tc>
        <w:tc>
          <w:tcPr>
            <w:tcW w:w="731" w:type="dxa"/>
            <w:shd w:val="clear" w:color="auto" w:fill="auto"/>
            <w:noWrap w:val="0"/>
            <w:vAlign w:val="center"/>
          </w:tcPr>
          <w:p w14:paraId="7446B7D9">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noWrap/>
            <w:vAlign w:val="center"/>
          </w:tcPr>
          <w:p w14:paraId="04482FB5">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noWrap/>
            <w:vAlign w:val="center"/>
          </w:tcPr>
          <w:p w14:paraId="5E3C6260">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47A0F045">
            <w:pPr>
              <w:widowControl/>
              <w:jc w:val="center"/>
              <w:rPr>
                <w:rFonts w:ascii="宋体" w:hAnsi="宋体" w:cs="宋体"/>
                <w:kern w:val="0"/>
                <w:sz w:val="18"/>
                <w:szCs w:val="18"/>
              </w:rPr>
            </w:pPr>
          </w:p>
        </w:tc>
        <w:tc>
          <w:tcPr>
            <w:tcW w:w="1060" w:type="dxa"/>
            <w:shd w:val="clear" w:color="auto" w:fill="auto"/>
            <w:noWrap/>
            <w:vAlign w:val="center"/>
          </w:tcPr>
          <w:p w14:paraId="7632812F">
            <w:pPr>
              <w:widowControl/>
              <w:jc w:val="center"/>
              <w:rPr>
                <w:rFonts w:ascii="宋体" w:hAnsi="宋体" w:cs="宋体"/>
                <w:kern w:val="0"/>
                <w:sz w:val="18"/>
                <w:szCs w:val="18"/>
              </w:rPr>
            </w:pPr>
          </w:p>
        </w:tc>
        <w:tc>
          <w:tcPr>
            <w:tcW w:w="938" w:type="dxa"/>
            <w:shd w:val="clear" w:color="auto" w:fill="auto"/>
            <w:noWrap/>
            <w:vAlign w:val="center"/>
          </w:tcPr>
          <w:p w14:paraId="18BC6A41">
            <w:pPr>
              <w:widowControl/>
              <w:jc w:val="center"/>
              <w:rPr>
                <w:rFonts w:ascii="宋体" w:hAnsi="宋体" w:cs="宋体"/>
                <w:kern w:val="0"/>
                <w:sz w:val="18"/>
                <w:szCs w:val="18"/>
              </w:rPr>
            </w:pPr>
          </w:p>
        </w:tc>
        <w:tc>
          <w:tcPr>
            <w:tcW w:w="1060" w:type="dxa"/>
            <w:shd w:val="clear" w:color="auto" w:fill="auto"/>
            <w:noWrap/>
            <w:vAlign w:val="center"/>
          </w:tcPr>
          <w:p w14:paraId="2F657E7D">
            <w:pPr>
              <w:widowControl/>
              <w:jc w:val="center"/>
              <w:rPr>
                <w:rFonts w:ascii="宋体" w:hAnsi="宋体" w:cs="宋体"/>
                <w:kern w:val="0"/>
                <w:sz w:val="18"/>
                <w:szCs w:val="18"/>
              </w:rPr>
            </w:pPr>
          </w:p>
        </w:tc>
        <w:tc>
          <w:tcPr>
            <w:tcW w:w="1060" w:type="dxa"/>
            <w:shd w:val="clear" w:color="auto" w:fill="auto"/>
            <w:noWrap/>
            <w:vAlign w:val="center"/>
          </w:tcPr>
          <w:p w14:paraId="316864F5">
            <w:pPr>
              <w:widowControl/>
              <w:jc w:val="center"/>
              <w:rPr>
                <w:rFonts w:ascii="宋体" w:hAnsi="宋体" w:cs="宋体"/>
                <w:kern w:val="0"/>
                <w:sz w:val="18"/>
                <w:szCs w:val="18"/>
              </w:rPr>
            </w:pPr>
          </w:p>
        </w:tc>
        <w:tc>
          <w:tcPr>
            <w:tcW w:w="1060" w:type="dxa"/>
            <w:shd w:val="clear" w:color="auto" w:fill="auto"/>
            <w:noWrap/>
            <w:vAlign w:val="center"/>
          </w:tcPr>
          <w:p w14:paraId="043FF3F1">
            <w:pPr>
              <w:widowControl/>
              <w:jc w:val="center"/>
              <w:rPr>
                <w:rFonts w:ascii="宋体" w:hAnsi="宋体" w:cs="宋体"/>
                <w:kern w:val="0"/>
                <w:sz w:val="20"/>
                <w:szCs w:val="20"/>
              </w:rPr>
            </w:pPr>
          </w:p>
        </w:tc>
        <w:tc>
          <w:tcPr>
            <w:tcW w:w="1060" w:type="dxa"/>
            <w:shd w:val="clear" w:color="auto" w:fill="auto"/>
            <w:noWrap/>
            <w:vAlign w:val="center"/>
          </w:tcPr>
          <w:p w14:paraId="287FC278">
            <w:pPr>
              <w:widowControl/>
              <w:jc w:val="center"/>
              <w:rPr>
                <w:rFonts w:ascii="宋体" w:hAnsi="宋体" w:cs="宋体"/>
                <w:kern w:val="0"/>
                <w:sz w:val="20"/>
                <w:szCs w:val="20"/>
              </w:rPr>
            </w:pPr>
          </w:p>
        </w:tc>
        <w:tc>
          <w:tcPr>
            <w:tcW w:w="1609" w:type="dxa"/>
            <w:shd w:val="clear" w:color="auto" w:fill="auto"/>
            <w:noWrap/>
            <w:vAlign w:val="center"/>
          </w:tcPr>
          <w:p w14:paraId="6D4FE23B">
            <w:pPr>
              <w:widowControl/>
              <w:jc w:val="center"/>
              <w:rPr>
                <w:rFonts w:ascii="宋体" w:hAnsi="宋体" w:cs="宋体"/>
                <w:kern w:val="0"/>
                <w:sz w:val="20"/>
                <w:szCs w:val="20"/>
              </w:rPr>
            </w:pPr>
          </w:p>
        </w:tc>
      </w:tr>
      <w:tr w14:paraId="25CFC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4D386B75">
            <w:pPr>
              <w:widowControl/>
              <w:jc w:val="center"/>
              <w:rPr>
                <w:rFonts w:ascii="宋体" w:hAnsi="宋体" w:cs="宋体"/>
                <w:kern w:val="0"/>
                <w:sz w:val="20"/>
                <w:szCs w:val="20"/>
              </w:rPr>
            </w:pPr>
            <w:r>
              <w:rPr>
                <w:rFonts w:hint="eastAsia" w:ascii="宋体" w:hAnsi="宋体" w:cs="宋体"/>
                <w:kern w:val="0"/>
                <w:sz w:val="20"/>
                <w:szCs w:val="20"/>
              </w:rPr>
              <w:t>7</w:t>
            </w:r>
          </w:p>
        </w:tc>
        <w:tc>
          <w:tcPr>
            <w:tcW w:w="1833" w:type="dxa"/>
            <w:vMerge w:val="restart"/>
            <w:shd w:val="clear" w:color="auto" w:fill="auto"/>
            <w:noWrap w:val="0"/>
            <w:vAlign w:val="center"/>
          </w:tcPr>
          <w:p w14:paraId="05C312B4">
            <w:pPr>
              <w:widowControl/>
              <w:jc w:val="left"/>
              <w:rPr>
                <w:rFonts w:ascii="宋体" w:hAnsi="宋体" w:cs="宋体"/>
                <w:kern w:val="0"/>
                <w:sz w:val="20"/>
                <w:szCs w:val="20"/>
              </w:rPr>
            </w:pPr>
            <w:r>
              <w:rPr>
                <w:rFonts w:hint="eastAsia" w:ascii="宋体" w:hAnsi="宋体" w:cs="宋体"/>
                <w:kern w:val="0"/>
                <w:sz w:val="20"/>
                <w:szCs w:val="20"/>
              </w:rPr>
              <w:t>三、符合条件的环境保护、节能节水项目</w:t>
            </w:r>
          </w:p>
        </w:tc>
        <w:tc>
          <w:tcPr>
            <w:tcW w:w="731" w:type="dxa"/>
            <w:shd w:val="clear" w:color="auto" w:fill="auto"/>
            <w:noWrap w:val="0"/>
            <w:vAlign w:val="center"/>
          </w:tcPr>
          <w:p w14:paraId="02C62D65">
            <w:pPr>
              <w:widowControl/>
              <w:jc w:val="center"/>
              <w:rPr>
                <w:rFonts w:ascii="宋体" w:hAnsi="宋体" w:cs="宋体"/>
                <w:kern w:val="0"/>
                <w:sz w:val="20"/>
                <w:szCs w:val="20"/>
              </w:rPr>
            </w:pPr>
          </w:p>
        </w:tc>
        <w:tc>
          <w:tcPr>
            <w:tcW w:w="1060" w:type="dxa"/>
            <w:shd w:val="clear" w:color="auto" w:fill="auto"/>
            <w:noWrap w:val="0"/>
            <w:vAlign w:val="center"/>
          </w:tcPr>
          <w:p w14:paraId="426F7857">
            <w:pPr>
              <w:widowControl/>
              <w:jc w:val="center"/>
              <w:rPr>
                <w:rFonts w:ascii="宋体" w:hAnsi="宋体" w:cs="宋体"/>
                <w:kern w:val="0"/>
                <w:sz w:val="20"/>
                <w:szCs w:val="20"/>
              </w:rPr>
            </w:pPr>
          </w:p>
        </w:tc>
        <w:tc>
          <w:tcPr>
            <w:tcW w:w="809" w:type="dxa"/>
            <w:shd w:val="clear" w:color="auto" w:fill="auto"/>
            <w:noWrap w:val="0"/>
            <w:vAlign w:val="center"/>
          </w:tcPr>
          <w:p w14:paraId="7CB30FB4">
            <w:pPr>
              <w:widowControl/>
              <w:jc w:val="center"/>
              <w:rPr>
                <w:rFonts w:ascii="宋体" w:hAnsi="宋体" w:cs="宋体"/>
                <w:kern w:val="0"/>
                <w:sz w:val="20"/>
                <w:szCs w:val="20"/>
              </w:rPr>
            </w:pPr>
          </w:p>
        </w:tc>
        <w:tc>
          <w:tcPr>
            <w:tcW w:w="1060" w:type="dxa"/>
            <w:shd w:val="clear" w:color="auto" w:fill="auto"/>
            <w:noWrap w:val="0"/>
            <w:vAlign w:val="center"/>
          </w:tcPr>
          <w:p w14:paraId="0195E2D5">
            <w:pPr>
              <w:widowControl/>
              <w:jc w:val="center"/>
              <w:rPr>
                <w:rFonts w:ascii="宋体" w:hAnsi="宋体" w:cs="宋体"/>
                <w:kern w:val="0"/>
                <w:sz w:val="20"/>
                <w:szCs w:val="20"/>
              </w:rPr>
            </w:pPr>
          </w:p>
        </w:tc>
        <w:tc>
          <w:tcPr>
            <w:tcW w:w="1060" w:type="dxa"/>
            <w:shd w:val="clear" w:color="auto" w:fill="auto"/>
            <w:noWrap/>
            <w:vAlign w:val="center"/>
          </w:tcPr>
          <w:p w14:paraId="03F8277E">
            <w:pPr>
              <w:widowControl/>
              <w:jc w:val="center"/>
              <w:rPr>
                <w:rFonts w:ascii="宋体" w:hAnsi="宋体" w:cs="宋体"/>
                <w:kern w:val="0"/>
                <w:sz w:val="18"/>
                <w:szCs w:val="18"/>
              </w:rPr>
            </w:pPr>
          </w:p>
        </w:tc>
        <w:tc>
          <w:tcPr>
            <w:tcW w:w="938" w:type="dxa"/>
            <w:shd w:val="clear" w:color="auto" w:fill="auto"/>
            <w:noWrap/>
            <w:vAlign w:val="center"/>
          </w:tcPr>
          <w:p w14:paraId="676D565C">
            <w:pPr>
              <w:widowControl/>
              <w:jc w:val="center"/>
              <w:rPr>
                <w:rFonts w:ascii="宋体" w:hAnsi="宋体" w:cs="宋体"/>
                <w:kern w:val="0"/>
                <w:sz w:val="18"/>
                <w:szCs w:val="18"/>
              </w:rPr>
            </w:pPr>
          </w:p>
        </w:tc>
        <w:tc>
          <w:tcPr>
            <w:tcW w:w="1060" w:type="dxa"/>
            <w:shd w:val="clear" w:color="auto" w:fill="auto"/>
            <w:noWrap/>
            <w:vAlign w:val="center"/>
          </w:tcPr>
          <w:p w14:paraId="38990AC6">
            <w:pPr>
              <w:widowControl/>
              <w:jc w:val="center"/>
              <w:rPr>
                <w:rFonts w:ascii="宋体" w:hAnsi="宋体" w:cs="宋体"/>
                <w:kern w:val="0"/>
                <w:sz w:val="18"/>
                <w:szCs w:val="18"/>
              </w:rPr>
            </w:pPr>
          </w:p>
        </w:tc>
        <w:tc>
          <w:tcPr>
            <w:tcW w:w="1060" w:type="dxa"/>
            <w:shd w:val="clear" w:color="auto" w:fill="auto"/>
            <w:noWrap/>
            <w:vAlign w:val="center"/>
          </w:tcPr>
          <w:p w14:paraId="4A83BBAF">
            <w:pPr>
              <w:widowControl/>
              <w:jc w:val="center"/>
              <w:rPr>
                <w:rFonts w:ascii="宋体" w:hAnsi="宋体" w:cs="宋体"/>
                <w:kern w:val="0"/>
                <w:sz w:val="18"/>
                <w:szCs w:val="18"/>
              </w:rPr>
            </w:pPr>
          </w:p>
        </w:tc>
        <w:tc>
          <w:tcPr>
            <w:tcW w:w="1060" w:type="dxa"/>
            <w:shd w:val="clear" w:color="auto" w:fill="auto"/>
            <w:noWrap/>
            <w:vAlign w:val="center"/>
          </w:tcPr>
          <w:p w14:paraId="068DB23B">
            <w:pPr>
              <w:widowControl/>
              <w:jc w:val="center"/>
              <w:rPr>
                <w:rFonts w:ascii="宋体" w:hAnsi="宋体" w:cs="宋体"/>
                <w:kern w:val="0"/>
                <w:sz w:val="18"/>
                <w:szCs w:val="18"/>
              </w:rPr>
            </w:pPr>
          </w:p>
        </w:tc>
        <w:tc>
          <w:tcPr>
            <w:tcW w:w="1060" w:type="dxa"/>
            <w:shd w:val="clear" w:color="auto" w:fill="auto"/>
            <w:noWrap/>
            <w:vAlign w:val="center"/>
          </w:tcPr>
          <w:p w14:paraId="29AC3AA6">
            <w:pPr>
              <w:widowControl/>
              <w:jc w:val="center"/>
              <w:rPr>
                <w:rFonts w:ascii="宋体" w:hAnsi="宋体" w:cs="宋体"/>
                <w:kern w:val="0"/>
                <w:sz w:val="18"/>
                <w:szCs w:val="18"/>
              </w:rPr>
            </w:pPr>
          </w:p>
        </w:tc>
        <w:tc>
          <w:tcPr>
            <w:tcW w:w="1609" w:type="dxa"/>
            <w:shd w:val="clear" w:color="auto" w:fill="auto"/>
            <w:noWrap/>
            <w:vAlign w:val="center"/>
          </w:tcPr>
          <w:p w14:paraId="694D0BD3">
            <w:pPr>
              <w:widowControl/>
              <w:jc w:val="center"/>
              <w:rPr>
                <w:rFonts w:ascii="宋体" w:hAnsi="宋体" w:cs="宋体"/>
                <w:kern w:val="0"/>
                <w:sz w:val="20"/>
                <w:szCs w:val="20"/>
              </w:rPr>
            </w:pPr>
          </w:p>
        </w:tc>
      </w:tr>
      <w:tr w14:paraId="6EE33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1857D649">
            <w:pPr>
              <w:widowControl/>
              <w:jc w:val="center"/>
              <w:rPr>
                <w:rFonts w:ascii="宋体" w:hAnsi="宋体" w:cs="宋体"/>
                <w:kern w:val="0"/>
                <w:sz w:val="20"/>
                <w:szCs w:val="20"/>
              </w:rPr>
            </w:pPr>
            <w:r>
              <w:rPr>
                <w:rFonts w:hint="eastAsia" w:ascii="宋体" w:hAnsi="宋体" w:cs="宋体"/>
                <w:kern w:val="0"/>
                <w:sz w:val="20"/>
                <w:szCs w:val="20"/>
              </w:rPr>
              <w:t>8</w:t>
            </w:r>
          </w:p>
        </w:tc>
        <w:tc>
          <w:tcPr>
            <w:tcW w:w="1833" w:type="dxa"/>
            <w:vMerge w:val="continue"/>
            <w:shd w:val="clear" w:color="auto" w:fill="auto"/>
            <w:noWrap w:val="0"/>
            <w:vAlign w:val="center"/>
          </w:tcPr>
          <w:p w14:paraId="3F24B179">
            <w:pPr>
              <w:widowControl/>
              <w:jc w:val="left"/>
              <w:rPr>
                <w:rFonts w:ascii="宋体" w:hAnsi="宋体" w:cs="宋体"/>
                <w:kern w:val="0"/>
                <w:sz w:val="20"/>
                <w:szCs w:val="20"/>
              </w:rPr>
            </w:pPr>
          </w:p>
        </w:tc>
        <w:tc>
          <w:tcPr>
            <w:tcW w:w="731" w:type="dxa"/>
            <w:shd w:val="clear" w:color="auto" w:fill="auto"/>
            <w:noWrap w:val="0"/>
            <w:vAlign w:val="center"/>
          </w:tcPr>
          <w:p w14:paraId="5ED3FFE8">
            <w:pPr>
              <w:widowControl/>
              <w:jc w:val="center"/>
              <w:rPr>
                <w:rFonts w:ascii="宋体" w:hAnsi="宋体" w:cs="宋体"/>
                <w:kern w:val="0"/>
                <w:sz w:val="20"/>
                <w:szCs w:val="20"/>
              </w:rPr>
            </w:pPr>
          </w:p>
        </w:tc>
        <w:tc>
          <w:tcPr>
            <w:tcW w:w="1060" w:type="dxa"/>
            <w:shd w:val="clear" w:color="auto" w:fill="auto"/>
            <w:noWrap w:val="0"/>
            <w:vAlign w:val="center"/>
          </w:tcPr>
          <w:p w14:paraId="31D32BAC">
            <w:pPr>
              <w:widowControl/>
              <w:jc w:val="center"/>
              <w:rPr>
                <w:rFonts w:ascii="宋体" w:hAnsi="宋体" w:cs="宋体"/>
                <w:kern w:val="0"/>
                <w:sz w:val="20"/>
                <w:szCs w:val="20"/>
              </w:rPr>
            </w:pPr>
          </w:p>
        </w:tc>
        <w:tc>
          <w:tcPr>
            <w:tcW w:w="809" w:type="dxa"/>
            <w:shd w:val="clear" w:color="auto" w:fill="auto"/>
            <w:noWrap w:val="0"/>
            <w:vAlign w:val="center"/>
          </w:tcPr>
          <w:p w14:paraId="121077E5">
            <w:pPr>
              <w:widowControl/>
              <w:jc w:val="center"/>
              <w:rPr>
                <w:rFonts w:ascii="宋体" w:hAnsi="宋体" w:cs="宋体"/>
                <w:kern w:val="0"/>
                <w:sz w:val="20"/>
                <w:szCs w:val="20"/>
              </w:rPr>
            </w:pPr>
          </w:p>
        </w:tc>
        <w:tc>
          <w:tcPr>
            <w:tcW w:w="1060" w:type="dxa"/>
            <w:shd w:val="clear" w:color="auto" w:fill="auto"/>
            <w:noWrap w:val="0"/>
            <w:vAlign w:val="center"/>
          </w:tcPr>
          <w:p w14:paraId="3207146D">
            <w:pPr>
              <w:widowControl/>
              <w:jc w:val="center"/>
              <w:rPr>
                <w:rFonts w:ascii="宋体" w:hAnsi="宋体" w:cs="宋体"/>
                <w:kern w:val="0"/>
                <w:sz w:val="20"/>
                <w:szCs w:val="20"/>
              </w:rPr>
            </w:pPr>
          </w:p>
        </w:tc>
        <w:tc>
          <w:tcPr>
            <w:tcW w:w="1060" w:type="dxa"/>
            <w:shd w:val="clear" w:color="auto" w:fill="auto"/>
            <w:noWrap/>
            <w:vAlign w:val="center"/>
          </w:tcPr>
          <w:p w14:paraId="698F444E">
            <w:pPr>
              <w:widowControl/>
              <w:jc w:val="center"/>
              <w:rPr>
                <w:rFonts w:ascii="宋体" w:hAnsi="宋体" w:cs="宋体"/>
                <w:kern w:val="0"/>
                <w:sz w:val="20"/>
                <w:szCs w:val="20"/>
              </w:rPr>
            </w:pPr>
          </w:p>
        </w:tc>
        <w:tc>
          <w:tcPr>
            <w:tcW w:w="938" w:type="dxa"/>
            <w:shd w:val="clear" w:color="auto" w:fill="auto"/>
            <w:noWrap/>
            <w:vAlign w:val="center"/>
          </w:tcPr>
          <w:p w14:paraId="10A83FC5">
            <w:pPr>
              <w:widowControl/>
              <w:jc w:val="center"/>
              <w:rPr>
                <w:rFonts w:ascii="宋体" w:hAnsi="宋体" w:cs="宋体"/>
                <w:kern w:val="0"/>
                <w:sz w:val="18"/>
                <w:szCs w:val="18"/>
              </w:rPr>
            </w:pPr>
          </w:p>
        </w:tc>
        <w:tc>
          <w:tcPr>
            <w:tcW w:w="1060" w:type="dxa"/>
            <w:shd w:val="clear" w:color="auto" w:fill="auto"/>
            <w:noWrap/>
            <w:vAlign w:val="center"/>
          </w:tcPr>
          <w:p w14:paraId="68F8D1D5">
            <w:pPr>
              <w:widowControl/>
              <w:jc w:val="center"/>
              <w:rPr>
                <w:rFonts w:ascii="宋体" w:hAnsi="宋体" w:cs="宋体"/>
                <w:kern w:val="0"/>
                <w:sz w:val="18"/>
                <w:szCs w:val="18"/>
              </w:rPr>
            </w:pPr>
          </w:p>
        </w:tc>
        <w:tc>
          <w:tcPr>
            <w:tcW w:w="1060" w:type="dxa"/>
            <w:shd w:val="clear" w:color="auto" w:fill="auto"/>
            <w:noWrap/>
            <w:vAlign w:val="center"/>
          </w:tcPr>
          <w:p w14:paraId="7E1C068D">
            <w:pPr>
              <w:widowControl/>
              <w:jc w:val="center"/>
              <w:rPr>
                <w:rFonts w:ascii="宋体" w:hAnsi="宋体" w:cs="宋体"/>
                <w:kern w:val="0"/>
                <w:sz w:val="20"/>
                <w:szCs w:val="20"/>
              </w:rPr>
            </w:pPr>
          </w:p>
        </w:tc>
        <w:tc>
          <w:tcPr>
            <w:tcW w:w="1060" w:type="dxa"/>
            <w:shd w:val="clear" w:color="auto" w:fill="auto"/>
            <w:noWrap/>
            <w:vAlign w:val="center"/>
          </w:tcPr>
          <w:p w14:paraId="6B57CEF9">
            <w:pPr>
              <w:widowControl/>
              <w:jc w:val="center"/>
              <w:rPr>
                <w:rFonts w:ascii="宋体" w:hAnsi="宋体" w:cs="宋体"/>
                <w:kern w:val="0"/>
                <w:sz w:val="20"/>
                <w:szCs w:val="20"/>
              </w:rPr>
            </w:pPr>
          </w:p>
        </w:tc>
        <w:tc>
          <w:tcPr>
            <w:tcW w:w="1060" w:type="dxa"/>
            <w:shd w:val="clear" w:color="auto" w:fill="auto"/>
            <w:noWrap/>
            <w:vAlign w:val="center"/>
          </w:tcPr>
          <w:p w14:paraId="3C47ADC8">
            <w:pPr>
              <w:widowControl/>
              <w:jc w:val="center"/>
              <w:rPr>
                <w:rFonts w:ascii="宋体" w:hAnsi="宋体" w:cs="宋体"/>
                <w:kern w:val="0"/>
                <w:sz w:val="20"/>
                <w:szCs w:val="20"/>
              </w:rPr>
            </w:pPr>
          </w:p>
        </w:tc>
        <w:tc>
          <w:tcPr>
            <w:tcW w:w="1609" w:type="dxa"/>
            <w:shd w:val="clear" w:color="auto" w:fill="auto"/>
            <w:noWrap/>
            <w:vAlign w:val="center"/>
          </w:tcPr>
          <w:p w14:paraId="762AEA36">
            <w:pPr>
              <w:widowControl/>
              <w:jc w:val="center"/>
              <w:rPr>
                <w:rFonts w:ascii="宋体" w:hAnsi="宋体" w:cs="宋体"/>
                <w:kern w:val="0"/>
                <w:sz w:val="20"/>
                <w:szCs w:val="20"/>
              </w:rPr>
            </w:pPr>
          </w:p>
        </w:tc>
      </w:tr>
      <w:tr w14:paraId="5F3E0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2FE84808">
            <w:pPr>
              <w:widowControl/>
              <w:jc w:val="center"/>
              <w:rPr>
                <w:rFonts w:ascii="宋体" w:hAnsi="宋体" w:cs="宋体"/>
                <w:kern w:val="0"/>
                <w:sz w:val="20"/>
                <w:szCs w:val="20"/>
              </w:rPr>
            </w:pPr>
            <w:r>
              <w:rPr>
                <w:rFonts w:hint="eastAsia" w:ascii="宋体" w:hAnsi="宋体" w:cs="宋体"/>
                <w:kern w:val="0"/>
                <w:sz w:val="20"/>
                <w:szCs w:val="20"/>
              </w:rPr>
              <w:t>9</w:t>
            </w:r>
          </w:p>
        </w:tc>
        <w:tc>
          <w:tcPr>
            <w:tcW w:w="1833" w:type="dxa"/>
            <w:vMerge w:val="continue"/>
            <w:shd w:val="clear" w:color="auto" w:fill="auto"/>
            <w:noWrap w:val="0"/>
            <w:vAlign w:val="center"/>
          </w:tcPr>
          <w:p w14:paraId="22E5AF2B">
            <w:pPr>
              <w:widowControl/>
              <w:jc w:val="left"/>
              <w:rPr>
                <w:rFonts w:ascii="宋体" w:hAnsi="宋体" w:cs="宋体"/>
                <w:kern w:val="0"/>
                <w:sz w:val="20"/>
                <w:szCs w:val="20"/>
              </w:rPr>
            </w:pPr>
          </w:p>
        </w:tc>
        <w:tc>
          <w:tcPr>
            <w:tcW w:w="731" w:type="dxa"/>
            <w:shd w:val="clear" w:color="auto" w:fill="auto"/>
            <w:noWrap w:val="0"/>
            <w:vAlign w:val="center"/>
          </w:tcPr>
          <w:p w14:paraId="06799809">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noWrap/>
            <w:vAlign w:val="center"/>
          </w:tcPr>
          <w:p w14:paraId="7D1252B3">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noWrap/>
            <w:vAlign w:val="center"/>
          </w:tcPr>
          <w:p w14:paraId="315B2A46">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12A5720B">
            <w:pPr>
              <w:widowControl/>
              <w:jc w:val="center"/>
              <w:rPr>
                <w:rFonts w:ascii="宋体" w:hAnsi="宋体" w:cs="宋体"/>
                <w:kern w:val="0"/>
                <w:sz w:val="18"/>
                <w:szCs w:val="18"/>
              </w:rPr>
            </w:pPr>
          </w:p>
        </w:tc>
        <w:tc>
          <w:tcPr>
            <w:tcW w:w="1060" w:type="dxa"/>
            <w:shd w:val="clear" w:color="auto" w:fill="auto"/>
            <w:noWrap/>
            <w:vAlign w:val="center"/>
          </w:tcPr>
          <w:p w14:paraId="2035D4E3">
            <w:pPr>
              <w:widowControl/>
              <w:jc w:val="center"/>
              <w:rPr>
                <w:rFonts w:ascii="宋体" w:hAnsi="宋体" w:cs="宋体"/>
                <w:kern w:val="0"/>
                <w:sz w:val="18"/>
                <w:szCs w:val="18"/>
              </w:rPr>
            </w:pPr>
          </w:p>
        </w:tc>
        <w:tc>
          <w:tcPr>
            <w:tcW w:w="938" w:type="dxa"/>
            <w:shd w:val="clear" w:color="auto" w:fill="auto"/>
            <w:noWrap/>
            <w:vAlign w:val="center"/>
          </w:tcPr>
          <w:p w14:paraId="5825EB3A">
            <w:pPr>
              <w:widowControl/>
              <w:jc w:val="center"/>
              <w:rPr>
                <w:rFonts w:ascii="宋体" w:hAnsi="宋体" w:cs="宋体"/>
                <w:kern w:val="0"/>
                <w:sz w:val="18"/>
                <w:szCs w:val="18"/>
              </w:rPr>
            </w:pPr>
          </w:p>
        </w:tc>
        <w:tc>
          <w:tcPr>
            <w:tcW w:w="1060" w:type="dxa"/>
            <w:shd w:val="clear" w:color="auto" w:fill="auto"/>
            <w:noWrap/>
            <w:vAlign w:val="center"/>
          </w:tcPr>
          <w:p w14:paraId="4DF9AB71">
            <w:pPr>
              <w:widowControl/>
              <w:jc w:val="center"/>
              <w:rPr>
                <w:rFonts w:ascii="宋体" w:hAnsi="宋体" w:cs="宋体"/>
                <w:kern w:val="0"/>
                <w:sz w:val="18"/>
                <w:szCs w:val="18"/>
              </w:rPr>
            </w:pPr>
          </w:p>
        </w:tc>
        <w:tc>
          <w:tcPr>
            <w:tcW w:w="1060" w:type="dxa"/>
            <w:shd w:val="clear" w:color="auto" w:fill="auto"/>
            <w:noWrap/>
            <w:vAlign w:val="center"/>
          </w:tcPr>
          <w:p w14:paraId="7ED5EB09">
            <w:pPr>
              <w:widowControl/>
              <w:jc w:val="center"/>
              <w:rPr>
                <w:rFonts w:ascii="宋体" w:hAnsi="宋体" w:cs="宋体"/>
                <w:kern w:val="0"/>
                <w:sz w:val="18"/>
                <w:szCs w:val="18"/>
              </w:rPr>
            </w:pPr>
          </w:p>
        </w:tc>
        <w:tc>
          <w:tcPr>
            <w:tcW w:w="1060" w:type="dxa"/>
            <w:shd w:val="clear" w:color="auto" w:fill="auto"/>
            <w:noWrap/>
            <w:vAlign w:val="center"/>
          </w:tcPr>
          <w:p w14:paraId="360C774E">
            <w:pPr>
              <w:widowControl/>
              <w:jc w:val="center"/>
              <w:rPr>
                <w:rFonts w:ascii="宋体" w:hAnsi="宋体" w:cs="宋体"/>
                <w:kern w:val="0"/>
                <w:sz w:val="20"/>
                <w:szCs w:val="20"/>
              </w:rPr>
            </w:pPr>
          </w:p>
        </w:tc>
        <w:tc>
          <w:tcPr>
            <w:tcW w:w="1060" w:type="dxa"/>
            <w:shd w:val="clear" w:color="auto" w:fill="auto"/>
            <w:noWrap/>
            <w:vAlign w:val="center"/>
          </w:tcPr>
          <w:p w14:paraId="69C030C9">
            <w:pPr>
              <w:widowControl/>
              <w:jc w:val="center"/>
              <w:rPr>
                <w:rFonts w:ascii="宋体" w:hAnsi="宋体" w:cs="宋体"/>
                <w:kern w:val="0"/>
                <w:sz w:val="20"/>
                <w:szCs w:val="20"/>
              </w:rPr>
            </w:pPr>
          </w:p>
        </w:tc>
        <w:tc>
          <w:tcPr>
            <w:tcW w:w="1609" w:type="dxa"/>
            <w:shd w:val="clear" w:color="auto" w:fill="auto"/>
            <w:noWrap/>
            <w:vAlign w:val="center"/>
          </w:tcPr>
          <w:p w14:paraId="4FEB4EDA">
            <w:pPr>
              <w:widowControl/>
              <w:jc w:val="center"/>
              <w:rPr>
                <w:rFonts w:ascii="宋体" w:hAnsi="宋体" w:cs="宋体"/>
                <w:kern w:val="0"/>
                <w:sz w:val="20"/>
                <w:szCs w:val="20"/>
              </w:rPr>
            </w:pPr>
          </w:p>
        </w:tc>
      </w:tr>
      <w:tr w14:paraId="0DD05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32E30771">
            <w:pPr>
              <w:widowControl/>
              <w:jc w:val="center"/>
              <w:rPr>
                <w:rFonts w:ascii="宋体" w:hAnsi="宋体" w:cs="宋体"/>
                <w:kern w:val="0"/>
                <w:sz w:val="20"/>
                <w:szCs w:val="20"/>
              </w:rPr>
            </w:pPr>
            <w:r>
              <w:rPr>
                <w:rFonts w:hint="eastAsia" w:ascii="宋体" w:hAnsi="宋体" w:cs="宋体"/>
                <w:kern w:val="0"/>
                <w:sz w:val="20"/>
                <w:szCs w:val="20"/>
              </w:rPr>
              <w:t>10</w:t>
            </w:r>
          </w:p>
        </w:tc>
        <w:tc>
          <w:tcPr>
            <w:tcW w:w="1833" w:type="dxa"/>
            <w:vMerge w:val="restart"/>
            <w:shd w:val="clear" w:color="auto" w:fill="auto"/>
            <w:noWrap w:val="0"/>
            <w:vAlign w:val="center"/>
          </w:tcPr>
          <w:p w14:paraId="69941D77">
            <w:pPr>
              <w:widowControl/>
              <w:jc w:val="left"/>
              <w:rPr>
                <w:rFonts w:ascii="宋体" w:hAnsi="宋体" w:cs="宋体"/>
                <w:kern w:val="0"/>
                <w:sz w:val="20"/>
                <w:szCs w:val="20"/>
              </w:rPr>
            </w:pPr>
            <w:r>
              <w:rPr>
                <w:rFonts w:hint="eastAsia" w:ascii="宋体" w:hAnsi="宋体" w:cs="宋体"/>
                <w:kern w:val="0"/>
                <w:sz w:val="20"/>
                <w:szCs w:val="20"/>
              </w:rPr>
              <w:t>四、符合条件的技术转让项目</w:t>
            </w:r>
          </w:p>
        </w:tc>
        <w:tc>
          <w:tcPr>
            <w:tcW w:w="731" w:type="dxa"/>
            <w:shd w:val="clear" w:color="auto" w:fill="auto"/>
            <w:noWrap w:val="0"/>
            <w:vAlign w:val="center"/>
          </w:tcPr>
          <w:p w14:paraId="2F94EC41">
            <w:pPr>
              <w:widowControl/>
              <w:jc w:val="center"/>
              <w:rPr>
                <w:rFonts w:ascii="宋体" w:hAnsi="宋体" w:cs="宋体"/>
                <w:kern w:val="0"/>
                <w:sz w:val="20"/>
                <w:szCs w:val="20"/>
              </w:rPr>
            </w:pPr>
          </w:p>
        </w:tc>
        <w:tc>
          <w:tcPr>
            <w:tcW w:w="1060" w:type="dxa"/>
            <w:shd w:val="clear" w:color="auto" w:fill="auto"/>
            <w:noWrap w:val="0"/>
            <w:vAlign w:val="center"/>
          </w:tcPr>
          <w:p w14:paraId="01A4A027">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noWrap/>
            <w:vAlign w:val="center"/>
          </w:tcPr>
          <w:p w14:paraId="39A484C8">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0"/>
            <w:vAlign w:val="center"/>
          </w:tcPr>
          <w:p w14:paraId="08001879">
            <w:pPr>
              <w:widowControl/>
              <w:jc w:val="center"/>
              <w:rPr>
                <w:rFonts w:ascii="宋体" w:hAnsi="宋体" w:cs="宋体"/>
                <w:kern w:val="0"/>
                <w:sz w:val="20"/>
                <w:szCs w:val="20"/>
              </w:rPr>
            </w:pPr>
          </w:p>
        </w:tc>
        <w:tc>
          <w:tcPr>
            <w:tcW w:w="1060" w:type="dxa"/>
            <w:shd w:val="clear" w:color="auto" w:fill="auto"/>
            <w:noWrap/>
            <w:vAlign w:val="center"/>
          </w:tcPr>
          <w:p w14:paraId="4E121AD5">
            <w:pPr>
              <w:widowControl/>
              <w:jc w:val="center"/>
              <w:rPr>
                <w:rFonts w:ascii="宋体" w:hAnsi="宋体" w:cs="宋体"/>
                <w:kern w:val="0"/>
                <w:sz w:val="20"/>
                <w:szCs w:val="20"/>
              </w:rPr>
            </w:pPr>
          </w:p>
        </w:tc>
        <w:tc>
          <w:tcPr>
            <w:tcW w:w="938" w:type="dxa"/>
            <w:shd w:val="clear" w:color="auto" w:fill="auto"/>
            <w:noWrap/>
            <w:vAlign w:val="center"/>
          </w:tcPr>
          <w:p w14:paraId="724B4F1D">
            <w:pPr>
              <w:widowControl/>
              <w:jc w:val="center"/>
              <w:rPr>
                <w:rFonts w:ascii="宋体" w:hAnsi="宋体" w:cs="宋体"/>
                <w:kern w:val="0"/>
                <w:sz w:val="18"/>
                <w:szCs w:val="18"/>
              </w:rPr>
            </w:pPr>
          </w:p>
        </w:tc>
        <w:tc>
          <w:tcPr>
            <w:tcW w:w="1060" w:type="dxa"/>
            <w:shd w:val="clear" w:color="auto" w:fill="auto"/>
            <w:noWrap/>
            <w:vAlign w:val="center"/>
          </w:tcPr>
          <w:p w14:paraId="6852BB82">
            <w:pPr>
              <w:widowControl/>
              <w:jc w:val="center"/>
              <w:rPr>
                <w:rFonts w:ascii="宋体" w:hAnsi="宋体" w:cs="宋体"/>
                <w:kern w:val="0"/>
                <w:sz w:val="18"/>
                <w:szCs w:val="18"/>
              </w:rPr>
            </w:pPr>
          </w:p>
        </w:tc>
        <w:tc>
          <w:tcPr>
            <w:tcW w:w="1060" w:type="dxa"/>
            <w:shd w:val="clear" w:color="auto" w:fill="auto"/>
            <w:noWrap/>
            <w:vAlign w:val="center"/>
          </w:tcPr>
          <w:p w14:paraId="6F381A5A">
            <w:pPr>
              <w:widowControl/>
              <w:jc w:val="center"/>
              <w:rPr>
                <w:rFonts w:ascii="宋体" w:hAnsi="宋体" w:cs="宋体"/>
                <w:kern w:val="0"/>
                <w:sz w:val="18"/>
                <w:szCs w:val="18"/>
              </w:rPr>
            </w:pPr>
          </w:p>
        </w:tc>
        <w:tc>
          <w:tcPr>
            <w:tcW w:w="1060" w:type="dxa"/>
            <w:shd w:val="clear" w:color="auto" w:fill="auto"/>
            <w:noWrap/>
            <w:vAlign w:val="center"/>
          </w:tcPr>
          <w:p w14:paraId="37BA26E2">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4629808B">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14:paraId="25D64FC7">
            <w:pPr>
              <w:widowControl/>
              <w:jc w:val="center"/>
              <w:rPr>
                <w:rFonts w:ascii="宋体" w:hAnsi="宋体" w:cs="宋体"/>
                <w:kern w:val="0"/>
                <w:sz w:val="20"/>
                <w:szCs w:val="20"/>
              </w:rPr>
            </w:pPr>
            <w:r>
              <w:rPr>
                <w:rFonts w:hint="eastAsia" w:ascii="宋体" w:hAnsi="宋体" w:cs="宋体"/>
                <w:kern w:val="0"/>
                <w:sz w:val="20"/>
                <w:szCs w:val="20"/>
              </w:rPr>
              <w:t>*</w:t>
            </w:r>
          </w:p>
        </w:tc>
      </w:tr>
      <w:tr w14:paraId="1DA41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526BA9D7">
            <w:pPr>
              <w:widowControl/>
              <w:jc w:val="center"/>
              <w:rPr>
                <w:rFonts w:ascii="宋体" w:hAnsi="宋体" w:cs="宋体"/>
                <w:kern w:val="0"/>
                <w:sz w:val="20"/>
                <w:szCs w:val="20"/>
              </w:rPr>
            </w:pPr>
            <w:r>
              <w:rPr>
                <w:rFonts w:hint="eastAsia" w:ascii="宋体" w:hAnsi="宋体" w:cs="宋体"/>
                <w:kern w:val="0"/>
                <w:sz w:val="20"/>
                <w:szCs w:val="20"/>
              </w:rPr>
              <w:t>11</w:t>
            </w:r>
          </w:p>
        </w:tc>
        <w:tc>
          <w:tcPr>
            <w:tcW w:w="1833" w:type="dxa"/>
            <w:vMerge w:val="continue"/>
            <w:shd w:val="clear" w:color="auto" w:fill="auto"/>
            <w:noWrap w:val="0"/>
            <w:vAlign w:val="center"/>
          </w:tcPr>
          <w:p w14:paraId="3F637B64">
            <w:pPr>
              <w:widowControl/>
              <w:jc w:val="left"/>
              <w:rPr>
                <w:rFonts w:ascii="宋体" w:hAnsi="宋体" w:cs="宋体"/>
                <w:kern w:val="0"/>
                <w:sz w:val="20"/>
                <w:szCs w:val="20"/>
              </w:rPr>
            </w:pPr>
          </w:p>
        </w:tc>
        <w:tc>
          <w:tcPr>
            <w:tcW w:w="731" w:type="dxa"/>
            <w:shd w:val="clear" w:color="auto" w:fill="auto"/>
            <w:noWrap w:val="0"/>
            <w:vAlign w:val="center"/>
          </w:tcPr>
          <w:p w14:paraId="371AB180">
            <w:pPr>
              <w:widowControl/>
              <w:jc w:val="center"/>
              <w:rPr>
                <w:rFonts w:ascii="宋体" w:hAnsi="宋体" w:cs="宋体"/>
                <w:kern w:val="0"/>
                <w:sz w:val="20"/>
                <w:szCs w:val="20"/>
              </w:rPr>
            </w:pPr>
          </w:p>
        </w:tc>
        <w:tc>
          <w:tcPr>
            <w:tcW w:w="1060" w:type="dxa"/>
            <w:shd w:val="clear" w:color="auto" w:fill="auto"/>
            <w:noWrap w:val="0"/>
            <w:vAlign w:val="center"/>
          </w:tcPr>
          <w:p w14:paraId="4891DAC7">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noWrap/>
            <w:vAlign w:val="center"/>
          </w:tcPr>
          <w:p w14:paraId="0E8FCB5A">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7EB0C72A">
            <w:pPr>
              <w:widowControl/>
              <w:jc w:val="center"/>
              <w:rPr>
                <w:rFonts w:ascii="宋体" w:hAnsi="宋体" w:cs="宋体"/>
                <w:kern w:val="0"/>
                <w:sz w:val="18"/>
                <w:szCs w:val="18"/>
              </w:rPr>
            </w:pPr>
          </w:p>
        </w:tc>
        <w:tc>
          <w:tcPr>
            <w:tcW w:w="1060" w:type="dxa"/>
            <w:shd w:val="clear" w:color="auto" w:fill="auto"/>
            <w:noWrap/>
            <w:vAlign w:val="center"/>
          </w:tcPr>
          <w:p w14:paraId="04D4A933">
            <w:pPr>
              <w:widowControl/>
              <w:jc w:val="center"/>
              <w:rPr>
                <w:rFonts w:ascii="宋体" w:hAnsi="宋体" w:cs="宋体"/>
                <w:kern w:val="0"/>
                <w:sz w:val="20"/>
                <w:szCs w:val="20"/>
              </w:rPr>
            </w:pPr>
          </w:p>
        </w:tc>
        <w:tc>
          <w:tcPr>
            <w:tcW w:w="938" w:type="dxa"/>
            <w:shd w:val="clear" w:color="auto" w:fill="auto"/>
            <w:noWrap/>
            <w:vAlign w:val="center"/>
          </w:tcPr>
          <w:p w14:paraId="72AA3A0D">
            <w:pPr>
              <w:widowControl/>
              <w:jc w:val="center"/>
              <w:rPr>
                <w:rFonts w:ascii="宋体" w:hAnsi="宋体" w:cs="宋体"/>
                <w:kern w:val="0"/>
                <w:sz w:val="18"/>
                <w:szCs w:val="18"/>
              </w:rPr>
            </w:pPr>
          </w:p>
        </w:tc>
        <w:tc>
          <w:tcPr>
            <w:tcW w:w="1060" w:type="dxa"/>
            <w:shd w:val="clear" w:color="auto" w:fill="auto"/>
            <w:noWrap/>
            <w:vAlign w:val="center"/>
          </w:tcPr>
          <w:p w14:paraId="7493D19F">
            <w:pPr>
              <w:widowControl/>
              <w:jc w:val="center"/>
              <w:rPr>
                <w:rFonts w:ascii="宋体" w:hAnsi="宋体" w:cs="宋体"/>
                <w:kern w:val="0"/>
                <w:sz w:val="18"/>
                <w:szCs w:val="18"/>
              </w:rPr>
            </w:pPr>
          </w:p>
        </w:tc>
        <w:tc>
          <w:tcPr>
            <w:tcW w:w="1060" w:type="dxa"/>
            <w:shd w:val="clear" w:color="auto" w:fill="auto"/>
            <w:noWrap/>
            <w:vAlign w:val="center"/>
          </w:tcPr>
          <w:p w14:paraId="22931EDB">
            <w:pPr>
              <w:widowControl/>
              <w:jc w:val="center"/>
              <w:rPr>
                <w:rFonts w:ascii="宋体" w:hAnsi="宋体" w:cs="宋体"/>
                <w:kern w:val="0"/>
                <w:sz w:val="18"/>
                <w:szCs w:val="18"/>
              </w:rPr>
            </w:pPr>
          </w:p>
        </w:tc>
        <w:tc>
          <w:tcPr>
            <w:tcW w:w="1060" w:type="dxa"/>
            <w:shd w:val="clear" w:color="auto" w:fill="auto"/>
            <w:noWrap/>
            <w:vAlign w:val="center"/>
          </w:tcPr>
          <w:p w14:paraId="1F0EEBC3">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79A2A626">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14:paraId="17B06A65">
            <w:pPr>
              <w:widowControl/>
              <w:jc w:val="center"/>
              <w:rPr>
                <w:rFonts w:ascii="宋体" w:hAnsi="宋体" w:cs="宋体"/>
                <w:kern w:val="0"/>
                <w:sz w:val="20"/>
                <w:szCs w:val="20"/>
              </w:rPr>
            </w:pPr>
            <w:r>
              <w:rPr>
                <w:rFonts w:hint="eastAsia" w:ascii="宋体" w:hAnsi="宋体" w:cs="宋体"/>
                <w:kern w:val="0"/>
                <w:sz w:val="20"/>
                <w:szCs w:val="20"/>
              </w:rPr>
              <w:t>*</w:t>
            </w:r>
          </w:p>
        </w:tc>
      </w:tr>
      <w:tr w14:paraId="0BD79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4E2AF8C7">
            <w:pPr>
              <w:widowControl/>
              <w:jc w:val="center"/>
              <w:rPr>
                <w:rFonts w:ascii="宋体" w:hAnsi="宋体" w:cs="宋体"/>
                <w:kern w:val="0"/>
                <w:sz w:val="20"/>
                <w:szCs w:val="20"/>
              </w:rPr>
            </w:pPr>
            <w:r>
              <w:rPr>
                <w:rFonts w:hint="eastAsia" w:ascii="宋体" w:hAnsi="宋体" w:cs="宋体"/>
                <w:kern w:val="0"/>
                <w:sz w:val="20"/>
                <w:szCs w:val="20"/>
              </w:rPr>
              <w:t>12</w:t>
            </w:r>
          </w:p>
        </w:tc>
        <w:tc>
          <w:tcPr>
            <w:tcW w:w="1833" w:type="dxa"/>
            <w:vMerge w:val="continue"/>
            <w:shd w:val="clear" w:color="auto" w:fill="auto"/>
            <w:noWrap w:val="0"/>
            <w:vAlign w:val="center"/>
          </w:tcPr>
          <w:p w14:paraId="201E1917">
            <w:pPr>
              <w:widowControl/>
              <w:jc w:val="left"/>
              <w:rPr>
                <w:rFonts w:ascii="宋体" w:hAnsi="宋体" w:cs="宋体"/>
                <w:kern w:val="0"/>
                <w:sz w:val="20"/>
                <w:szCs w:val="20"/>
              </w:rPr>
            </w:pPr>
          </w:p>
        </w:tc>
        <w:tc>
          <w:tcPr>
            <w:tcW w:w="731" w:type="dxa"/>
            <w:shd w:val="clear" w:color="auto" w:fill="auto"/>
            <w:noWrap w:val="0"/>
            <w:vAlign w:val="center"/>
          </w:tcPr>
          <w:p w14:paraId="2038A9DE">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noWrap/>
            <w:vAlign w:val="center"/>
          </w:tcPr>
          <w:p w14:paraId="65C437B9">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noWrap/>
            <w:vAlign w:val="center"/>
          </w:tcPr>
          <w:p w14:paraId="7BA5D771">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10C0D82C">
            <w:pPr>
              <w:widowControl/>
              <w:jc w:val="center"/>
              <w:rPr>
                <w:rFonts w:ascii="宋体" w:hAnsi="宋体" w:cs="宋体"/>
                <w:kern w:val="0"/>
                <w:sz w:val="18"/>
                <w:szCs w:val="18"/>
              </w:rPr>
            </w:pPr>
          </w:p>
        </w:tc>
        <w:tc>
          <w:tcPr>
            <w:tcW w:w="1060" w:type="dxa"/>
            <w:shd w:val="clear" w:color="auto" w:fill="auto"/>
            <w:noWrap/>
            <w:vAlign w:val="center"/>
          </w:tcPr>
          <w:p w14:paraId="7B28FC6C">
            <w:pPr>
              <w:widowControl/>
              <w:jc w:val="center"/>
              <w:rPr>
                <w:rFonts w:ascii="宋体" w:hAnsi="宋体" w:cs="宋体"/>
                <w:kern w:val="0"/>
                <w:sz w:val="18"/>
                <w:szCs w:val="18"/>
              </w:rPr>
            </w:pPr>
          </w:p>
        </w:tc>
        <w:tc>
          <w:tcPr>
            <w:tcW w:w="938" w:type="dxa"/>
            <w:shd w:val="clear" w:color="auto" w:fill="auto"/>
            <w:noWrap/>
            <w:vAlign w:val="center"/>
          </w:tcPr>
          <w:p w14:paraId="11CD06F5">
            <w:pPr>
              <w:widowControl/>
              <w:jc w:val="center"/>
              <w:rPr>
                <w:rFonts w:ascii="宋体" w:hAnsi="宋体" w:cs="宋体"/>
                <w:kern w:val="0"/>
                <w:sz w:val="18"/>
                <w:szCs w:val="18"/>
              </w:rPr>
            </w:pPr>
          </w:p>
        </w:tc>
        <w:tc>
          <w:tcPr>
            <w:tcW w:w="1060" w:type="dxa"/>
            <w:shd w:val="clear" w:color="auto" w:fill="auto"/>
            <w:noWrap/>
            <w:vAlign w:val="center"/>
          </w:tcPr>
          <w:p w14:paraId="58CF036B">
            <w:pPr>
              <w:widowControl/>
              <w:jc w:val="center"/>
              <w:rPr>
                <w:rFonts w:ascii="宋体" w:hAnsi="宋体" w:cs="宋体"/>
                <w:kern w:val="0"/>
                <w:sz w:val="18"/>
                <w:szCs w:val="18"/>
              </w:rPr>
            </w:pPr>
          </w:p>
        </w:tc>
        <w:tc>
          <w:tcPr>
            <w:tcW w:w="1060" w:type="dxa"/>
            <w:shd w:val="clear" w:color="auto" w:fill="auto"/>
            <w:noWrap/>
            <w:vAlign w:val="center"/>
          </w:tcPr>
          <w:p w14:paraId="4FEA076F">
            <w:pPr>
              <w:widowControl/>
              <w:jc w:val="center"/>
              <w:rPr>
                <w:rFonts w:ascii="宋体" w:hAnsi="宋体" w:cs="宋体"/>
                <w:kern w:val="0"/>
                <w:sz w:val="18"/>
                <w:szCs w:val="18"/>
              </w:rPr>
            </w:pPr>
          </w:p>
        </w:tc>
        <w:tc>
          <w:tcPr>
            <w:tcW w:w="1060" w:type="dxa"/>
            <w:shd w:val="clear" w:color="auto" w:fill="auto"/>
            <w:noWrap/>
            <w:vAlign w:val="center"/>
          </w:tcPr>
          <w:p w14:paraId="151B06E5">
            <w:pPr>
              <w:widowControl/>
              <w:jc w:val="center"/>
              <w:rPr>
                <w:rFonts w:ascii="宋体" w:hAnsi="宋体" w:cs="宋体"/>
                <w:kern w:val="0"/>
                <w:sz w:val="18"/>
                <w:szCs w:val="18"/>
              </w:rPr>
            </w:pPr>
          </w:p>
        </w:tc>
        <w:tc>
          <w:tcPr>
            <w:tcW w:w="1060" w:type="dxa"/>
            <w:shd w:val="clear" w:color="auto" w:fill="auto"/>
            <w:noWrap/>
            <w:vAlign w:val="center"/>
          </w:tcPr>
          <w:p w14:paraId="4A36A68A">
            <w:pPr>
              <w:widowControl/>
              <w:jc w:val="center"/>
              <w:rPr>
                <w:rFonts w:ascii="宋体" w:hAnsi="宋体" w:cs="宋体"/>
                <w:kern w:val="0"/>
                <w:sz w:val="18"/>
                <w:szCs w:val="18"/>
              </w:rPr>
            </w:pPr>
          </w:p>
        </w:tc>
        <w:tc>
          <w:tcPr>
            <w:tcW w:w="1609" w:type="dxa"/>
            <w:shd w:val="clear" w:color="auto" w:fill="auto"/>
            <w:noWrap/>
            <w:vAlign w:val="center"/>
          </w:tcPr>
          <w:p w14:paraId="49AC5E6C">
            <w:pPr>
              <w:widowControl/>
              <w:jc w:val="center"/>
              <w:rPr>
                <w:rFonts w:ascii="宋体" w:hAnsi="宋体" w:cs="宋体"/>
                <w:kern w:val="0"/>
                <w:sz w:val="20"/>
                <w:szCs w:val="20"/>
              </w:rPr>
            </w:pPr>
          </w:p>
        </w:tc>
      </w:tr>
      <w:tr w14:paraId="43E2F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48BE1B9B">
            <w:pPr>
              <w:widowControl/>
              <w:jc w:val="center"/>
              <w:rPr>
                <w:rFonts w:ascii="宋体" w:hAnsi="宋体" w:cs="宋体"/>
                <w:kern w:val="0"/>
                <w:sz w:val="20"/>
                <w:szCs w:val="20"/>
              </w:rPr>
            </w:pPr>
            <w:r>
              <w:rPr>
                <w:rFonts w:hint="eastAsia" w:ascii="宋体" w:hAnsi="宋体" w:cs="宋体"/>
                <w:kern w:val="0"/>
                <w:sz w:val="20"/>
                <w:szCs w:val="20"/>
              </w:rPr>
              <w:t>13</w:t>
            </w:r>
          </w:p>
        </w:tc>
        <w:tc>
          <w:tcPr>
            <w:tcW w:w="1833" w:type="dxa"/>
            <w:vMerge w:val="restart"/>
            <w:shd w:val="clear" w:color="auto" w:fill="auto"/>
            <w:noWrap w:val="0"/>
            <w:vAlign w:val="center"/>
          </w:tcPr>
          <w:p w14:paraId="7C46EF85">
            <w:pPr>
              <w:widowControl/>
              <w:jc w:val="left"/>
              <w:rPr>
                <w:rFonts w:ascii="宋体" w:hAnsi="宋体" w:cs="宋体"/>
                <w:kern w:val="0"/>
                <w:sz w:val="20"/>
                <w:szCs w:val="20"/>
              </w:rPr>
            </w:pPr>
            <w:r>
              <w:rPr>
                <w:rFonts w:hint="eastAsia" w:ascii="宋体" w:hAnsi="宋体" w:cs="宋体"/>
                <w:kern w:val="0"/>
                <w:sz w:val="20"/>
                <w:szCs w:val="20"/>
              </w:rPr>
              <w:t>五、实施清洁机制发展项目</w:t>
            </w:r>
          </w:p>
        </w:tc>
        <w:tc>
          <w:tcPr>
            <w:tcW w:w="731" w:type="dxa"/>
            <w:shd w:val="clear" w:color="auto" w:fill="auto"/>
            <w:noWrap w:val="0"/>
            <w:vAlign w:val="center"/>
          </w:tcPr>
          <w:p w14:paraId="382FDDAB">
            <w:pPr>
              <w:widowControl/>
              <w:jc w:val="center"/>
              <w:rPr>
                <w:rFonts w:ascii="宋体" w:hAnsi="宋体" w:cs="宋体"/>
                <w:kern w:val="0"/>
                <w:sz w:val="20"/>
                <w:szCs w:val="20"/>
              </w:rPr>
            </w:pPr>
          </w:p>
        </w:tc>
        <w:tc>
          <w:tcPr>
            <w:tcW w:w="1060" w:type="dxa"/>
            <w:shd w:val="clear" w:color="auto" w:fill="auto"/>
            <w:noWrap w:val="0"/>
            <w:vAlign w:val="center"/>
          </w:tcPr>
          <w:p w14:paraId="7976F122">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noWrap w:val="0"/>
            <w:vAlign w:val="center"/>
          </w:tcPr>
          <w:p w14:paraId="384AC8DD">
            <w:pPr>
              <w:widowControl/>
              <w:jc w:val="center"/>
              <w:rPr>
                <w:rFonts w:ascii="宋体" w:hAnsi="宋体" w:cs="宋体"/>
                <w:kern w:val="0"/>
                <w:sz w:val="20"/>
                <w:szCs w:val="20"/>
              </w:rPr>
            </w:pPr>
          </w:p>
        </w:tc>
        <w:tc>
          <w:tcPr>
            <w:tcW w:w="1060" w:type="dxa"/>
            <w:shd w:val="clear" w:color="auto" w:fill="auto"/>
            <w:noWrap/>
            <w:vAlign w:val="center"/>
          </w:tcPr>
          <w:p w14:paraId="3F161635">
            <w:pPr>
              <w:widowControl/>
              <w:jc w:val="center"/>
              <w:rPr>
                <w:rFonts w:ascii="宋体" w:hAnsi="宋体" w:cs="宋体"/>
                <w:kern w:val="0"/>
                <w:sz w:val="18"/>
                <w:szCs w:val="18"/>
              </w:rPr>
            </w:pPr>
          </w:p>
        </w:tc>
        <w:tc>
          <w:tcPr>
            <w:tcW w:w="1060" w:type="dxa"/>
            <w:shd w:val="clear" w:color="auto" w:fill="auto"/>
            <w:noWrap/>
            <w:vAlign w:val="center"/>
          </w:tcPr>
          <w:p w14:paraId="66CA562F">
            <w:pPr>
              <w:widowControl/>
              <w:jc w:val="center"/>
              <w:rPr>
                <w:rFonts w:ascii="宋体" w:hAnsi="宋体" w:cs="宋体"/>
                <w:kern w:val="0"/>
                <w:sz w:val="20"/>
                <w:szCs w:val="20"/>
              </w:rPr>
            </w:pPr>
          </w:p>
        </w:tc>
        <w:tc>
          <w:tcPr>
            <w:tcW w:w="938" w:type="dxa"/>
            <w:shd w:val="clear" w:color="auto" w:fill="auto"/>
            <w:noWrap/>
            <w:vAlign w:val="center"/>
          </w:tcPr>
          <w:p w14:paraId="4DCC8B87">
            <w:pPr>
              <w:widowControl/>
              <w:jc w:val="center"/>
              <w:rPr>
                <w:rFonts w:ascii="宋体" w:hAnsi="宋体" w:cs="宋体"/>
                <w:kern w:val="0"/>
                <w:sz w:val="18"/>
                <w:szCs w:val="18"/>
              </w:rPr>
            </w:pPr>
          </w:p>
        </w:tc>
        <w:tc>
          <w:tcPr>
            <w:tcW w:w="1060" w:type="dxa"/>
            <w:shd w:val="clear" w:color="auto" w:fill="auto"/>
            <w:noWrap/>
            <w:vAlign w:val="center"/>
          </w:tcPr>
          <w:p w14:paraId="07650354">
            <w:pPr>
              <w:widowControl/>
              <w:jc w:val="center"/>
              <w:rPr>
                <w:rFonts w:ascii="宋体" w:hAnsi="宋体" w:cs="宋体"/>
                <w:kern w:val="0"/>
                <w:sz w:val="18"/>
                <w:szCs w:val="18"/>
              </w:rPr>
            </w:pPr>
          </w:p>
        </w:tc>
        <w:tc>
          <w:tcPr>
            <w:tcW w:w="1060" w:type="dxa"/>
            <w:shd w:val="clear" w:color="auto" w:fill="auto"/>
            <w:noWrap/>
            <w:vAlign w:val="center"/>
          </w:tcPr>
          <w:p w14:paraId="6B5F584A">
            <w:pPr>
              <w:widowControl/>
              <w:jc w:val="center"/>
              <w:rPr>
                <w:rFonts w:ascii="宋体" w:hAnsi="宋体" w:cs="宋体"/>
                <w:kern w:val="0"/>
                <w:sz w:val="18"/>
                <w:szCs w:val="18"/>
              </w:rPr>
            </w:pPr>
          </w:p>
        </w:tc>
        <w:tc>
          <w:tcPr>
            <w:tcW w:w="1060" w:type="dxa"/>
            <w:shd w:val="clear" w:color="auto" w:fill="auto"/>
            <w:noWrap/>
            <w:vAlign w:val="center"/>
          </w:tcPr>
          <w:p w14:paraId="19D84B2D">
            <w:pPr>
              <w:widowControl/>
              <w:jc w:val="center"/>
              <w:rPr>
                <w:rFonts w:ascii="宋体" w:hAnsi="宋体" w:cs="宋体"/>
                <w:kern w:val="0"/>
                <w:sz w:val="18"/>
                <w:szCs w:val="18"/>
              </w:rPr>
            </w:pPr>
          </w:p>
        </w:tc>
        <w:tc>
          <w:tcPr>
            <w:tcW w:w="1060" w:type="dxa"/>
            <w:shd w:val="clear" w:color="auto" w:fill="auto"/>
            <w:noWrap/>
            <w:vAlign w:val="center"/>
          </w:tcPr>
          <w:p w14:paraId="65349966">
            <w:pPr>
              <w:widowControl/>
              <w:jc w:val="center"/>
              <w:rPr>
                <w:rFonts w:ascii="宋体" w:hAnsi="宋体" w:cs="宋体"/>
                <w:kern w:val="0"/>
                <w:sz w:val="18"/>
                <w:szCs w:val="18"/>
              </w:rPr>
            </w:pPr>
          </w:p>
        </w:tc>
        <w:tc>
          <w:tcPr>
            <w:tcW w:w="1609" w:type="dxa"/>
            <w:shd w:val="clear" w:color="auto" w:fill="auto"/>
            <w:noWrap/>
            <w:vAlign w:val="center"/>
          </w:tcPr>
          <w:p w14:paraId="2D7D957D">
            <w:pPr>
              <w:widowControl/>
              <w:jc w:val="center"/>
              <w:rPr>
                <w:rFonts w:ascii="宋体" w:hAnsi="宋体" w:cs="宋体"/>
                <w:kern w:val="0"/>
                <w:sz w:val="20"/>
                <w:szCs w:val="20"/>
              </w:rPr>
            </w:pPr>
          </w:p>
        </w:tc>
      </w:tr>
      <w:tr w14:paraId="468C7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6B758251">
            <w:pPr>
              <w:widowControl/>
              <w:jc w:val="center"/>
              <w:rPr>
                <w:rFonts w:ascii="宋体" w:hAnsi="宋体" w:cs="宋体"/>
                <w:kern w:val="0"/>
                <w:sz w:val="20"/>
                <w:szCs w:val="20"/>
              </w:rPr>
            </w:pPr>
            <w:r>
              <w:rPr>
                <w:rFonts w:hint="eastAsia" w:ascii="宋体" w:hAnsi="宋体" w:cs="宋体"/>
                <w:kern w:val="0"/>
                <w:sz w:val="20"/>
                <w:szCs w:val="20"/>
              </w:rPr>
              <w:t>14</w:t>
            </w:r>
          </w:p>
        </w:tc>
        <w:tc>
          <w:tcPr>
            <w:tcW w:w="1833" w:type="dxa"/>
            <w:vMerge w:val="continue"/>
            <w:shd w:val="clear" w:color="auto" w:fill="auto"/>
            <w:noWrap w:val="0"/>
            <w:vAlign w:val="center"/>
          </w:tcPr>
          <w:p w14:paraId="558EA2B9">
            <w:pPr>
              <w:widowControl/>
              <w:jc w:val="left"/>
              <w:rPr>
                <w:rFonts w:ascii="宋体" w:hAnsi="宋体" w:cs="宋体"/>
                <w:kern w:val="0"/>
                <w:sz w:val="20"/>
                <w:szCs w:val="20"/>
              </w:rPr>
            </w:pPr>
          </w:p>
        </w:tc>
        <w:tc>
          <w:tcPr>
            <w:tcW w:w="731" w:type="dxa"/>
            <w:shd w:val="clear" w:color="auto" w:fill="auto"/>
            <w:noWrap w:val="0"/>
            <w:vAlign w:val="center"/>
          </w:tcPr>
          <w:p w14:paraId="2BD08C43">
            <w:pPr>
              <w:widowControl/>
              <w:jc w:val="center"/>
              <w:rPr>
                <w:rFonts w:ascii="宋体" w:hAnsi="宋体" w:cs="宋体"/>
                <w:kern w:val="0"/>
                <w:sz w:val="20"/>
                <w:szCs w:val="20"/>
              </w:rPr>
            </w:pPr>
          </w:p>
        </w:tc>
        <w:tc>
          <w:tcPr>
            <w:tcW w:w="1060" w:type="dxa"/>
            <w:shd w:val="clear" w:color="auto" w:fill="auto"/>
            <w:noWrap w:val="0"/>
            <w:vAlign w:val="center"/>
          </w:tcPr>
          <w:p w14:paraId="1A8D122E">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noWrap w:val="0"/>
            <w:vAlign w:val="center"/>
          </w:tcPr>
          <w:p w14:paraId="6F169E32">
            <w:pPr>
              <w:widowControl/>
              <w:jc w:val="center"/>
              <w:rPr>
                <w:rFonts w:ascii="宋体" w:hAnsi="宋体" w:cs="宋体"/>
                <w:kern w:val="0"/>
                <w:sz w:val="20"/>
                <w:szCs w:val="20"/>
              </w:rPr>
            </w:pPr>
          </w:p>
        </w:tc>
        <w:tc>
          <w:tcPr>
            <w:tcW w:w="1060" w:type="dxa"/>
            <w:shd w:val="clear" w:color="auto" w:fill="auto"/>
            <w:noWrap w:val="0"/>
            <w:vAlign w:val="center"/>
          </w:tcPr>
          <w:p w14:paraId="20CB39DE">
            <w:pPr>
              <w:widowControl/>
              <w:jc w:val="center"/>
              <w:rPr>
                <w:rFonts w:ascii="宋体" w:hAnsi="宋体" w:cs="宋体"/>
                <w:kern w:val="0"/>
                <w:sz w:val="20"/>
                <w:szCs w:val="20"/>
              </w:rPr>
            </w:pPr>
          </w:p>
        </w:tc>
        <w:tc>
          <w:tcPr>
            <w:tcW w:w="1060" w:type="dxa"/>
            <w:shd w:val="clear" w:color="auto" w:fill="auto"/>
            <w:noWrap/>
            <w:vAlign w:val="center"/>
          </w:tcPr>
          <w:p w14:paraId="1D7395A3">
            <w:pPr>
              <w:widowControl/>
              <w:jc w:val="center"/>
              <w:rPr>
                <w:rFonts w:ascii="宋体" w:hAnsi="宋体" w:cs="宋体"/>
                <w:kern w:val="0"/>
                <w:sz w:val="20"/>
                <w:szCs w:val="20"/>
              </w:rPr>
            </w:pPr>
          </w:p>
        </w:tc>
        <w:tc>
          <w:tcPr>
            <w:tcW w:w="938" w:type="dxa"/>
            <w:shd w:val="clear" w:color="auto" w:fill="auto"/>
            <w:noWrap/>
            <w:vAlign w:val="center"/>
          </w:tcPr>
          <w:p w14:paraId="240F6E20">
            <w:pPr>
              <w:widowControl/>
              <w:jc w:val="center"/>
              <w:rPr>
                <w:rFonts w:ascii="宋体" w:hAnsi="宋体" w:cs="宋体"/>
                <w:kern w:val="0"/>
                <w:sz w:val="18"/>
                <w:szCs w:val="18"/>
              </w:rPr>
            </w:pPr>
          </w:p>
        </w:tc>
        <w:tc>
          <w:tcPr>
            <w:tcW w:w="1060" w:type="dxa"/>
            <w:shd w:val="clear" w:color="auto" w:fill="auto"/>
            <w:noWrap/>
            <w:vAlign w:val="center"/>
          </w:tcPr>
          <w:p w14:paraId="45C8E25A">
            <w:pPr>
              <w:widowControl/>
              <w:jc w:val="center"/>
              <w:rPr>
                <w:rFonts w:ascii="宋体" w:hAnsi="宋体" w:cs="宋体"/>
                <w:kern w:val="0"/>
                <w:sz w:val="18"/>
                <w:szCs w:val="18"/>
              </w:rPr>
            </w:pPr>
          </w:p>
        </w:tc>
        <w:tc>
          <w:tcPr>
            <w:tcW w:w="1060" w:type="dxa"/>
            <w:shd w:val="clear" w:color="auto" w:fill="auto"/>
            <w:noWrap/>
            <w:vAlign w:val="center"/>
          </w:tcPr>
          <w:p w14:paraId="5CF20EEF">
            <w:pPr>
              <w:widowControl/>
              <w:jc w:val="center"/>
              <w:rPr>
                <w:rFonts w:ascii="宋体" w:hAnsi="宋体" w:cs="宋体"/>
                <w:kern w:val="0"/>
                <w:sz w:val="20"/>
                <w:szCs w:val="20"/>
              </w:rPr>
            </w:pPr>
          </w:p>
        </w:tc>
        <w:tc>
          <w:tcPr>
            <w:tcW w:w="1060" w:type="dxa"/>
            <w:shd w:val="clear" w:color="auto" w:fill="auto"/>
            <w:noWrap/>
            <w:vAlign w:val="center"/>
          </w:tcPr>
          <w:p w14:paraId="53B994AE">
            <w:pPr>
              <w:widowControl/>
              <w:jc w:val="center"/>
              <w:rPr>
                <w:rFonts w:ascii="宋体" w:hAnsi="宋体" w:cs="宋体"/>
                <w:kern w:val="0"/>
                <w:sz w:val="20"/>
                <w:szCs w:val="20"/>
              </w:rPr>
            </w:pPr>
          </w:p>
        </w:tc>
        <w:tc>
          <w:tcPr>
            <w:tcW w:w="1060" w:type="dxa"/>
            <w:shd w:val="clear" w:color="auto" w:fill="auto"/>
            <w:noWrap/>
            <w:vAlign w:val="center"/>
          </w:tcPr>
          <w:p w14:paraId="1F9DA6AD">
            <w:pPr>
              <w:widowControl/>
              <w:jc w:val="center"/>
              <w:rPr>
                <w:rFonts w:ascii="宋体" w:hAnsi="宋体" w:cs="宋体"/>
                <w:kern w:val="0"/>
                <w:sz w:val="20"/>
                <w:szCs w:val="20"/>
              </w:rPr>
            </w:pPr>
          </w:p>
        </w:tc>
        <w:tc>
          <w:tcPr>
            <w:tcW w:w="1609" w:type="dxa"/>
            <w:shd w:val="clear" w:color="auto" w:fill="auto"/>
            <w:noWrap/>
            <w:vAlign w:val="center"/>
          </w:tcPr>
          <w:p w14:paraId="762C7847">
            <w:pPr>
              <w:widowControl/>
              <w:jc w:val="center"/>
              <w:rPr>
                <w:rFonts w:ascii="宋体" w:hAnsi="宋体" w:cs="宋体"/>
                <w:kern w:val="0"/>
                <w:sz w:val="20"/>
                <w:szCs w:val="20"/>
              </w:rPr>
            </w:pPr>
          </w:p>
        </w:tc>
      </w:tr>
      <w:tr w14:paraId="2201E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534CE9E2">
            <w:pPr>
              <w:widowControl/>
              <w:jc w:val="center"/>
              <w:rPr>
                <w:rFonts w:ascii="宋体" w:hAnsi="宋体" w:cs="宋体"/>
                <w:kern w:val="0"/>
                <w:sz w:val="20"/>
                <w:szCs w:val="20"/>
              </w:rPr>
            </w:pPr>
            <w:r>
              <w:rPr>
                <w:rFonts w:hint="eastAsia" w:ascii="宋体" w:hAnsi="宋体" w:cs="宋体"/>
                <w:kern w:val="0"/>
                <w:sz w:val="20"/>
                <w:szCs w:val="20"/>
              </w:rPr>
              <w:t>15</w:t>
            </w:r>
          </w:p>
        </w:tc>
        <w:tc>
          <w:tcPr>
            <w:tcW w:w="1833" w:type="dxa"/>
            <w:vMerge w:val="continue"/>
            <w:shd w:val="clear" w:color="auto" w:fill="auto"/>
            <w:noWrap w:val="0"/>
            <w:vAlign w:val="center"/>
          </w:tcPr>
          <w:p w14:paraId="312E9989">
            <w:pPr>
              <w:widowControl/>
              <w:jc w:val="left"/>
              <w:rPr>
                <w:rFonts w:ascii="宋体" w:hAnsi="宋体" w:cs="宋体"/>
                <w:kern w:val="0"/>
                <w:sz w:val="20"/>
                <w:szCs w:val="20"/>
              </w:rPr>
            </w:pPr>
          </w:p>
        </w:tc>
        <w:tc>
          <w:tcPr>
            <w:tcW w:w="731" w:type="dxa"/>
            <w:shd w:val="clear" w:color="auto" w:fill="auto"/>
            <w:noWrap w:val="0"/>
            <w:vAlign w:val="center"/>
          </w:tcPr>
          <w:p w14:paraId="614F3C99">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noWrap/>
            <w:vAlign w:val="center"/>
          </w:tcPr>
          <w:p w14:paraId="2AB13D7F">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noWrap/>
            <w:vAlign w:val="center"/>
          </w:tcPr>
          <w:p w14:paraId="11EA4C41">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635913C2">
            <w:pPr>
              <w:widowControl/>
              <w:jc w:val="center"/>
              <w:rPr>
                <w:rFonts w:ascii="宋体" w:hAnsi="宋体" w:cs="宋体"/>
                <w:kern w:val="0"/>
                <w:sz w:val="18"/>
                <w:szCs w:val="18"/>
              </w:rPr>
            </w:pPr>
          </w:p>
        </w:tc>
        <w:tc>
          <w:tcPr>
            <w:tcW w:w="1060" w:type="dxa"/>
            <w:shd w:val="clear" w:color="auto" w:fill="auto"/>
            <w:noWrap/>
            <w:vAlign w:val="center"/>
          </w:tcPr>
          <w:p w14:paraId="164DB8D6">
            <w:pPr>
              <w:widowControl/>
              <w:jc w:val="center"/>
              <w:rPr>
                <w:rFonts w:ascii="宋体" w:hAnsi="宋体" w:cs="宋体"/>
                <w:kern w:val="0"/>
                <w:sz w:val="18"/>
                <w:szCs w:val="18"/>
              </w:rPr>
            </w:pPr>
          </w:p>
        </w:tc>
        <w:tc>
          <w:tcPr>
            <w:tcW w:w="938" w:type="dxa"/>
            <w:shd w:val="clear" w:color="auto" w:fill="auto"/>
            <w:noWrap/>
            <w:vAlign w:val="center"/>
          </w:tcPr>
          <w:p w14:paraId="3BCAB5C5">
            <w:pPr>
              <w:widowControl/>
              <w:jc w:val="center"/>
              <w:rPr>
                <w:rFonts w:ascii="宋体" w:hAnsi="宋体" w:cs="宋体"/>
                <w:kern w:val="0"/>
                <w:sz w:val="18"/>
                <w:szCs w:val="18"/>
              </w:rPr>
            </w:pPr>
          </w:p>
        </w:tc>
        <w:tc>
          <w:tcPr>
            <w:tcW w:w="1060" w:type="dxa"/>
            <w:shd w:val="clear" w:color="auto" w:fill="auto"/>
            <w:noWrap/>
            <w:vAlign w:val="center"/>
          </w:tcPr>
          <w:p w14:paraId="6C08114F">
            <w:pPr>
              <w:widowControl/>
              <w:jc w:val="center"/>
              <w:rPr>
                <w:rFonts w:ascii="宋体" w:hAnsi="宋体" w:cs="宋体"/>
                <w:kern w:val="0"/>
                <w:sz w:val="18"/>
                <w:szCs w:val="18"/>
              </w:rPr>
            </w:pPr>
          </w:p>
        </w:tc>
        <w:tc>
          <w:tcPr>
            <w:tcW w:w="1060" w:type="dxa"/>
            <w:shd w:val="clear" w:color="auto" w:fill="auto"/>
            <w:noWrap/>
            <w:vAlign w:val="center"/>
          </w:tcPr>
          <w:p w14:paraId="492D3863">
            <w:pPr>
              <w:widowControl/>
              <w:jc w:val="center"/>
              <w:rPr>
                <w:rFonts w:ascii="宋体" w:hAnsi="宋体" w:cs="宋体"/>
                <w:kern w:val="0"/>
                <w:sz w:val="18"/>
                <w:szCs w:val="18"/>
              </w:rPr>
            </w:pPr>
          </w:p>
        </w:tc>
        <w:tc>
          <w:tcPr>
            <w:tcW w:w="1060" w:type="dxa"/>
            <w:shd w:val="clear" w:color="auto" w:fill="auto"/>
            <w:noWrap/>
            <w:vAlign w:val="center"/>
          </w:tcPr>
          <w:p w14:paraId="6D9C36E7">
            <w:pPr>
              <w:widowControl/>
              <w:jc w:val="center"/>
              <w:rPr>
                <w:rFonts w:ascii="宋体" w:hAnsi="宋体" w:cs="宋体"/>
                <w:kern w:val="0"/>
                <w:sz w:val="20"/>
                <w:szCs w:val="20"/>
              </w:rPr>
            </w:pPr>
          </w:p>
        </w:tc>
        <w:tc>
          <w:tcPr>
            <w:tcW w:w="1060" w:type="dxa"/>
            <w:shd w:val="clear" w:color="auto" w:fill="auto"/>
            <w:noWrap/>
            <w:vAlign w:val="center"/>
          </w:tcPr>
          <w:p w14:paraId="4F228D76">
            <w:pPr>
              <w:widowControl/>
              <w:jc w:val="center"/>
              <w:rPr>
                <w:rFonts w:ascii="宋体" w:hAnsi="宋体" w:cs="宋体"/>
                <w:kern w:val="0"/>
                <w:sz w:val="20"/>
                <w:szCs w:val="20"/>
              </w:rPr>
            </w:pPr>
          </w:p>
        </w:tc>
        <w:tc>
          <w:tcPr>
            <w:tcW w:w="1609" w:type="dxa"/>
            <w:shd w:val="clear" w:color="auto" w:fill="auto"/>
            <w:noWrap/>
            <w:vAlign w:val="center"/>
          </w:tcPr>
          <w:p w14:paraId="705DCB5E">
            <w:pPr>
              <w:widowControl/>
              <w:jc w:val="center"/>
              <w:rPr>
                <w:rFonts w:ascii="宋体" w:hAnsi="宋体" w:cs="宋体"/>
                <w:kern w:val="0"/>
                <w:sz w:val="20"/>
                <w:szCs w:val="20"/>
              </w:rPr>
            </w:pPr>
          </w:p>
        </w:tc>
      </w:tr>
      <w:tr w14:paraId="77A6E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4CED8955">
            <w:pPr>
              <w:widowControl/>
              <w:jc w:val="center"/>
              <w:rPr>
                <w:rFonts w:ascii="宋体" w:hAnsi="宋体" w:cs="宋体"/>
                <w:kern w:val="0"/>
                <w:sz w:val="20"/>
                <w:szCs w:val="20"/>
              </w:rPr>
            </w:pPr>
            <w:r>
              <w:rPr>
                <w:rFonts w:hint="eastAsia" w:ascii="宋体" w:hAnsi="宋体" w:cs="宋体"/>
                <w:kern w:val="0"/>
                <w:sz w:val="20"/>
                <w:szCs w:val="20"/>
              </w:rPr>
              <w:t>16</w:t>
            </w:r>
          </w:p>
        </w:tc>
        <w:tc>
          <w:tcPr>
            <w:tcW w:w="1833" w:type="dxa"/>
            <w:vMerge w:val="restart"/>
            <w:shd w:val="clear" w:color="auto" w:fill="auto"/>
            <w:noWrap w:val="0"/>
            <w:vAlign w:val="center"/>
          </w:tcPr>
          <w:p w14:paraId="4896C56E">
            <w:pPr>
              <w:widowControl/>
              <w:jc w:val="left"/>
              <w:rPr>
                <w:rFonts w:ascii="宋体" w:hAnsi="宋体" w:cs="宋体"/>
                <w:kern w:val="0"/>
                <w:sz w:val="20"/>
                <w:szCs w:val="20"/>
              </w:rPr>
            </w:pPr>
            <w:r>
              <w:rPr>
                <w:rFonts w:hint="eastAsia" w:ascii="宋体" w:hAnsi="宋体" w:cs="宋体"/>
                <w:kern w:val="0"/>
                <w:sz w:val="20"/>
                <w:szCs w:val="20"/>
              </w:rPr>
              <w:t>六、符合条件的节能服务公司实施合同能源管理项目</w:t>
            </w:r>
          </w:p>
        </w:tc>
        <w:tc>
          <w:tcPr>
            <w:tcW w:w="731" w:type="dxa"/>
            <w:shd w:val="clear" w:color="auto" w:fill="auto"/>
            <w:noWrap w:val="0"/>
            <w:vAlign w:val="center"/>
          </w:tcPr>
          <w:p w14:paraId="2C1EB432">
            <w:pPr>
              <w:widowControl/>
              <w:jc w:val="center"/>
              <w:rPr>
                <w:rFonts w:ascii="宋体" w:hAnsi="宋体" w:cs="宋体"/>
                <w:kern w:val="0"/>
                <w:sz w:val="20"/>
                <w:szCs w:val="20"/>
              </w:rPr>
            </w:pPr>
          </w:p>
        </w:tc>
        <w:tc>
          <w:tcPr>
            <w:tcW w:w="1060" w:type="dxa"/>
            <w:shd w:val="clear" w:color="auto" w:fill="auto"/>
            <w:noWrap w:val="0"/>
            <w:vAlign w:val="center"/>
          </w:tcPr>
          <w:p w14:paraId="01251D5C">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noWrap w:val="0"/>
            <w:vAlign w:val="center"/>
          </w:tcPr>
          <w:p w14:paraId="06C2148A">
            <w:pPr>
              <w:widowControl/>
              <w:jc w:val="center"/>
              <w:rPr>
                <w:rFonts w:ascii="宋体" w:hAnsi="宋体" w:cs="宋体"/>
                <w:kern w:val="0"/>
                <w:sz w:val="20"/>
                <w:szCs w:val="20"/>
              </w:rPr>
            </w:pPr>
          </w:p>
        </w:tc>
        <w:tc>
          <w:tcPr>
            <w:tcW w:w="1060" w:type="dxa"/>
            <w:shd w:val="clear" w:color="auto" w:fill="auto"/>
            <w:noWrap w:val="0"/>
            <w:vAlign w:val="center"/>
          </w:tcPr>
          <w:p w14:paraId="440EA5A3">
            <w:pPr>
              <w:widowControl/>
              <w:jc w:val="center"/>
              <w:rPr>
                <w:rFonts w:ascii="宋体" w:hAnsi="宋体" w:cs="宋体"/>
                <w:kern w:val="0"/>
                <w:sz w:val="20"/>
                <w:szCs w:val="20"/>
              </w:rPr>
            </w:pPr>
          </w:p>
        </w:tc>
        <w:tc>
          <w:tcPr>
            <w:tcW w:w="1060" w:type="dxa"/>
            <w:shd w:val="clear" w:color="auto" w:fill="auto"/>
            <w:noWrap/>
            <w:vAlign w:val="center"/>
          </w:tcPr>
          <w:p w14:paraId="790FB75E">
            <w:pPr>
              <w:widowControl/>
              <w:jc w:val="center"/>
              <w:rPr>
                <w:rFonts w:ascii="宋体" w:hAnsi="宋体" w:cs="宋体"/>
                <w:kern w:val="0"/>
                <w:sz w:val="20"/>
                <w:szCs w:val="20"/>
              </w:rPr>
            </w:pPr>
          </w:p>
        </w:tc>
        <w:tc>
          <w:tcPr>
            <w:tcW w:w="938" w:type="dxa"/>
            <w:shd w:val="clear" w:color="auto" w:fill="auto"/>
            <w:noWrap/>
            <w:vAlign w:val="center"/>
          </w:tcPr>
          <w:p w14:paraId="1BBD6E7D">
            <w:pPr>
              <w:widowControl/>
              <w:jc w:val="center"/>
              <w:rPr>
                <w:rFonts w:ascii="宋体" w:hAnsi="宋体" w:cs="宋体"/>
                <w:kern w:val="0"/>
                <w:sz w:val="18"/>
                <w:szCs w:val="18"/>
              </w:rPr>
            </w:pPr>
          </w:p>
        </w:tc>
        <w:tc>
          <w:tcPr>
            <w:tcW w:w="1060" w:type="dxa"/>
            <w:shd w:val="clear" w:color="auto" w:fill="auto"/>
            <w:noWrap/>
            <w:vAlign w:val="center"/>
          </w:tcPr>
          <w:p w14:paraId="42361705">
            <w:pPr>
              <w:widowControl/>
              <w:jc w:val="center"/>
              <w:rPr>
                <w:rFonts w:ascii="宋体" w:hAnsi="宋体" w:cs="宋体"/>
                <w:kern w:val="0"/>
                <w:sz w:val="18"/>
                <w:szCs w:val="18"/>
              </w:rPr>
            </w:pPr>
          </w:p>
        </w:tc>
        <w:tc>
          <w:tcPr>
            <w:tcW w:w="1060" w:type="dxa"/>
            <w:shd w:val="clear" w:color="auto" w:fill="auto"/>
            <w:noWrap/>
            <w:vAlign w:val="center"/>
          </w:tcPr>
          <w:p w14:paraId="058B7880">
            <w:pPr>
              <w:widowControl/>
              <w:jc w:val="center"/>
              <w:rPr>
                <w:rFonts w:ascii="宋体" w:hAnsi="宋体" w:cs="宋体"/>
                <w:kern w:val="0"/>
                <w:sz w:val="18"/>
                <w:szCs w:val="18"/>
              </w:rPr>
            </w:pPr>
          </w:p>
        </w:tc>
        <w:tc>
          <w:tcPr>
            <w:tcW w:w="1060" w:type="dxa"/>
            <w:shd w:val="clear" w:color="auto" w:fill="auto"/>
            <w:noWrap/>
            <w:vAlign w:val="center"/>
          </w:tcPr>
          <w:p w14:paraId="3C2F7AB0">
            <w:pPr>
              <w:widowControl/>
              <w:jc w:val="center"/>
              <w:rPr>
                <w:rFonts w:ascii="宋体" w:hAnsi="宋体" w:cs="宋体"/>
                <w:kern w:val="0"/>
                <w:sz w:val="20"/>
                <w:szCs w:val="20"/>
              </w:rPr>
            </w:pPr>
          </w:p>
        </w:tc>
        <w:tc>
          <w:tcPr>
            <w:tcW w:w="1060" w:type="dxa"/>
            <w:shd w:val="clear" w:color="auto" w:fill="auto"/>
            <w:noWrap/>
            <w:vAlign w:val="center"/>
          </w:tcPr>
          <w:p w14:paraId="3439052C">
            <w:pPr>
              <w:widowControl/>
              <w:jc w:val="center"/>
              <w:rPr>
                <w:rFonts w:ascii="宋体" w:hAnsi="宋体" w:cs="宋体"/>
                <w:kern w:val="0"/>
                <w:sz w:val="20"/>
                <w:szCs w:val="20"/>
              </w:rPr>
            </w:pPr>
          </w:p>
        </w:tc>
        <w:tc>
          <w:tcPr>
            <w:tcW w:w="1609" w:type="dxa"/>
            <w:shd w:val="clear" w:color="auto" w:fill="auto"/>
            <w:noWrap/>
            <w:vAlign w:val="center"/>
          </w:tcPr>
          <w:p w14:paraId="446A191A">
            <w:pPr>
              <w:widowControl/>
              <w:jc w:val="center"/>
              <w:rPr>
                <w:rFonts w:ascii="宋体" w:hAnsi="宋体" w:cs="宋体"/>
                <w:kern w:val="0"/>
                <w:sz w:val="20"/>
                <w:szCs w:val="20"/>
              </w:rPr>
            </w:pPr>
          </w:p>
        </w:tc>
      </w:tr>
      <w:tr w14:paraId="1ECA6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6999BE64">
            <w:pPr>
              <w:widowControl/>
              <w:jc w:val="center"/>
              <w:rPr>
                <w:rFonts w:ascii="宋体" w:hAnsi="宋体" w:cs="宋体"/>
                <w:kern w:val="0"/>
                <w:sz w:val="20"/>
                <w:szCs w:val="20"/>
              </w:rPr>
            </w:pPr>
            <w:r>
              <w:rPr>
                <w:rFonts w:hint="eastAsia" w:ascii="宋体" w:hAnsi="宋体" w:cs="宋体"/>
                <w:kern w:val="0"/>
                <w:sz w:val="20"/>
                <w:szCs w:val="20"/>
              </w:rPr>
              <w:t>17</w:t>
            </w:r>
          </w:p>
        </w:tc>
        <w:tc>
          <w:tcPr>
            <w:tcW w:w="1833" w:type="dxa"/>
            <w:vMerge w:val="continue"/>
            <w:shd w:val="clear" w:color="auto" w:fill="auto"/>
            <w:noWrap w:val="0"/>
            <w:vAlign w:val="center"/>
          </w:tcPr>
          <w:p w14:paraId="35E6D048">
            <w:pPr>
              <w:widowControl/>
              <w:jc w:val="left"/>
              <w:rPr>
                <w:rFonts w:ascii="宋体" w:hAnsi="宋体" w:cs="宋体"/>
                <w:kern w:val="0"/>
                <w:sz w:val="20"/>
                <w:szCs w:val="20"/>
              </w:rPr>
            </w:pPr>
          </w:p>
        </w:tc>
        <w:tc>
          <w:tcPr>
            <w:tcW w:w="731" w:type="dxa"/>
            <w:shd w:val="clear" w:color="auto" w:fill="auto"/>
            <w:noWrap w:val="0"/>
            <w:vAlign w:val="center"/>
          </w:tcPr>
          <w:p w14:paraId="06EE44F7">
            <w:pPr>
              <w:widowControl/>
              <w:jc w:val="center"/>
              <w:rPr>
                <w:rFonts w:ascii="宋体" w:hAnsi="宋体" w:cs="宋体"/>
                <w:kern w:val="0"/>
                <w:sz w:val="20"/>
                <w:szCs w:val="20"/>
              </w:rPr>
            </w:pPr>
          </w:p>
        </w:tc>
        <w:tc>
          <w:tcPr>
            <w:tcW w:w="1060" w:type="dxa"/>
            <w:shd w:val="clear" w:color="auto" w:fill="auto"/>
            <w:noWrap w:val="0"/>
            <w:vAlign w:val="center"/>
          </w:tcPr>
          <w:p w14:paraId="53D6FCD9">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noWrap w:val="0"/>
            <w:vAlign w:val="center"/>
          </w:tcPr>
          <w:p w14:paraId="5FCFDDDF">
            <w:pPr>
              <w:widowControl/>
              <w:jc w:val="center"/>
              <w:rPr>
                <w:rFonts w:ascii="宋体" w:hAnsi="宋体" w:cs="宋体"/>
                <w:kern w:val="0"/>
                <w:sz w:val="20"/>
                <w:szCs w:val="20"/>
              </w:rPr>
            </w:pPr>
          </w:p>
        </w:tc>
        <w:tc>
          <w:tcPr>
            <w:tcW w:w="1060" w:type="dxa"/>
            <w:shd w:val="clear" w:color="auto" w:fill="auto"/>
            <w:noWrap w:val="0"/>
            <w:vAlign w:val="center"/>
          </w:tcPr>
          <w:p w14:paraId="7BCAAC5A">
            <w:pPr>
              <w:widowControl/>
              <w:jc w:val="center"/>
              <w:rPr>
                <w:rFonts w:ascii="宋体" w:hAnsi="宋体" w:cs="宋体"/>
                <w:kern w:val="0"/>
                <w:sz w:val="20"/>
                <w:szCs w:val="20"/>
              </w:rPr>
            </w:pPr>
          </w:p>
        </w:tc>
        <w:tc>
          <w:tcPr>
            <w:tcW w:w="1060" w:type="dxa"/>
            <w:shd w:val="clear" w:color="auto" w:fill="auto"/>
            <w:noWrap/>
            <w:vAlign w:val="center"/>
          </w:tcPr>
          <w:p w14:paraId="37907A7C">
            <w:pPr>
              <w:widowControl/>
              <w:jc w:val="center"/>
              <w:rPr>
                <w:rFonts w:ascii="宋体" w:hAnsi="宋体" w:cs="宋体"/>
                <w:kern w:val="0"/>
                <w:sz w:val="20"/>
                <w:szCs w:val="20"/>
              </w:rPr>
            </w:pPr>
          </w:p>
        </w:tc>
        <w:tc>
          <w:tcPr>
            <w:tcW w:w="938" w:type="dxa"/>
            <w:shd w:val="clear" w:color="auto" w:fill="auto"/>
            <w:noWrap/>
            <w:vAlign w:val="center"/>
          </w:tcPr>
          <w:p w14:paraId="247A200A">
            <w:pPr>
              <w:widowControl/>
              <w:jc w:val="center"/>
              <w:rPr>
                <w:rFonts w:ascii="宋体" w:hAnsi="宋体" w:cs="宋体"/>
                <w:kern w:val="0"/>
                <w:sz w:val="18"/>
                <w:szCs w:val="18"/>
              </w:rPr>
            </w:pPr>
          </w:p>
        </w:tc>
        <w:tc>
          <w:tcPr>
            <w:tcW w:w="1060" w:type="dxa"/>
            <w:shd w:val="clear" w:color="auto" w:fill="auto"/>
            <w:noWrap/>
            <w:vAlign w:val="center"/>
          </w:tcPr>
          <w:p w14:paraId="657B3A13">
            <w:pPr>
              <w:widowControl/>
              <w:jc w:val="center"/>
              <w:rPr>
                <w:rFonts w:ascii="宋体" w:hAnsi="宋体" w:cs="宋体"/>
                <w:kern w:val="0"/>
                <w:sz w:val="18"/>
                <w:szCs w:val="18"/>
              </w:rPr>
            </w:pPr>
          </w:p>
        </w:tc>
        <w:tc>
          <w:tcPr>
            <w:tcW w:w="1060" w:type="dxa"/>
            <w:shd w:val="clear" w:color="auto" w:fill="auto"/>
            <w:noWrap/>
            <w:vAlign w:val="center"/>
          </w:tcPr>
          <w:p w14:paraId="201DEAF2">
            <w:pPr>
              <w:widowControl/>
              <w:jc w:val="center"/>
              <w:rPr>
                <w:rFonts w:ascii="宋体" w:hAnsi="宋体" w:cs="宋体"/>
                <w:kern w:val="0"/>
                <w:sz w:val="20"/>
                <w:szCs w:val="20"/>
              </w:rPr>
            </w:pPr>
          </w:p>
        </w:tc>
        <w:tc>
          <w:tcPr>
            <w:tcW w:w="1060" w:type="dxa"/>
            <w:shd w:val="clear" w:color="auto" w:fill="auto"/>
            <w:noWrap/>
            <w:vAlign w:val="center"/>
          </w:tcPr>
          <w:p w14:paraId="6EA6DB34">
            <w:pPr>
              <w:widowControl/>
              <w:jc w:val="center"/>
              <w:rPr>
                <w:rFonts w:ascii="宋体" w:hAnsi="宋体" w:cs="宋体"/>
                <w:kern w:val="0"/>
                <w:sz w:val="20"/>
                <w:szCs w:val="20"/>
              </w:rPr>
            </w:pPr>
          </w:p>
        </w:tc>
        <w:tc>
          <w:tcPr>
            <w:tcW w:w="1060" w:type="dxa"/>
            <w:shd w:val="clear" w:color="auto" w:fill="auto"/>
            <w:noWrap/>
            <w:vAlign w:val="center"/>
          </w:tcPr>
          <w:p w14:paraId="5CCA85DB">
            <w:pPr>
              <w:widowControl/>
              <w:jc w:val="center"/>
              <w:rPr>
                <w:rFonts w:ascii="宋体" w:hAnsi="宋体" w:cs="宋体"/>
                <w:kern w:val="0"/>
                <w:sz w:val="20"/>
                <w:szCs w:val="20"/>
              </w:rPr>
            </w:pPr>
          </w:p>
        </w:tc>
        <w:tc>
          <w:tcPr>
            <w:tcW w:w="1609" w:type="dxa"/>
            <w:shd w:val="clear" w:color="auto" w:fill="auto"/>
            <w:noWrap/>
            <w:vAlign w:val="center"/>
          </w:tcPr>
          <w:p w14:paraId="625D67D2">
            <w:pPr>
              <w:widowControl/>
              <w:jc w:val="center"/>
              <w:rPr>
                <w:rFonts w:ascii="宋体" w:hAnsi="宋体" w:cs="宋体"/>
                <w:kern w:val="0"/>
                <w:sz w:val="20"/>
                <w:szCs w:val="20"/>
              </w:rPr>
            </w:pPr>
          </w:p>
        </w:tc>
      </w:tr>
      <w:tr w14:paraId="0F700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1A5842EA">
            <w:pPr>
              <w:widowControl/>
              <w:jc w:val="center"/>
              <w:rPr>
                <w:rFonts w:ascii="宋体" w:hAnsi="宋体" w:cs="宋体"/>
                <w:kern w:val="0"/>
                <w:sz w:val="20"/>
                <w:szCs w:val="20"/>
              </w:rPr>
            </w:pPr>
            <w:r>
              <w:rPr>
                <w:rFonts w:hint="eastAsia" w:ascii="宋体" w:hAnsi="宋体" w:cs="宋体"/>
                <w:kern w:val="0"/>
                <w:sz w:val="20"/>
                <w:szCs w:val="20"/>
              </w:rPr>
              <w:t>18</w:t>
            </w:r>
          </w:p>
        </w:tc>
        <w:tc>
          <w:tcPr>
            <w:tcW w:w="1833" w:type="dxa"/>
            <w:vMerge w:val="continue"/>
            <w:shd w:val="clear" w:color="auto" w:fill="auto"/>
            <w:noWrap w:val="0"/>
            <w:vAlign w:val="center"/>
          </w:tcPr>
          <w:p w14:paraId="2868E140">
            <w:pPr>
              <w:widowControl/>
              <w:jc w:val="left"/>
              <w:rPr>
                <w:rFonts w:ascii="宋体" w:hAnsi="宋体" w:cs="宋体"/>
                <w:kern w:val="0"/>
                <w:sz w:val="20"/>
                <w:szCs w:val="20"/>
              </w:rPr>
            </w:pPr>
          </w:p>
        </w:tc>
        <w:tc>
          <w:tcPr>
            <w:tcW w:w="731" w:type="dxa"/>
            <w:shd w:val="clear" w:color="auto" w:fill="auto"/>
            <w:noWrap w:val="0"/>
            <w:vAlign w:val="center"/>
          </w:tcPr>
          <w:p w14:paraId="0E6976FC">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noWrap/>
            <w:vAlign w:val="center"/>
          </w:tcPr>
          <w:p w14:paraId="632F0DB8">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noWrap/>
            <w:vAlign w:val="center"/>
          </w:tcPr>
          <w:p w14:paraId="17D635B3">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19F9A7C3">
            <w:pPr>
              <w:widowControl/>
              <w:jc w:val="center"/>
              <w:rPr>
                <w:rFonts w:ascii="宋体" w:hAnsi="宋体" w:cs="宋体"/>
                <w:kern w:val="0"/>
                <w:sz w:val="18"/>
                <w:szCs w:val="18"/>
              </w:rPr>
            </w:pPr>
          </w:p>
        </w:tc>
        <w:tc>
          <w:tcPr>
            <w:tcW w:w="1060" w:type="dxa"/>
            <w:shd w:val="clear" w:color="auto" w:fill="auto"/>
            <w:noWrap/>
            <w:vAlign w:val="center"/>
          </w:tcPr>
          <w:p w14:paraId="189E51CB">
            <w:pPr>
              <w:widowControl/>
              <w:jc w:val="center"/>
              <w:rPr>
                <w:rFonts w:ascii="宋体" w:hAnsi="宋体" w:cs="宋体"/>
                <w:kern w:val="0"/>
                <w:sz w:val="18"/>
                <w:szCs w:val="18"/>
              </w:rPr>
            </w:pPr>
          </w:p>
        </w:tc>
        <w:tc>
          <w:tcPr>
            <w:tcW w:w="938" w:type="dxa"/>
            <w:shd w:val="clear" w:color="auto" w:fill="auto"/>
            <w:noWrap/>
            <w:vAlign w:val="center"/>
          </w:tcPr>
          <w:p w14:paraId="1D2D0637">
            <w:pPr>
              <w:widowControl/>
              <w:jc w:val="center"/>
              <w:rPr>
                <w:rFonts w:ascii="宋体" w:hAnsi="宋体" w:cs="宋体"/>
                <w:kern w:val="0"/>
                <w:sz w:val="18"/>
                <w:szCs w:val="18"/>
              </w:rPr>
            </w:pPr>
          </w:p>
        </w:tc>
        <w:tc>
          <w:tcPr>
            <w:tcW w:w="1060" w:type="dxa"/>
            <w:shd w:val="clear" w:color="auto" w:fill="auto"/>
            <w:noWrap/>
            <w:vAlign w:val="center"/>
          </w:tcPr>
          <w:p w14:paraId="6D433AF1">
            <w:pPr>
              <w:widowControl/>
              <w:jc w:val="center"/>
              <w:rPr>
                <w:rFonts w:ascii="宋体" w:hAnsi="宋体" w:cs="宋体"/>
                <w:kern w:val="0"/>
                <w:sz w:val="18"/>
                <w:szCs w:val="18"/>
              </w:rPr>
            </w:pPr>
          </w:p>
        </w:tc>
        <w:tc>
          <w:tcPr>
            <w:tcW w:w="1060" w:type="dxa"/>
            <w:shd w:val="clear" w:color="auto" w:fill="auto"/>
            <w:noWrap/>
            <w:vAlign w:val="center"/>
          </w:tcPr>
          <w:p w14:paraId="3CCCA845">
            <w:pPr>
              <w:widowControl/>
              <w:jc w:val="center"/>
              <w:rPr>
                <w:rFonts w:ascii="宋体" w:hAnsi="宋体" w:cs="宋体"/>
                <w:kern w:val="0"/>
                <w:sz w:val="18"/>
                <w:szCs w:val="18"/>
              </w:rPr>
            </w:pPr>
          </w:p>
        </w:tc>
        <w:tc>
          <w:tcPr>
            <w:tcW w:w="1060" w:type="dxa"/>
            <w:shd w:val="clear" w:color="auto" w:fill="auto"/>
            <w:noWrap/>
            <w:vAlign w:val="center"/>
          </w:tcPr>
          <w:p w14:paraId="13D425F6">
            <w:pPr>
              <w:widowControl/>
              <w:jc w:val="center"/>
              <w:rPr>
                <w:rFonts w:ascii="宋体" w:hAnsi="宋体" w:cs="宋体"/>
                <w:kern w:val="0"/>
                <w:sz w:val="20"/>
                <w:szCs w:val="20"/>
              </w:rPr>
            </w:pPr>
          </w:p>
        </w:tc>
        <w:tc>
          <w:tcPr>
            <w:tcW w:w="1060" w:type="dxa"/>
            <w:shd w:val="clear" w:color="auto" w:fill="auto"/>
            <w:noWrap/>
            <w:vAlign w:val="center"/>
          </w:tcPr>
          <w:p w14:paraId="14137E98">
            <w:pPr>
              <w:widowControl/>
              <w:jc w:val="center"/>
              <w:rPr>
                <w:rFonts w:ascii="宋体" w:hAnsi="宋体" w:cs="宋体"/>
                <w:kern w:val="0"/>
                <w:sz w:val="20"/>
                <w:szCs w:val="20"/>
              </w:rPr>
            </w:pPr>
          </w:p>
        </w:tc>
        <w:tc>
          <w:tcPr>
            <w:tcW w:w="1609" w:type="dxa"/>
            <w:shd w:val="clear" w:color="auto" w:fill="auto"/>
            <w:noWrap/>
            <w:vAlign w:val="center"/>
          </w:tcPr>
          <w:p w14:paraId="4D79569F">
            <w:pPr>
              <w:widowControl/>
              <w:jc w:val="center"/>
              <w:rPr>
                <w:rFonts w:ascii="宋体" w:hAnsi="宋体" w:cs="宋体"/>
                <w:kern w:val="0"/>
                <w:sz w:val="20"/>
                <w:szCs w:val="20"/>
              </w:rPr>
            </w:pPr>
          </w:p>
        </w:tc>
      </w:tr>
      <w:tr w14:paraId="0D87F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406EAADC">
            <w:pPr>
              <w:widowControl/>
              <w:jc w:val="center"/>
              <w:rPr>
                <w:rFonts w:ascii="宋体" w:hAnsi="宋体" w:cs="宋体"/>
                <w:kern w:val="0"/>
                <w:sz w:val="20"/>
                <w:szCs w:val="20"/>
              </w:rPr>
            </w:pPr>
            <w:r>
              <w:rPr>
                <w:rFonts w:hint="eastAsia" w:ascii="宋体" w:hAnsi="宋体" w:cs="宋体"/>
                <w:kern w:val="0"/>
                <w:sz w:val="20"/>
                <w:szCs w:val="20"/>
              </w:rPr>
              <w:t>19</w:t>
            </w:r>
          </w:p>
        </w:tc>
        <w:tc>
          <w:tcPr>
            <w:tcW w:w="1833" w:type="dxa"/>
            <w:vMerge w:val="restart"/>
            <w:shd w:val="clear" w:color="auto" w:fill="auto"/>
            <w:noWrap w:val="0"/>
            <w:vAlign w:val="center"/>
          </w:tcPr>
          <w:p w14:paraId="2D051F2F">
            <w:pPr>
              <w:widowControl/>
              <w:jc w:val="left"/>
              <w:rPr>
                <w:rFonts w:ascii="宋体" w:hAnsi="宋体" w:cs="宋体"/>
                <w:kern w:val="0"/>
                <w:sz w:val="20"/>
                <w:szCs w:val="20"/>
              </w:rPr>
            </w:pPr>
            <w:r>
              <w:rPr>
                <w:rFonts w:hint="eastAsia" w:ascii="宋体" w:hAnsi="宋体" w:cs="宋体"/>
                <w:kern w:val="0"/>
                <w:sz w:val="20"/>
                <w:szCs w:val="20"/>
              </w:rPr>
              <w:t>七、其他</w:t>
            </w:r>
          </w:p>
        </w:tc>
        <w:tc>
          <w:tcPr>
            <w:tcW w:w="731" w:type="dxa"/>
            <w:shd w:val="clear" w:color="auto" w:fill="auto"/>
            <w:noWrap w:val="0"/>
            <w:vAlign w:val="center"/>
          </w:tcPr>
          <w:p w14:paraId="028123E8">
            <w:pPr>
              <w:widowControl/>
              <w:jc w:val="center"/>
              <w:rPr>
                <w:rFonts w:ascii="宋体" w:hAnsi="宋体" w:cs="宋体"/>
                <w:kern w:val="0"/>
                <w:sz w:val="20"/>
                <w:szCs w:val="20"/>
              </w:rPr>
            </w:pPr>
          </w:p>
        </w:tc>
        <w:tc>
          <w:tcPr>
            <w:tcW w:w="1060" w:type="dxa"/>
            <w:shd w:val="clear" w:color="auto" w:fill="auto"/>
            <w:noWrap w:val="0"/>
            <w:vAlign w:val="center"/>
          </w:tcPr>
          <w:p w14:paraId="4EF62988">
            <w:pPr>
              <w:widowControl/>
              <w:jc w:val="center"/>
              <w:rPr>
                <w:rFonts w:ascii="宋体" w:hAnsi="宋体" w:cs="宋体"/>
                <w:kern w:val="0"/>
                <w:sz w:val="20"/>
                <w:szCs w:val="20"/>
              </w:rPr>
            </w:pPr>
          </w:p>
        </w:tc>
        <w:tc>
          <w:tcPr>
            <w:tcW w:w="809" w:type="dxa"/>
            <w:shd w:val="clear" w:color="auto" w:fill="auto"/>
            <w:noWrap w:val="0"/>
            <w:vAlign w:val="center"/>
          </w:tcPr>
          <w:p w14:paraId="5C1464EB">
            <w:pPr>
              <w:widowControl/>
              <w:jc w:val="center"/>
              <w:rPr>
                <w:rFonts w:ascii="宋体" w:hAnsi="宋体" w:cs="宋体"/>
                <w:kern w:val="0"/>
                <w:sz w:val="20"/>
                <w:szCs w:val="20"/>
              </w:rPr>
            </w:pPr>
          </w:p>
        </w:tc>
        <w:tc>
          <w:tcPr>
            <w:tcW w:w="1060" w:type="dxa"/>
            <w:shd w:val="clear" w:color="auto" w:fill="auto"/>
            <w:noWrap w:val="0"/>
            <w:vAlign w:val="center"/>
          </w:tcPr>
          <w:p w14:paraId="61297FE6">
            <w:pPr>
              <w:widowControl/>
              <w:jc w:val="center"/>
              <w:rPr>
                <w:rFonts w:ascii="宋体" w:hAnsi="宋体" w:cs="宋体"/>
                <w:kern w:val="0"/>
                <w:sz w:val="20"/>
                <w:szCs w:val="20"/>
              </w:rPr>
            </w:pPr>
          </w:p>
        </w:tc>
        <w:tc>
          <w:tcPr>
            <w:tcW w:w="1060" w:type="dxa"/>
            <w:shd w:val="clear" w:color="auto" w:fill="auto"/>
            <w:noWrap/>
            <w:vAlign w:val="center"/>
          </w:tcPr>
          <w:p w14:paraId="1D1C0AFB">
            <w:pPr>
              <w:widowControl/>
              <w:jc w:val="center"/>
              <w:rPr>
                <w:rFonts w:ascii="宋体" w:hAnsi="宋体" w:cs="宋体"/>
                <w:kern w:val="0"/>
                <w:sz w:val="20"/>
                <w:szCs w:val="20"/>
              </w:rPr>
            </w:pPr>
          </w:p>
        </w:tc>
        <w:tc>
          <w:tcPr>
            <w:tcW w:w="938" w:type="dxa"/>
            <w:shd w:val="clear" w:color="auto" w:fill="auto"/>
            <w:noWrap/>
            <w:vAlign w:val="center"/>
          </w:tcPr>
          <w:p w14:paraId="275ABC51">
            <w:pPr>
              <w:widowControl/>
              <w:jc w:val="center"/>
              <w:rPr>
                <w:rFonts w:ascii="宋体" w:hAnsi="宋体" w:cs="宋体"/>
                <w:kern w:val="0"/>
                <w:sz w:val="18"/>
                <w:szCs w:val="18"/>
              </w:rPr>
            </w:pPr>
          </w:p>
        </w:tc>
        <w:tc>
          <w:tcPr>
            <w:tcW w:w="1060" w:type="dxa"/>
            <w:shd w:val="clear" w:color="auto" w:fill="auto"/>
            <w:noWrap/>
            <w:vAlign w:val="center"/>
          </w:tcPr>
          <w:p w14:paraId="36104C1B">
            <w:pPr>
              <w:widowControl/>
              <w:jc w:val="center"/>
              <w:rPr>
                <w:rFonts w:ascii="宋体" w:hAnsi="宋体" w:cs="宋体"/>
                <w:kern w:val="0"/>
                <w:sz w:val="18"/>
                <w:szCs w:val="18"/>
              </w:rPr>
            </w:pPr>
          </w:p>
        </w:tc>
        <w:tc>
          <w:tcPr>
            <w:tcW w:w="1060" w:type="dxa"/>
            <w:shd w:val="clear" w:color="auto" w:fill="auto"/>
            <w:noWrap/>
            <w:vAlign w:val="center"/>
          </w:tcPr>
          <w:p w14:paraId="07545E56">
            <w:pPr>
              <w:widowControl/>
              <w:jc w:val="center"/>
              <w:rPr>
                <w:rFonts w:ascii="宋体" w:hAnsi="宋体" w:cs="宋体"/>
                <w:kern w:val="0"/>
                <w:sz w:val="18"/>
                <w:szCs w:val="18"/>
              </w:rPr>
            </w:pPr>
          </w:p>
        </w:tc>
        <w:tc>
          <w:tcPr>
            <w:tcW w:w="1060" w:type="dxa"/>
            <w:shd w:val="clear" w:color="auto" w:fill="auto"/>
            <w:noWrap/>
            <w:vAlign w:val="center"/>
          </w:tcPr>
          <w:p w14:paraId="0F34CA0F">
            <w:pPr>
              <w:widowControl/>
              <w:jc w:val="center"/>
              <w:rPr>
                <w:rFonts w:ascii="宋体" w:hAnsi="宋体" w:cs="宋体"/>
                <w:kern w:val="0"/>
                <w:sz w:val="20"/>
                <w:szCs w:val="20"/>
              </w:rPr>
            </w:pPr>
          </w:p>
        </w:tc>
        <w:tc>
          <w:tcPr>
            <w:tcW w:w="1060" w:type="dxa"/>
            <w:shd w:val="clear" w:color="auto" w:fill="auto"/>
            <w:noWrap/>
            <w:vAlign w:val="center"/>
          </w:tcPr>
          <w:p w14:paraId="7E44BA3E">
            <w:pPr>
              <w:widowControl/>
              <w:jc w:val="center"/>
              <w:rPr>
                <w:rFonts w:ascii="宋体" w:hAnsi="宋体" w:cs="宋体"/>
                <w:kern w:val="0"/>
                <w:sz w:val="20"/>
                <w:szCs w:val="20"/>
              </w:rPr>
            </w:pPr>
          </w:p>
        </w:tc>
        <w:tc>
          <w:tcPr>
            <w:tcW w:w="1609" w:type="dxa"/>
            <w:shd w:val="clear" w:color="auto" w:fill="auto"/>
            <w:noWrap/>
            <w:vAlign w:val="center"/>
          </w:tcPr>
          <w:p w14:paraId="1DA56AA1">
            <w:pPr>
              <w:widowControl/>
              <w:jc w:val="center"/>
              <w:rPr>
                <w:rFonts w:ascii="宋体" w:hAnsi="宋体" w:cs="宋体"/>
                <w:kern w:val="0"/>
                <w:sz w:val="20"/>
                <w:szCs w:val="20"/>
              </w:rPr>
            </w:pPr>
          </w:p>
        </w:tc>
      </w:tr>
      <w:tr w14:paraId="554F9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058ED62B">
            <w:pPr>
              <w:widowControl/>
              <w:jc w:val="center"/>
              <w:rPr>
                <w:rFonts w:ascii="宋体" w:hAnsi="宋体" w:cs="宋体"/>
                <w:kern w:val="0"/>
                <w:sz w:val="20"/>
                <w:szCs w:val="20"/>
              </w:rPr>
            </w:pPr>
            <w:r>
              <w:rPr>
                <w:rFonts w:hint="eastAsia" w:ascii="宋体" w:hAnsi="宋体" w:cs="宋体"/>
                <w:kern w:val="0"/>
                <w:sz w:val="20"/>
                <w:szCs w:val="20"/>
              </w:rPr>
              <w:t>20</w:t>
            </w:r>
          </w:p>
        </w:tc>
        <w:tc>
          <w:tcPr>
            <w:tcW w:w="1833" w:type="dxa"/>
            <w:vMerge w:val="continue"/>
            <w:shd w:val="clear" w:color="auto" w:fill="auto"/>
            <w:noWrap w:val="0"/>
            <w:vAlign w:val="center"/>
          </w:tcPr>
          <w:p w14:paraId="2B3021A1">
            <w:pPr>
              <w:widowControl/>
              <w:jc w:val="left"/>
              <w:rPr>
                <w:rFonts w:ascii="宋体" w:hAnsi="宋体" w:cs="宋体"/>
                <w:kern w:val="0"/>
                <w:sz w:val="20"/>
                <w:szCs w:val="20"/>
              </w:rPr>
            </w:pPr>
          </w:p>
        </w:tc>
        <w:tc>
          <w:tcPr>
            <w:tcW w:w="731" w:type="dxa"/>
            <w:shd w:val="clear" w:color="auto" w:fill="auto"/>
            <w:noWrap w:val="0"/>
            <w:vAlign w:val="center"/>
          </w:tcPr>
          <w:p w14:paraId="14D10E72">
            <w:pPr>
              <w:widowControl/>
              <w:jc w:val="center"/>
              <w:rPr>
                <w:rFonts w:ascii="宋体" w:hAnsi="宋体" w:cs="宋体"/>
                <w:kern w:val="0"/>
                <w:sz w:val="20"/>
                <w:szCs w:val="20"/>
              </w:rPr>
            </w:pPr>
          </w:p>
        </w:tc>
        <w:tc>
          <w:tcPr>
            <w:tcW w:w="1060" w:type="dxa"/>
            <w:shd w:val="clear" w:color="auto" w:fill="auto"/>
            <w:noWrap w:val="0"/>
            <w:vAlign w:val="center"/>
          </w:tcPr>
          <w:p w14:paraId="0255408E">
            <w:pPr>
              <w:widowControl/>
              <w:jc w:val="center"/>
              <w:rPr>
                <w:rFonts w:ascii="宋体" w:hAnsi="宋体" w:cs="宋体"/>
                <w:kern w:val="0"/>
                <w:sz w:val="20"/>
                <w:szCs w:val="20"/>
              </w:rPr>
            </w:pPr>
          </w:p>
        </w:tc>
        <w:tc>
          <w:tcPr>
            <w:tcW w:w="809" w:type="dxa"/>
            <w:shd w:val="clear" w:color="auto" w:fill="auto"/>
            <w:noWrap w:val="0"/>
            <w:vAlign w:val="center"/>
          </w:tcPr>
          <w:p w14:paraId="7421E19C">
            <w:pPr>
              <w:widowControl/>
              <w:jc w:val="center"/>
              <w:rPr>
                <w:rFonts w:ascii="宋体" w:hAnsi="宋体" w:cs="宋体"/>
                <w:kern w:val="0"/>
                <w:sz w:val="20"/>
                <w:szCs w:val="20"/>
              </w:rPr>
            </w:pPr>
          </w:p>
        </w:tc>
        <w:tc>
          <w:tcPr>
            <w:tcW w:w="1060" w:type="dxa"/>
            <w:shd w:val="clear" w:color="auto" w:fill="auto"/>
            <w:noWrap w:val="0"/>
            <w:vAlign w:val="center"/>
          </w:tcPr>
          <w:p w14:paraId="4C1488C1">
            <w:pPr>
              <w:widowControl/>
              <w:jc w:val="center"/>
              <w:rPr>
                <w:rFonts w:ascii="宋体" w:hAnsi="宋体" w:cs="宋体"/>
                <w:kern w:val="0"/>
                <w:sz w:val="20"/>
                <w:szCs w:val="20"/>
              </w:rPr>
            </w:pPr>
          </w:p>
        </w:tc>
        <w:tc>
          <w:tcPr>
            <w:tcW w:w="1060" w:type="dxa"/>
            <w:shd w:val="clear" w:color="auto" w:fill="auto"/>
            <w:noWrap/>
            <w:vAlign w:val="center"/>
          </w:tcPr>
          <w:p w14:paraId="34E66583">
            <w:pPr>
              <w:widowControl/>
              <w:jc w:val="center"/>
              <w:rPr>
                <w:rFonts w:ascii="宋体" w:hAnsi="宋体" w:cs="宋体"/>
                <w:kern w:val="0"/>
                <w:sz w:val="20"/>
                <w:szCs w:val="20"/>
              </w:rPr>
            </w:pPr>
          </w:p>
        </w:tc>
        <w:tc>
          <w:tcPr>
            <w:tcW w:w="938" w:type="dxa"/>
            <w:shd w:val="clear" w:color="auto" w:fill="auto"/>
            <w:noWrap/>
            <w:vAlign w:val="center"/>
          </w:tcPr>
          <w:p w14:paraId="7C901A97">
            <w:pPr>
              <w:widowControl/>
              <w:jc w:val="center"/>
              <w:rPr>
                <w:rFonts w:ascii="宋体" w:hAnsi="宋体" w:cs="宋体"/>
                <w:kern w:val="0"/>
                <w:sz w:val="18"/>
                <w:szCs w:val="18"/>
              </w:rPr>
            </w:pPr>
          </w:p>
        </w:tc>
        <w:tc>
          <w:tcPr>
            <w:tcW w:w="1060" w:type="dxa"/>
            <w:shd w:val="clear" w:color="auto" w:fill="auto"/>
            <w:noWrap/>
            <w:vAlign w:val="center"/>
          </w:tcPr>
          <w:p w14:paraId="75DA35FA">
            <w:pPr>
              <w:widowControl/>
              <w:jc w:val="center"/>
              <w:rPr>
                <w:rFonts w:ascii="宋体" w:hAnsi="宋体" w:cs="宋体"/>
                <w:kern w:val="0"/>
                <w:sz w:val="18"/>
                <w:szCs w:val="18"/>
              </w:rPr>
            </w:pPr>
          </w:p>
        </w:tc>
        <w:tc>
          <w:tcPr>
            <w:tcW w:w="1060" w:type="dxa"/>
            <w:shd w:val="clear" w:color="auto" w:fill="auto"/>
            <w:noWrap/>
            <w:vAlign w:val="center"/>
          </w:tcPr>
          <w:p w14:paraId="35937867">
            <w:pPr>
              <w:widowControl/>
              <w:jc w:val="center"/>
              <w:rPr>
                <w:rFonts w:ascii="宋体" w:hAnsi="宋体" w:cs="宋体"/>
                <w:kern w:val="0"/>
                <w:sz w:val="20"/>
                <w:szCs w:val="20"/>
              </w:rPr>
            </w:pPr>
          </w:p>
        </w:tc>
        <w:tc>
          <w:tcPr>
            <w:tcW w:w="1060" w:type="dxa"/>
            <w:shd w:val="clear" w:color="auto" w:fill="auto"/>
            <w:noWrap/>
            <w:vAlign w:val="center"/>
          </w:tcPr>
          <w:p w14:paraId="57A9CC4C">
            <w:pPr>
              <w:widowControl/>
              <w:jc w:val="center"/>
              <w:rPr>
                <w:rFonts w:ascii="宋体" w:hAnsi="宋体" w:cs="宋体"/>
                <w:kern w:val="0"/>
                <w:sz w:val="20"/>
                <w:szCs w:val="20"/>
              </w:rPr>
            </w:pPr>
          </w:p>
        </w:tc>
        <w:tc>
          <w:tcPr>
            <w:tcW w:w="1060" w:type="dxa"/>
            <w:shd w:val="clear" w:color="auto" w:fill="auto"/>
            <w:noWrap/>
            <w:vAlign w:val="center"/>
          </w:tcPr>
          <w:p w14:paraId="5E86545B">
            <w:pPr>
              <w:widowControl/>
              <w:jc w:val="center"/>
              <w:rPr>
                <w:rFonts w:ascii="宋体" w:hAnsi="宋体" w:cs="宋体"/>
                <w:kern w:val="0"/>
                <w:sz w:val="20"/>
                <w:szCs w:val="20"/>
              </w:rPr>
            </w:pPr>
          </w:p>
        </w:tc>
        <w:tc>
          <w:tcPr>
            <w:tcW w:w="1609" w:type="dxa"/>
            <w:shd w:val="clear" w:color="auto" w:fill="auto"/>
            <w:noWrap/>
            <w:vAlign w:val="center"/>
          </w:tcPr>
          <w:p w14:paraId="14DF5394">
            <w:pPr>
              <w:widowControl/>
              <w:jc w:val="center"/>
              <w:rPr>
                <w:rFonts w:ascii="宋体" w:hAnsi="宋体" w:cs="宋体"/>
                <w:kern w:val="0"/>
                <w:sz w:val="20"/>
                <w:szCs w:val="20"/>
              </w:rPr>
            </w:pPr>
          </w:p>
        </w:tc>
      </w:tr>
      <w:tr w14:paraId="71488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7730CEC1">
            <w:pPr>
              <w:widowControl/>
              <w:jc w:val="center"/>
              <w:rPr>
                <w:rFonts w:ascii="宋体" w:hAnsi="宋体" w:cs="宋体"/>
                <w:kern w:val="0"/>
                <w:sz w:val="20"/>
                <w:szCs w:val="20"/>
              </w:rPr>
            </w:pPr>
            <w:r>
              <w:rPr>
                <w:rFonts w:hint="eastAsia" w:ascii="宋体" w:hAnsi="宋体" w:cs="宋体"/>
                <w:kern w:val="0"/>
                <w:sz w:val="20"/>
                <w:szCs w:val="20"/>
              </w:rPr>
              <w:t>21</w:t>
            </w:r>
          </w:p>
        </w:tc>
        <w:tc>
          <w:tcPr>
            <w:tcW w:w="1833" w:type="dxa"/>
            <w:vMerge w:val="continue"/>
            <w:shd w:val="clear" w:color="auto" w:fill="auto"/>
            <w:noWrap w:val="0"/>
            <w:vAlign w:val="center"/>
          </w:tcPr>
          <w:p w14:paraId="067FA3A0">
            <w:pPr>
              <w:widowControl/>
              <w:jc w:val="left"/>
              <w:rPr>
                <w:rFonts w:ascii="宋体" w:hAnsi="宋体" w:cs="宋体"/>
                <w:kern w:val="0"/>
                <w:sz w:val="20"/>
                <w:szCs w:val="20"/>
              </w:rPr>
            </w:pPr>
          </w:p>
        </w:tc>
        <w:tc>
          <w:tcPr>
            <w:tcW w:w="731" w:type="dxa"/>
            <w:shd w:val="clear" w:color="auto" w:fill="auto"/>
            <w:noWrap w:val="0"/>
            <w:vAlign w:val="center"/>
          </w:tcPr>
          <w:p w14:paraId="450A16B7">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noWrap/>
            <w:vAlign w:val="center"/>
          </w:tcPr>
          <w:p w14:paraId="407B4051">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noWrap/>
            <w:vAlign w:val="center"/>
          </w:tcPr>
          <w:p w14:paraId="35D1CD00">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noWrap/>
            <w:vAlign w:val="center"/>
          </w:tcPr>
          <w:p w14:paraId="32205EAA">
            <w:pPr>
              <w:widowControl/>
              <w:jc w:val="center"/>
              <w:rPr>
                <w:rFonts w:ascii="宋体" w:hAnsi="宋体" w:cs="宋体"/>
                <w:kern w:val="0"/>
                <w:sz w:val="18"/>
                <w:szCs w:val="18"/>
              </w:rPr>
            </w:pPr>
          </w:p>
        </w:tc>
        <w:tc>
          <w:tcPr>
            <w:tcW w:w="1060" w:type="dxa"/>
            <w:shd w:val="clear" w:color="auto" w:fill="auto"/>
            <w:noWrap/>
            <w:vAlign w:val="center"/>
          </w:tcPr>
          <w:p w14:paraId="4BBF2F6D">
            <w:pPr>
              <w:widowControl/>
              <w:jc w:val="center"/>
              <w:rPr>
                <w:rFonts w:ascii="宋体" w:hAnsi="宋体" w:cs="宋体"/>
                <w:kern w:val="0"/>
                <w:sz w:val="18"/>
                <w:szCs w:val="18"/>
              </w:rPr>
            </w:pPr>
          </w:p>
        </w:tc>
        <w:tc>
          <w:tcPr>
            <w:tcW w:w="938" w:type="dxa"/>
            <w:shd w:val="clear" w:color="auto" w:fill="auto"/>
            <w:noWrap/>
            <w:vAlign w:val="center"/>
          </w:tcPr>
          <w:p w14:paraId="2CA1D42E">
            <w:pPr>
              <w:widowControl/>
              <w:jc w:val="center"/>
              <w:rPr>
                <w:rFonts w:ascii="宋体" w:hAnsi="宋体" w:cs="宋体"/>
                <w:kern w:val="0"/>
                <w:sz w:val="18"/>
                <w:szCs w:val="18"/>
              </w:rPr>
            </w:pPr>
          </w:p>
        </w:tc>
        <w:tc>
          <w:tcPr>
            <w:tcW w:w="1060" w:type="dxa"/>
            <w:shd w:val="clear" w:color="auto" w:fill="auto"/>
            <w:noWrap/>
            <w:vAlign w:val="center"/>
          </w:tcPr>
          <w:p w14:paraId="771E3AC7">
            <w:pPr>
              <w:widowControl/>
              <w:jc w:val="center"/>
              <w:rPr>
                <w:rFonts w:ascii="宋体" w:hAnsi="宋体" w:cs="宋体"/>
                <w:kern w:val="0"/>
                <w:sz w:val="18"/>
                <w:szCs w:val="18"/>
              </w:rPr>
            </w:pPr>
          </w:p>
        </w:tc>
        <w:tc>
          <w:tcPr>
            <w:tcW w:w="1060" w:type="dxa"/>
            <w:shd w:val="clear" w:color="auto" w:fill="auto"/>
            <w:noWrap/>
            <w:vAlign w:val="center"/>
          </w:tcPr>
          <w:p w14:paraId="7ACFE007">
            <w:pPr>
              <w:widowControl/>
              <w:jc w:val="center"/>
              <w:rPr>
                <w:rFonts w:ascii="宋体" w:hAnsi="宋体" w:cs="宋体"/>
                <w:kern w:val="0"/>
                <w:sz w:val="18"/>
                <w:szCs w:val="18"/>
              </w:rPr>
            </w:pPr>
          </w:p>
        </w:tc>
        <w:tc>
          <w:tcPr>
            <w:tcW w:w="1060" w:type="dxa"/>
            <w:shd w:val="clear" w:color="auto" w:fill="auto"/>
            <w:noWrap/>
            <w:vAlign w:val="center"/>
          </w:tcPr>
          <w:p w14:paraId="7F032135">
            <w:pPr>
              <w:widowControl/>
              <w:jc w:val="center"/>
              <w:rPr>
                <w:rFonts w:ascii="宋体" w:hAnsi="宋体" w:cs="宋体"/>
                <w:kern w:val="0"/>
                <w:sz w:val="20"/>
                <w:szCs w:val="20"/>
              </w:rPr>
            </w:pPr>
          </w:p>
        </w:tc>
        <w:tc>
          <w:tcPr>
            <w:tcW w:w="1060" w:type="dxa"/>
            <w:shd w:val="clear" w:color="auto" w:fill="auto"/>
            <w:noWrap/>
            <w:vAlign w:val="center"/>
          </w:tcPr>
          <w:p w14:paraId="5CE2B2EC">
            <w:pPr>
              <w:widowControl/>
              <w:jc w:val="center"/>
              <w:rPr>
                <w:rFonts w:ascii="宋体" w:hAnsi="宋体" w:cs="宋体"/>
                <w:kern w:val="0"/>
                <w:sz w:val="20"/>
                <w:szCs w:val="20"/>
              </w:rPr>
            </w:pPr>
          </w:p>
        </w:tc>
        <w:tc>
          <w:tcPr>
            <w:tcW w:w="1609" w:type="dxa"/>
            <w:shd w:val="clear" w:color="auto" w:fill="auto"/>
            <w:noWrap/>
            <w:vAlign w:val="center"/>
          </w:tcPr>
          <w:p w14:paraId="48895403">
            <w:pPr>
              <w:widowControl/>
              <w:jc w:val="center"/>
              <w:rPr>
                <w:rFonts w:ascii="宋体" w:hAnsi="宋体" w:cs="宋体"/>
                <w:kern w:val="0"/>
                <w:sz w:val="20"/>
                <w:szCs w:val="20"/>
              </w:rPr>
            </w:pPr>
          </w:p>
        </w:tc>
      </w:tr>
      <w:tr w14:paraId="53C2D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30" w:type="dxa"/>
            <w:shd w:val="clear" w:color="auto" w:fill="auto"/>
            <w:noWrap/>
            <w:vAlign w:val="center"/>
          </w:tcPr>
          <w:p w14:paraId="312D43E8">
            <w:pPr>
              <w:widowControl/>
              <w:jc w:val="center"/>
              <w:rPr>
                <w:rFonts w:ascii="宋体" w:hAnsi="宋体" w:cs="宋体"/>
                <w:kern w:val="0"/>
                <w:sz w:val="20"/>
                <w:szCs w:val="20"/>
              </w:rPr>
            </w:pPr>
            <w:r>
              <w:rPr>
                <w:rFonts w:hint="eastAsia" w:ascii="宋体" w:hAnsi="宋体" w:cs="宋体"/>
                <w:kern w:val="0"/>
                <w:sz w:val="20"/>
                <w:szCs w:val="20"/>
              </w:rPr>
              <w:t>22</w:t>
            </w:r>
          </w:p>
        </w:tc>
        <w:tc>
          <w:tcPr>
            <w:tcW w:w="1833" w:type="dxa"/>
            <w:shd w:val="clear" w:color="auto" w:fill="auto"/>
            <w:noWrap/>
            <w:vAlign w:val="center"/>
          </w:tcPr>
          <w:p w14:paraId="266ECD67">
            <w:pPr>
              <w:widowControl/>
              <w:jc w:val="center"/>
              <w:rPr>
                <w:rFonts w:ascii="宋体" w:hAnsi="宋体" w:cs="宋体"/>
                <w:kern w:val="0"/>
                <w:sz w:val="20"/>
                <w:szCs w:val="20"/>
              </w:rPr>
            </w:pPr>
            <w:r>
              <w:rPr>
                <w:rFonts w:hint="eastAsia" w:ascii="宋体" w:hAnsi="宋体" w:cs="宋体"/>
                <w:kern w:val="0"/>
                <w:sz w:val="20"/>
                <w:szCs w:val="20"/>
              </w:rPr>
              <w:t>合计</w:t>
            </w:r>
          </w:p>
        </w:tc>
        <w:tc>
          <w:tcPr>
            <w:tcW w:w="731" w:type="dxa"/>
            <w:shd w:val="clear" w:color="auto" w:fill="auto"/>
            <w:noWrap w:val="0"/>
            <w:vAlign w:val="center"/>
          </w:tcPr>
          <w:p w14:paraId="10C9933D">
            <w:pPr>
              <w:widowControl/>
              <w:jc w:val="center"/>
              <w:rPr>
                <w:rFonts w:ascii="宋体" w:hAnsi="宋体" w:cs="宋体"/>
                <w:kern w:val="0"/>
                <w:sz w:val="20"/>
                <w:szCs w:val="20"/>
              </w:rPr>
            </w:pPr>
            <w:r>
              <w:rPr>
                <w:rFonts w:hint="eastAsia" w:ascii="宋体" w:hAnsi="宋体" w:cs="宋体"/>
                <w:kern w:val="0"/>
                <w:sz w:val="20"/>
                <w:szCs w:val="20"/>
              </w:rPr>
              <w:t>*</w:t>
            </w:r>
          </w:p>
        </w:tc>
        <w:tc>
          <w:tcPr>
            <w:tcW w:w="1060" w:type="dxa"/>
            <w:shd w:val="clear" w:color="auto" w:fill="auto"/>
            <w:noWrap w:val="0"/>
            <w:vAlign w:val="center"/>
          </w:tcPr>
          <w:p w14:paraId="6D51983F">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noWrap w:val="0"/>
            <w:vAlign w:val="center"/>
          </w:tcPr>
          <w:p w14:paraId="704B629C">
            <w:pPr>
              <w:widowControl/>
              <w:jc w:val="center"/>
              <w:rPr>
                <w:rFonts w:ascii="宋体" w:hAnsi="宋体" w:cs="宋体"/>
                <w:kern w:val="0"/>
                <w:sz w:val="20"/>
                <w:szCs w:val="20"/>
              </w:rPr>
            </w:pPr>
            <w:r>
              <w:rPr>
                <w:rFonts w:hint="eastAsia" w:ascii="宋体" w:hAnsi="宋体" w:cs="宋体"/>
                <w:kern w:val="0"/>
                <w:sz w:val="20"/>
                <w:szCs w:val="20"/>
              </w:rPr>
              <w:t>*</w:t>
            </w:r>
          </w:p>
        </w:tc>
        <w:tc>
          <w:tcPr>
            <w:tcW w:w="1060" w:type="dxa"/>
            <w:shd w:val="clear" w:color="auto" w:fill="auto"/>
            <w:noWrap w:val="0"/>
            <w:vAlign w:val="center"/>
          </w:tcPr>
          <w:p w14:paraId="2AB8AB3E">
            <w:pPr>
              <w:widowControl/>
              <w:jc w:val="center"/>
              <w:rPr>
                <w:rFonts w:ascii="宋体" w:hAnsi="宋体" w:cs="宋体"/>
                <w:kern w:val="0"/>
                <w:sz w:val="20"/>
                <w:szCs w:val="20"/>
              </w:rPr>
            </w:pPr>
          </w:p>
        </w:tc>
        <w:tc>
          <w:tcPr>
            <w:tcW w:w="1060" w:type="dxa"/>
            <w:shd w:val="clear" w:color="auto" w:fill="auto"/>
            <w:noWrap/>
            <w:vAlign w:val="center"/>
          </w:tcPr>
          <w:p w14:paraId="2E86C1F0">
            <w:pPr>
              <w:widowControl/>
              <w:jc w:val="center"/>
              <w:rPr>
                <w:rFonts w:ascii="宋体" w:hAnsi="宋体" w:cs="宋体"/>
                <w:kern w:val="0"/>
                <w:sz w:val="18"/>
                <w:szCs w:val="18"/>
              </w:rPr>
            </w:pPr>
          </w:p>
        </w:tc>
        <w:tc>
          <w:tcPr>
            <w:tcW w:w="938" w:type="dxa"/>
            <w:shd w:val="clear" w:color="auto" w:fill="auto"/>
            <w:noWrap/>
            <w:vAlign w:val="center"/>
          </w:tcPr>
          <w:p w14:paraId="2CF6C32E">
            <w:pPr>
              <w:widowControl/>
              <w:jc w:val="center"/>
              <w:rPr>
                <w:rFonts w:ascii="宋体" w:hAnsi="宋体" w:cs="宋体"/>
                <w:kern w:val="0"/>
                <w:sz w:val="18"/>
                <w:szCs w:val="18"/>
              </w:rPr>
            </w:pPr>
          </w:p>
        </w:tc>
        <w:tc>
          <w:tcPr>
            <w:tcW w:w="1060" w:type="dxa"/>
            <w:shd w:val="clear" w:color="auto" w:fill="auto"/>
            <w:noWrap/>
            <w:vAlign w:val="center"/>
          </w:tcPr>
          <w:p w14:paraId="692BD69C">
            <w:pPr>
              <w:widowControl/>
              <w:jc w:val="center"/>
              <w:rPr>
                <w:rFonts w:ascii="宋体" w:hAnsi="宋体" w:cs="宋体"/>
                <w:kern w:val="0"/>
                <w:sz w:val="18"/>
                <w:szCs w:val="18"/>
              </w:rPr>
            </w:pPr>
          </w:p>
        </w:tc>
        <w:tc>
          <w:tcPr>
            <w:tcW w:w="1060" w:type="dxa"/>
            <w:shd w:val="clear" w:color="auto" w:fill="auto"/>
            <w:noWrap/>
            <w:vAlign w:val="center"/>
          </w:tcPr>
          <w:p w14:paraId="664E30C5">
            <w:pPr>
              <w:widowControl/>
              <w:jc w:val="center"/>
              <w:rPr>
                <w:rFonts w:ascii="宋体" w:hAnsi="宋体" w:cs="宋体"/>
                <w:kern w:val="0"/>
                <w:sz w:val="18"/>
                <w:szCs w:val="18"/>
              </w:rPr>
            </w:pPr>
          </w:p>
        </w:tc>
        <w:tc>
          <w:tcPr>
            <w:tcW w:w="1060" w:type="dxa"/>
            <w:shd w:val="clear" w:color="auto" w:fill="auto"/>
            <w:noWrap/>
            <w:vAlign w:val="center"/>
          </w:tcPr>
          <w:p w14:paraId="1D14911D">
            <w:pPr>
              <w:widowControl/>
              <w:jc w:val="center"/>
              <w:rPr>
                <w:rFonts w:ascii="宋体" w:hAnsi="宋体" w:cs="宋体"/>
                <w:kern w:val="0"/>
                <w:sz w:val="18"/>
                <w:szCs w:val="18"/>
              </w:rPr>
            </w:pPr>
          </w:p>
        </w:tc>
        <w:tc>
          <w:tcPr>
            <w:tcW w:w="1060" w:type="dxa"/>
            <w:shd w:val="clear" w:color="auto" w:fill="auto"/>
            <w:noWrap/>
            <w:vAlign w:val="center"/>
          </w:tcPr>
          <w:p w14:paraId="22CE7E5D">
            <w:pPr>
              <w:widowControl/>
              <w:jc w:val="center"/>
              <w:rPr>
                <w:rFonts w:ascii="宋体" w:hAnsi="宋体" w:cs="宋体"/>
                <w:kern w:val="0"/>
                <w:sz w:val="18"/>
                <w:szCs w:val="18"/>
              </w:rPr>
            </w:pPr>
          </w:p>
        </w:tc>
        <w:tc>
          <w:tcPr>
            <w:tcW w:w="1609" w:type="dxa"/>
            <w:shd w:val="clear" w:color="auto" w:fill="auto"/>
            <w:noWrap/>
            <w:vAlign w:val="center"/>
          </w:tcPr>
          <w:p w14:paraId="6CCB0B28">
            <w:pPr>
              <w:widowControl/>
              <w:jc w:val="center"/>
              <w:rPr>
                <w:rFonts w:ascii="宋体" w:hAnsi="宋体" w:cs="宋体"/>
                <w:kern w:val="0"/>
                <w:sz w:val="18"/>
                <w:szCs w:val="18"/>
              </w:rPr>
            </w:pPr>
          </w:p>
        </w:tc>
      </w:tr>
    </w:tbl>
    <w:p w14:paraId="5290679A">
      <w:pPr>
        <w:pStyle w:val="11"/>
      </w:pPr>
    </w:p>
    <w:p w14:paraId="761E6020">
      <w:pPr>
        <w:pStyle w:val="9"/>
        <w:sectPr>
          <w:pgSz w:w="16838" w:h="11906" w:orient="landscape"/>
          <w:pgMar w:top="1418" w:right="1985" w:bottom="1418" w:left="1928" w:header="851" w:footer="992" w:gutter="113"/>
          <w:cols w:space="425" w:num="1"/>
          <w:docGrid w:linePitch="312" w:charSpace="0"/>
        </w:sectPr>
      </w:pPr>
    </w:p>
    <w:p w14:paraId="205D5914">
      <w:pPr>
        <w:pStyle w:val="12"/>
        <w:rPr>
          <w:rFonts w:hint="eastAsia" w:asciiTheme="majorEastAsia" w:hAnsiTheme="majorEastAsia" w:eastAsiaTheme="majorEastAsia" w:cstheme="majorEastAsia"/>
          <w:b/>
          <w:bCs/>
          <w:lang w:eastAsia="zh-CN"/>
        </w:rPr>
      </w:pPr>
      <w:bookmarkStart w:id="1" w:name="_Toc24965065"/>
      <w:bookmarkStart w:id="2" w:name="_Toc527722753"/>
      <w:r>
        <w:rPr>
          <w:rFonts w:hint="eastAsia" w:asciiTheme="majorEastAsia" w:hAnsiTheme="majorEastAsia" w:eastAsiaTheme="majorEastAsia" w:cstheme="majorEastAsia"/>
          <w:b/>
          <w:bCs/>
        </w:rPr>
        <w:t>A107020</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《所得减免优惠明细表》填报说明</w:t>
      </w:r>
      <w:bookmarkEnd w:id="1"/>
      <w:bookmarkEnd w:id="2"/>
      <w:r>
        <w:rPr>
          <w:rFonts w:hint="eastAsia" w:asciiTheme="majorEastAsia" w:hAnsiTheme="majorEastAsia" w:eastAsiaTheme="majorEastAsia" w:cstheme="majorEastAsia"/>
          <w:b/>
          <w:bCs/>
          <w:lang w:eastAsia="zh-CN"/>
        </w:rPr>
        <w:t>（</w:t>
      </w:r>
      <w:r>
        <w:rPr>
          <w:rFonts w:hint="eastAsia" w:asciiTheme="majorEastAsia" w:hAnsiTheme="majorEastAsia" w:eastAsiaTheme="majorEastAsia" w:cstheme="majorEastAsia"/>
          <w:b/>
          <w:bCs/>
          <w:lang w:val="en-US" w:eastAsia="zh-CN"/>
        </w:rPr>
        <w:t>旧</w:t>
      </w:r>
      <w:r>
        <w:rPr>
          <w:rFonts w:hint="eastAsia" w:asciiTheme="majorEastAsia" w:hAnsiTheme="majorEastAsia" w:eastAsiaTheme="majorEastAsia" w:cstheme="majorEastAsia"/>
          <w:b/>
          <w:bCs/>
          <w:lang w:eastAsia="zh-CN"/>
        </w:rPr>
        <w:t>）</w:t>
      </w:r>
    </w:p>
    <w:p w14:paraId="0BFED08D">
      <w:pPr>
        <w:pStyle w:val="11"/>
      </w:pPr>
      <w:r>
        <w:rPr>
          <w:rFonts w:hint="eastAsia"/>
        </w:rPr>
        <w:t>本表适用于享受所得减免优惠政策的纳税人填报。纳税人根据税法及相关税收政策规定，填报本年发生的所得减免优惠情况，《中华人民共和国企业所得税年度纳税申报表（</w:t>
      </w:r>
      <w:r>
        <w:t>A</w:t>
      </w:r>
      <w:r>
        <w:rPr>
          <w:rFonts w:hint="eastAsia"/>
        </w:rPr>
        <w:t>类）》（</w:t>
      </w:r>
      <w:r>
        <w:t>A100000</w:t>
      </w:r>
      <w:r>
        <w:rPr>
          <w:rFonts w:hint="eastAsia"/>
        </w:rPr>
        <w:t>）第</w:t>
      </w:r>
      <w:r>
        <w:t>19</w:t>
      </w:r>
      <w:r>
        <w:rPr>
          <w:rFonts w:hint="eastAsia"/>
        </w:rPr>
        <w:t>行“纳税调整后所得”为负数的，无需填报本表。</w:t>
      </w:r>
    </w:p>
    <w:p w14:paraId="1D16A925">
      <w:pPr>
        <w:pStyle w:val="13"/>
        <w:ind w:firstLine="482"/>
      </w:pPr>
      <w:bookmarkStart w:id="3" w:name="_Toc21711245"/>
      <w:bookmarkStart w:id="4" w:name="_Toc21703761"/>
      <w:bookmarkStart w:id="5" w:name="_Toc24965066"/>
      <w:bookmarkStart w:id="6" w:name="_Toc21712283"/>
      <w:r>
        <w:rPr>
          <w:rFonts w:hint="eastAsia"/>
        </w:rPr>
        <w:t>一、有关项目填报说明</w:t>
      </w:r>
      <w:bookmarkEnd w:id="3"/>
      <w:bookmarkEnd w:id="4"/>
      <w:bookmarkEnd w:id="5"/>
      <w:bookmarkEnd w:id="6"/>
    </w:p>
    <w:p w14:paraId="7ADD405F">
      <w:pPr>
        <w:pStyle w:val="14"/>
      </w:pPr>
      <w:bookmarkStart w:id="7" w:name="_Toc24965067"/>
      <w:bookmarkStart w:id="8" w:name="_Toc21703762"/>
      <w:bookmarkStart w:id="9" w:name="_Toc21711246"/>
      <w:bookmarkStart w:id="10" w:name="_Toc21712284"/>
      <w:r>
        <w:rPr>
          <w:rFonts w:hint="eastAsia"/>
        </w:rPr>
        <w:t>（一）列次填报</w:t>
      </w:r>
      <w:bookmarkEnd w:id="7"/>
      <w:bookmarkEnd w:id="8"/>
      <w:bookmarkEnd w:id="9"/>
      <w:bookmarkEnd w:id="10"/>
    </w:p>
    <w:p w14:paraId="0F032677">
      <w:pPr>
        <w:pStyle w:val="11"/>
      </w:pPr>
      <w:r>
        <w:t>1.</w:t>
      </w:r>
      <w:r>
        <w:rPr>
          <w:rFonts w:hint="eastAsia"/>
        </w:rPr>
        <w:t>第</w:t>
      </w:r>
      <w:r>
        <w:t>1</w:t>
      </w:r>
      <w:r>
        <w:rPr>
          <w:rFonts w:hint="eastAsia"/>
        </w:rPr>
        <w:t>列“项目名称”：填报纳税人享受减免所得优惠的项目在会计核算上的名称。项目名称以纳税人内部规范称谓为准。</w:t>
      </w:r>
    </w:p>
    <w:p w14:paraId="565E87F3">
      <w:pPr>
        <w:pStyle w:val="11"/>
      </w:pPr>
      <w:r>
        <w:t>2.</w:t>
      </w:r>
      <w:r>
        <w:rPr>
          <w:rFonts w:hint="eastAsia"/>
        </w:rPr>
        <w:t>第</w:t>
      </w:r>
      <w:r>
        <w:t>2</w:t>
      </w:r>
      <w:r>
        <w:rPr>
          <w:rFonts w:hint="eastAsia"/>
        </w:rPr>
        <w:t>列“优惠事项名称”：按照该项目享受所得减免企业所得税优惠事项的具体政策内容选择填报。具体说明如下：</w:t>
      </w:r>
    </w:p>
    <w:p w14:paraId="3BC64BC3">
      <w:pPr>
        <w:pStyle w:val="11"/>
      </w:pPr>
      <w:r>
        <w:rPr>
          <w:rFonts w:hint="eastAsia"/>
        </w:rPr>
        <w:t>（</w:t>
      </w:r>
      <w:r>
        <w:t>1</w:t>
      </w:r>
      <w:r>
        <w:rPr>
          <w:rFonts w:hint="eastAsia"/>
        </w:rPr>
        <w:t>）“一、农、林、牧、渔业项目”</w:t>
      </w:r>
    </w:p>
    <w:p w14:paraId="4F5D2C66">
      <w:pPr>
        <w:pStyle w:val="11"/>
      </w:pPr>
      <w:r>
        <w:rPr>
          <w:rFonts w:hint="eastAsia"/>
        </w:rPr>
        <w:t>在以下优惠事项中选择填报：</w:t>
      </w:r>
      <w:r>
        <w:t>1.</w:t>
      </w:r>
      <w:r>
        <w:rPr>
          <w:rFonts w:hint="eastAsia"/>
        </w:rPr>
        <w:t>蔬菜、谷物、薯类、油料、豆类、棉花、麻类、糖料、水果、坚果的种植；</w:t>
      </w:r>
      <w:r>
        <w:t>2.</w:t>
      </w:r>
      <w:r>
        <w:rPr>
          <w:rFonts w:hint="eastAsia"/>
        </w:rPr>
        <w:t>农作物新品种的选育；</w:t>
      </w:r>
      <w:r>
        <w:t>3.</w:t>
      </w:r>
      <w:r>
        <w:rPr>
          <w:rFonts w:hint="eastAsia"/>
        </w:rPr>
        <w:t>中药材的种植；</w:t>
      </w:r>
      <w:r>
        <w:t>4.</w:t>
      </w:r>
      <w:r>
        <w:rPr>
          <w:rFonts w:hint="eastAsia"/>
        </w:rPr>
        <w:t>林木的培育和种植；</w:t>
      </w:r>
      <w:r>
        <w:t>5.</w:t>
      </w:r>
      <w:r>
        <w:rPr>
          <w:rFonts w:hint="eastAsia"/>
        </w:rPr>
        <w:t>牲畜、家禽的饲养；</w:t>
      </w:r>
      <w:r>
        <w:t>6.</w:t>
      </w:r>
      <w:r>
        <w:rPr>
          <w:rFonts w:hint="eastAsia"/>
        </w:rPr>
        <w:t>林产品的采集；</w:t>
      </w:r>
      <w:r>
        <w:t>7.</w:t>
      </w:r>
      <w:r>
        <w:rPr>
          <w:rFonts w:hint="eastAsia"/>
        </w:rPr>
        <w:t>灌溉、兽医、农技推广、农机作业和维修等农、林、牧、渔服务业项目；</w:t>
      </w:r>
      <w:r>
        <w:t>8.</w:t>
      </w:r>
      <w:r>
        <w:rPr>
          <w:rFonts w:hint="eastAsia"/>
        </w:rPr>
        <w:t>农产品初加工；</w:t>
      </w:r>
      <w:r>
        <w:t>9.</w:t>
      </w:r>
      <w:r>
        <w:rPr>
          <w:rFonts w:hint="eastAsia"/>
        </w:rPr>
        <w:t>远洋捕捞；</w:t>
      </w:r>
      <w:r>
        <w:t>10.</w:t>
      </w:r>
      <w:r>
        <w:rPr>
          <w:rFonts w:hint="eastAsia"/>
        </w:rPr>
        <w:t>花卉、茶以及其他饮料作物和香料作物的种植；</w:t>
      </w:r>
      <w:r>
        <w:t>11.</w:t>
      </w:r>
      <w:r>
        <w:rPr>
          <w:rFonts w:hint="eastAsia"/>
        </w:rPr>
        <w:t>海水养殖、内陆养殖；</w:t>
      </w:r>
      <w:r>
        <w:t>12.</w:t>
      </w:r>
      <w:r>
        <w:rPr>
          <w:rFonts w:hint="eastAsia"/>
        </w:rPr>
        <w:t>其他。</w:t>
      </w:r>
    </w:p>
    <w:p w14:paraId="45F0C651">
      <w:pPr>
        <w:pStyle w:val="11"/>
      </w:pPr>
      <w:r>
        <w:rPr>
          <w:rFonts w:hint="eastAsia"/>
        </w:rPr>
        <w:t>（</w:t>
      </w:r>
      <w:r>
        <w:t>2</w:t>
      </w:r>
      <w:r>
        <w:rPr>
          <w:rFonts w:hint="eastAsia"/>
        </w:rPr>
        <w:t>）“二、国家重点扶持的公共基础设施项目”</w:t>
      </w:r>
    </w:p>
    <w:p w14:paraId="2B5EC327">
      <w:pPr>
        <w:pStyle w:val="11"/>
      </w:pPr>
      <w:r>
        <w:rPr>
          <w:rFonts w:hint="eastAsia"/>
        </w:rPr>
        <w:t>在以下优惠事项中选择填报：</w:t>
      </w:r>
      <w:r>
        <w:t>1.</w:t>
      </w:r>
      <w:r>
        <w:rPr>
          <w:rFonts w:hint="eastAsia"/>
        </w:rPr>
        <w:t>港口码头项目；</w:t>
      </w:r>
      <w:r>
        <w:t>2.</w:t>
      </w:r>
      <w:r>
        <w:rPr>
          <w:rFonts w:hint="eastAsia"/>
        </w:rPr>
        <w:t>机场项目；</w:t>
      </w:r>
      <w:r>
        <w:t>3.</w:t>
      </w:r>
      <w:r>
        <w:rPr>
          <w:rFonts w:hint="eastAsia"/>
        </w:rPr>
        <w:t>铁路项目；</w:t>
      </w:r>
      <w:r>
        <w:t>4.</w:t>
      </w:r>
      <w:r>
        <w:rPr>
          <w:rFonts w:hint="eastAsia"/>
        </w:rPr>
        <w:t>公路项目；</w:t>
      </w:r>
      <w:r>
        <w:t>5.</w:t>
      </w:r>
      <w:r>
        <w:rPr>
          <w:rFonts w:hint="eastAsia"/>
        </w:rPr>
        <w:t>城市公共交通项目；</w:t>
      </w:r>
      <w:r>
        <w:t>6.</w:t>
      </w:r>
      <w:r>
        <w:rPr>
          <w:rFonts w:hint="eastAsia"/>
        </w:rPr>
        <w:t>电力项目；</w:t>
      </w:r>
      <w:r>
        <w:t>7.</w:t>
      </w:r>
      <w:r>
        <w:rPr>
          <w:rFonts w:hint="eastAsia"/>
        </w:rPr>
        <w:t>水利项目（不含农村饮水安全工程）；</w:t>
      </w:r>
      <w:r>
        <w:t>8.</w:t>
      </w:r>
      <w:r>
        <w:rPr>
          <w:rFonts w:hint="eastAsia"/>
        </w:rPr>
        <w:t>农村饮水安全工程；</w:t>
      </w:r>
      <w:r>
        <w:t>9.</w:t>
      </w:r>
      <w:r>
        <w:rPr>
          <w:rFonts w:hint="eastAsia"/>
        </w:rPr>
        <w:t>其他项目。</w:t>
      </w:r>
    </w:p>
    <w:p w14:paraId="16D868CB">
      <w:pPr>
        <w:pStyle w:val="11"/>
      </w:pPr>
      <w:r>
        <w:rPr>
          <w:rFonts w:hint="eastAsia"/>
        </w:rPr>
        <w:t>（</w:t>
      </w:r>
      <w:r>
        <w:t>3</w:t>
      </w:r>
      <w:r>
        <w:rPr>
          <w:rFonts w:hint="eastAsia"/>
        </w:rPr>
        <w:t>）“三、符合条件的环境保护、节能节水项目”</w:t>
      </w:r>
    </w:p>
    <w:p w14:paraId="5503B601">
      <w:pPr>
        <w:pStyle w:val="11"/>
      </w:pPr>
      <w:r>
        <w:rPr>
          <w:rFonts w:hint="eastAsia"/>
        </w:rPr>
        <w:t>在以下优惠事项中选择填报：</w:t>
      </w:r>
      <w:r>
        <w:t>1.</w:t>
      </w:r>
      <w:r>
        <w:rPr>
          <w:rFonts w:hint="eastAsia"/>
        </w:rPr>
        <w:t>公共污水处理项目；</w:t>
      </w:r>
      <w:r>
        <w:t>2.</w:t>
      </w:r>
      <w:r>
        <w:rPr>
          <w:rFonts w:hint="eastAsia"/>
        </w:rPr>
        <w:t>公共垃圾处理项目；</w:t>
      </w:r>
      <w:r>
        <w:t>3.</w:t>
      </w:r>
      <w:r>
        <w:rPr>
          <w:rFonts w:hint="eastAsia"/>
        </w:rPr>
        <w:t>沼气综合开发利用项目；</w:t>
      </w:r>
      <w:r>
        <w:t>4.</w:t>
      </w:r>
      <w:r>
        <w:rPr>
          <w:rFonts w:hint="eastAsia"/>
        </w:rPr>
        <w:t>节能减排技术改造项目；</w:t>
      </w:r>
      <w:r>
        <w:t>5.</w:t>
      </w:r>
      <w:r>
        <w:rPr>
          <w:rFonts w:hint="eastAsia"/>
        </w:rPr>
        <w:t>海水淡化项目；</w:t>
      </w:r>
      <w:r>
        <w:t>6.</w:t>
      </w:r>
      <w:r>
        <w:rPr>
          <w:rFonts w:hint="eastAsia"/>
        </w:rPr>
        <w:t>其他项目。</w:t>
      </w:r>
    </w:p>
    <w:p w14:paraId="7F0BA159">
      <w:pPr>
        <w:pStyle w:val="11"/>
      </w:pPr>
      <w:r>
        <w:rPr>
          <w:rFonts w:hint="eastAsia"/>
        </w:rPr>
        <w:t>（</w:t>
      </w:r>
      <w:r>
        <w:t>4</w:t>
      </w:r>
      <w:r>
        <w:rPr>
          <w:rFonts w:hint="eastAsia"/>
        </w:rPr>
        <w:t>）“四、符合条件的技术转让项目”：本列无需填报。</w:t>
      </w:r>
    </w:p>
    <w:p w14:paraId="083B7EC5">
      <w:pPr>
        <w:pStyle w:val="11"/>
      </w:pPr>
      <w:r>
        <w:rPr>
          <w:rFonts w:hint="eastAsia"/>
        </w:rPr>
        <w:t>（</w:t>
      </w:r>
      <w:r>
        <w:t>5</w:t>
      </w:r>
      <w:r>
        <w:rPr>
          <w:rFonts w:hint="eastAsia"/>
        </w:rPr>
        <w:t>）“五、清洁发展机制项目”：本列无需填报。</w:t>
      </w:r>
    </w:p>
    <w:p w14:paraId="2D291AD3">
      <w:pPr>
        <w:pStyle w:val="11"/>
      </w:pPr>
      <w:r>
        <w:rPr>
          <w:rFonts w:hint="eastAsia"/>
        </w:rPr>
        <w:t>（</w:t>
      </w:r>
      <w:r>
        <w:t>6</w:t>
      </w:r>
      <w:r>
        <w:rPr>
          <w:rFonts w:hint="eastAsia"/>
        </w:rPr>
        <w:t>）“六、符合条件的节能服务公司实施合同能源管理项目”：本列无需填报。</w:t>
      </w:r>
    </w:p>
    <w:p w14:paraId="521A9DAD">
      <w:pPr>
        <w:pStyle w:val="11"/>
      </w:pPr>
      <w:r>
        <w:rPr>
          <w:rFonts w:hint="eastAsia"/>
        </w:rPr>
        <w:t>（</w:t>
      </w:r>
      <w:r>
        <w:t>7</w:t>
      </w:r>
      <w:r>
        <w:rPr>
          <w:rFonts w:hint="eastAsia"/>
        </w:rPr>
        <w:t>）“七、线宽小于</w:t>
      </w:r>
      <w:r>
        <w:t>130</w:t>
      </w:r>
      <w:r>
        <w:rPr>
          <w:rFonts w:hint="eastAsia"/>
        </w:rPr>
        <w:t>纳米的集成电路生产项目”：本列无需填报。</w:t>
      </w:r>
    </w:p>
    <w:p w14:paraId="00ED1F4C">
      <w:pPr>
        <w:pStyle w:val="11"/>
      </w:pPr>
      <w:r>
        <w:rPr>
          <w:rFonts w:hint="eastAsia"/>
        </w:rPr>
        <w:t>（</w:t>
      </w:r>
      <w:r>
        <w:t>8</w:t>
      </w:r>
      <w:r>
        <w:rPr>
          <w:rFonts w:hint="eastAsia"/>
        </w:rPr>
        <w:t>）“八、线宽小于</w:t>
      </w:r>
      <w:r>
        <w:t>65</w:t>
      </w:r>
      <w:r>
        <w:rPr>
          <w:rFonts w:hint="eastAsia"/>
        </w:rPr>
        <w:t>纳米或投资额超过</w:t>
      </w:r>
      <w:r>
        <w:t>150</w:t>
      </w:r>
      <w:r>
        <w:rPr>
          <w:rFonts w:hint="eastAsia"/>
        </w:rPr>
        <w:t>亿元的集成电路生产项目”：本列无需填报。</w:t>
      </w:r>
    </w:p>
    <w:p w14:paraId="596D9CA6">
      <w:pPr>
        <w:pStyle w:val="11"/>
      </w:pPr>
      <w:r>
        <w:rPr>
          <w:rFonts w:hint="eastAsia"/>
        </w:rPr>
        <w:t>（</w:t>
      </w:r>
      <w:r>
        <w:t>9</w:t>
      </w:r>
      <w:r>
        <w:rPr>
          <w:rFonts w:hint="eastAsia"/>
        </w:rPr>
        <w:t>）“九、其他”：填报上述所得减免优惠项目以外的其他所得减免优惠政策具体名称。</w:t>
      </w:r>
    </w:p>
    <w:p w14:paraId="63F25F3D">
      <w:pPr>
        <w:pStyle w:val="11"/>
      </w:pPr>
      <w:r>
        <w:t>3.</w:t>
      </w:r>
      <w:r>
        <w:rPr>
          <w:rFonts w:hint="eastAsia"/>
        </w:rPr>
        <w:t>第</w:t>
      </w:r>
      <w:r>
        <w:t>3</w:t>
      </w:r>
      <w:r>
        <w:rPr>
          <w:rFonts w:hint="eastAsia"/>
        </w:rPr>
        <w:t>列“优惠方式”：填报该项目享受所得减免企业所得税优惠的具体方式。该项目享受免征企业所得税优惠的，填报“免税”；项目享受减半征税企业所得税优惠的，填报“减半征收”。</w:t>
      </w:r>
    </w:p>
    <w:p w14:paraId="3464D9BD">
      <w:pPr>
        <w:pStyle w:val="11"/>
      </w:pPr>
      <w:r>
        <w:t>4.</w:t>
      </w:r>
      <w:r>
        <w:rPr>
          <w:rFonts w:hint="eastAsia"/>
        </w:rPr>
        <w:t>第</w:t>
      </w:r>
      <w:r>
        <w:t>4</w:t>
      </w:r>
      <w:r>
        <w:rPr>
          <w:rFonts w:hint="eastAsia"/>
        </w:rPr>
        <w:t>列“项目收入”：填报享受所得减免企业所得税优惠项目取得的收入总额。</w:t>
      </w:r>
    </w:p>
    <w:p w14:paraId="3CF85007">
      <w:pPr>
        <w:pStyle w:val="11"/>
      </w:pPr>
      <w:r>
        <w:t>5.</w:t>
      </w:r>
      <w:r>
        <w:rPr>
          <w:rFonts w:hint="eastAsia"/>
        </w:rPr>
        <w:t>第</w:t>
      </w:r>
      <w:r>
        <w:t>5</w:t>
      </w:r>
      <w:r>
        <w:rPr>
          <w:rFonts w:hint="eastAsia"/>
        </w:rPr>
        <w:t>列“项目成本”：填报享受所得减免企业所得税优惠项目发生的成本总额。</w:t>
      </w:r>
    </w:p>
    <w:p w14:paraId="65AB4D60">
      <w:pPr>
        <w:pStyle w:val="11"/>
      </w:pPr>
      <w:r>
        <w:t>6.</w:t>
      </w:r>
      <w:r>
        <w:rPr>
          <w:rFonts w:hint="eastAsia"/>
        </w:rPr>
        <w:t>第</w:t>
      </w:r>
      <w:r>
        <w:t>6</w:t>
      </w:r>
      <w:r>
        <w:rPr>
          <w:rFonts w:hint="eastAsia"/>
        </w:rPr>
        <w:t>列“相关税费”：填报享受所得减免企业所得税优惠项目实际发生的有关税费总额，包括除企业所得税和允许抵扣的增值税以外的各项税金及其附加、合同签订费用、律师费等相关费用及其他支出。</w:t>
      </w:r>
    </w:p>
    <w:p w14:paraId="64841383">
      <w:pPr>
        <w:pStyle w:val="11"/>
      </w:pPr>
      <w:r>
        <w:t>7.</w:t>
      </w:r>
      <w:r>
        <w:rPr>
          <w:rFonts w:hint="eastAsia"/>
        </w:rPr>
        <w:t>第</w:t>
      </w:r>
      <w:r>
        <w:t>7</w:t>
      </w:r>
      <w:r>
        <w:rPr>
          <w:rFonts w:hint="eastAsia"/>
        </w:rPr>
        <w:t>列“应分摊期间费用”：填报享受所得减免企业所得税优惠项目合理分摊的期间费用总额。合理分摊比例可以按照投资额、销售收入、资产额、人员工资等参数确定，一经确定，不得随意变更。</w:t>
      </w:r>
    </w:p>
    <w:p w14:paraId="55D53F82">
      <w:pPr>
        <w:pStyle w:val="11"/>
      </w:pPr>
      <w:r>
        <w:t>8.</w:t>
      </w:r>
      <w:r>
        <w:rPr>
          <w:rFonts w:hint="eastAsia"/>
        </w:rPr>
        <w:t>第</w:t>
      </w:r>
      <w:r>
        <w:t>8</w:t>
      </w:r>
      <w:r>
        <w:rPr>
          <w:rFonts w:hint="eastAsia"/>
        </w:rPr>
        <w:t>列“纳税调整额”：填报纳税人按照税收规定需要调整减免税项目收入、成本、费用的金额，纳税调减以“</w:t>
      </w:r>
      <w:r>
        <w:t>-</w:t>
      </w:r>
      <w:r>
        <w:rPr>
          <w:rFonts w:hint="eastAsia"/>
        </w:rPr>
        <w:t>”号填列。</w:t>
      </w:r>
    </w:p>
    <w:p w14:paraId="45CD9529">
      <w:pPr>
        <w:pStyle w:val="11"/>
      </w:pPr>
      <w:r>
        <w:t>9.</w:t>
      </w:r>
      <w:r>
        <w:rPr>
          <w:rFonts w:hint="eastAsia"/>
        </w:rPr>
        <w:t>第</w:t>
      </w:r>
      <w:r>
        <w:t>9</w:t>
      </w:r>
      <w:r>
        <w:rPr>
          <w:rFonts w:hint="eastAsia"/>
        </w:rPr>
        <w:t>列“项目所得额</w:t>
      </w:r>
      <w:r>
        <w:t>\</w:t>
      </w:r>
      <w:r>
        <w:rPr>
          <w:rFonts w:hint="eastAsia"/>
        </w:rPr>
        <w:t>免税项目”：填报享受所得减免企业所得税优惠的纳税人计算确认的本期免税项目所得额。本列根据第</w:t>
      </w:r>
      <w:r>
        <w:t>3</w:t>
      </w:r>
      <w:r>
        <w:rPr>
          <w:rFonts w:hint="eastAsia"/>
        </w:rPr>
        <w:t>列分析填报，第</w:t>
      </w:r>
      <w:r>
        <w:t>3</w:t>
      </w:r>
      <w:r>
        <w:rPr>
          <w:rFonts w:hint="eastAsia"/>
        </w:rPr>
        <w:t>列填报“免税”的，填报第</w:t>
      </w:r>
      <w:r>
        <w:t>4-5-6-7+8</w:t>
      </w:r>
      <w:r>
        <w:rPr>
          <w:rFonts w:hint="eastAsia"/>
        </w:rPr>
        <w:t>列金额，当第</w:t>
      </w:r>
      <w:r>
        <w:t>4-5-6-7+8</w:t>
      </w:r>
      <w:r>
        <w:rPr>
          <w:rFonts w:hint="eastAsia"/>
        </w:rPr>
        <w:t>列＜</w:t>
      </w:r>
      <w:r>
        <w:t>0</w:t>
      </w:r>
      <w:r>
        <w:rPr>
          <w:rFonts w:hint="eastAsia"/>
        </w:rPr>
        <w:t>时，填报</w:t>
      </w:r>
      <w:r>
        <w:t>0</w:t>
      </w:r>
      <w:r>
        <w:rPr>
          <w:rFonts w:hint="eastAsia"/>
        </w:rPr>
        <w:t>。</w:t>
      </w:r>
    </w:p>
    <w:p w14:paraId="1C3B6F17">
      <w:pPr>
        <w:pStyle w:val="11"/>
      </w:pPr>
      <w:r>
        <w:rPr>
          <w:rFonts w:hint="eastAsia"/>
        </w:rPr>
        <w:t>第</w:t>
      </w:r>
      <w:r>
        <w:t>9</w:t>
      </w:r>
      <w:r>
        <w:rPr>
          <w:rFonts w:hint="eastAsia"/>
        </w:rPr>
        <w:t>列“四、符合条件的技术转让项目”的“小计”行：当第</w:t>
      </w:r>
      <w:r>
        <w:t>4-5-6-7+8</w:t>
      </w:r>
      <w:r>
        <w:rPr>
          <w:rFonts w:hint="eastAsia"/>
        </w:rPr>
        <w:t>列≤</w:t>
      </w:r>
      <w:r>
        <w:t>500</w:t>
      </w:r>
      <w:r>
        <w:rPr>
          <w:rFonts w:hint="eastAsia"/>
        </w:rPr>
        <w:t>万元时，填报第</w:t>
      </w:r>
      <w:r>
        <w:t>4-5-6-7+8</w:t>
      </w:r>
      <w:r>
        <w:rPr>
          <w:rFonts w:hint="eastAsia"/>
        </w:rPr>
        <w:t>列金额（超过</w:t>
      </w:r>
      <w:r>
        <w:t>500</w:t>
      </w:r>
      <w:r>
        <w:rPr>
          <w:rFonts w:hint="eastAsia"/>
        </w:rPr>
        <w:t>万元部分的金额填入第</w:t>
      </w:r>
      <w:r>
        <w:t>10</w:t>
      </w:r>
      <w:r>
        <w:rPr>
          <w:rFonts w:hint="eastAsia"/>
        </w:rPr>
        <w:t>列）；当第</w:t>
      </w:r>
      <w:r>
        <w:t>4-5-6-7+8</w:t>
      </w:r>
      <w:r>
        <w:rPr>
          <w:rFonts w:hint="eastAsia"/>
        </w:rPr>
        <w:t>列＜</w:t>
      </w:r>
      <w:r>
        <w:t>0</w:t>
      </w:r>
      <w:r>
        <w:rPr>
          <w:rFonts w:hint="eastAsia"/>
        </w:rPr>
        <w:t>时，填报</w:t>
      </w:r>
      <w:r>
        <w:t>0</w:t>
      </w:r>
      <w:r>
        <w:rPr>
          <w:rFonts w:hint="eastAsia"/>
        </w:rPr>
        <w:t>。</w:t>
      </w:r>
    </w:p>
    <w:p w14:paraId="4E14D070">
      <w:pPr>
        <w:pStyle w:val="11"/>
      </w:pPr>
      <w:r>
        <w:t>10.</w:t>
      </w:r>
      <w:r>
        <w:rPr>
          <w:rFonts w:hint="eastAsia"/>
        </w:rPr>
        <w:t>第</w:t>
      </w:r>
      <w:r>
        <w:t>10</w:t>
      </w:r>
      <w:r>
        <w:rPr>
          <w:rFonts w:hint="eastAsia"/>
        </w:rPr>
        <w:t>列“项目所得额</w:t>
      </w:r>
      <w:r>
        <w:t>\</w:t>
      </w:r>
      <w:r>
        <w:rPr>
          <w:rFonts w:hint="eastAsia"/>
        </w:rPr>
        <w:t>减半项目”：填报享受所得减免企业所得税优惠的纳税人本期经计算确认的减半征收项目所得额。本列根据第</w:t>
      </w:r>
      <w:r>
        <w:t>3</w:t>
      </w:r>
      <w:r>
        <w:rPr>
          <w:rFonts w:hint="eastAsia"/>
        </w:rPr>
        <w:t>列分析填报，第</w:t>
      </w:r>
      <w:r>
        <w:t>3</w:t>
      </w:r>
      <w:r>
        <w:rPr>
          <w:rFonts w:hint="eastAsia"/>
        </w:rPr>
        <w:t>列填报“减半征税”的，填报第</w:t>
      </w:r>
      <w:r>
        <w:t>4-5-6-7+8</w:t>
      </w:r>
      <w:r>
        <w:rPr>
          <w:rFonts w:hint="eastAsia"/>
        </w:rPr>
        <w:t>列金额，当第</w:t>
      </w:r>
      <w:r>
        <w:t>4-5-6-7+8</w:t>
      </w:r>
      <w:r>
        <w:rPr>
          <w:rFonts w:hint="eastAsia"/>
        </w:rPr>
        <w:t>列＜</w:t>
      </w:r>
      <w:r>
        <w:t>0</w:t>
      </w:r>
      <w:r>
        <w:rPr>
          <w:rFonts w:hint="eastAsia"/>
        </w:rPr>
        <w:t>时，填报</w:t>
      </w:r>
      <w:r>
        <w:t>0</w:t>
      </w:r>
      <w:r>
        <w:rPr>
          <w:rFonts w:hint="eastAsia"/>
        </w:rPr>
        <w:t>。</w:t>
      </w:r>
    </w:p>
    <w:p w14:paraId="07B035FD">
      <w:pPr>
        <w:pStyle w:val="11"/>
      </w:pPr>
      <w:r>
        <w:rPr>
          <w:rFonts w:hint="eastAsia"/>
        </w:rPr>
        <w:t>第</w:t>
      </w:r>
      <w:r>
        <w:t>10</w:t>
      </w:r>
      <w:r>
        <w:rPr>
          <w:rFonts w:hint="eastAsia"/>
        </w:rPr>
        <w:t>列“四、符合条件的技术转让项目”的“小计”行：填报第</w:t>
      </w:r>
      <w:r>
        <w:t>4-5-6-7+8</w:t>
      </w:r>
      <w:r>
        <w:rPr>
          <w:rFonts w:hint="eastAsia"/>
        </w:rPr>
        <w:t>列金额超过</w:t>
      </w:r>
      <w:r>
        <w:t>500</w:t>
      </w:r>
      <w:r>
        <w:rPr>
          <w:rFonts w:hint="eastAsia"/>
        </w:rPr>
        <w:t>万元的部分。</w:t>
      </w:r>
    </w:p>
    <w:p w14:paraId="586B780E">
      <w:pPr>
        <w:pStyle w:val="11"/>
      </w:pPr>
      <w:r>
        <w:t>11.</w:t>
      </w:r>
      <w:r>
        <w:rPr>
          <w:rFonts w:hint="eastAsia"/>
        </w:rPr>
        <w:t>第</w:t>
      </w:r>
      <w:r>
        <w:t>11</w:t>
      </w:r>
      <w:r>
        <w:rPr>
          <w:rFonts w:hint="eastAsia"/>
        </w:rPr>
        <w:t>列“减免所得额”：填报享受所得减免企业所得税优惠的企业，该项目按照税收规定实际可以享受免征、减征的所得额，按第</w:t>
      </w:r>
      <w:r>
        <w:t>9</w:t>
      </w:r>
      <w:r>
        <w:rPr>
          <w:rFonts w:hint="eastAsia"/>
        </w:rPr>
        <w:t>列</w:t>
      </w:r>
      <w:r>
        <w:t>+</w:t>
      </w:r>
      <w:r>
        <w:rPr>
          <w:rFonts w:hint="eastAsia"/>
        </w:rPr>
        <w:t>第</w:t>
      </w:r>
      <w:r>
        <w:t>10</w:t>
      </w:r>
      <w:r>
        <w:rPr>
          <w:rFonts w:hint="eastAsia"/>
        </w:rPr>
        <w:t>列×</w:t>
      </w:r>
      <w:r>
        <w:t>50%</w:t>
      </w:r>
      <w:r>
        <w:rPr>
          <w:rFonts w:hint="eastAsia"/>
        </w:rPr>
        <w:t>金额填报。</w:t>
      </w:r>
    </w:p>
    <w:p w14:paraId="269A8369">
      <w:pPr>
        <w:pStyle w:val="14"/>
        <w:rPr>
          <w:rFonts w:cs="Times New Roman"/>
        </w:rPr>
      </w:pPr>
      <w:bookmarkStart w:id="11" w:name="_Toc21703763"/>
      <w:bookmarkStart w:id="12" w:name="_Toc21711247"/>
      <w:bookmarkStart w:id="13" w:name="_Toc21712285"/>
      <w:bookmarkStart w:id="14" w:name="_Toc24965068"/>
      <w:r>
        <w:rPr>
          <w:rFonts w:hint="eastAsia"/>
        </w:rPr>
        <w:t>（二）行次填报</w:t>
      </w:r>
      <w:bookmarkEnd w:id="11"/>
      <w:bookmarkEnd w:id="12"/>
      <w:bookmarkEnd w:id="13"/>
      <w:bookmarkEnd w:id="14"/>
    </w:p>
    <w:p w14:paraId="5C716E06">
      <w:pPr>
        <w:pStyle w:val="11"/>
      </w:pPr>
      <w:r>
        <w:t>1.</w:t>
      </w:r>
      <w:r>
        <w:rPr>
          <w:rFonts w:hint="eastAsia"/>
        </w:rPr>
        <w:t>第</w:t>
      </w:r>
      <w:r>
        <w:t>1</w:t>
      </w:r>
      <w:r>
        <w:rPr>
          <w:rFonts w:hint="eastAsia"/>
        </w:rPr>
        <w:t>行至第</w:t>
      </w:r>
      <w:r>
        <w:t>3</w:t>
      </w:r>
      <w:r>
        <w:rPr>
          <w:rFonts w:hint="eastAsia"/>
        </w:rPr>
        <w:t>行“一、农、林、牧、渔业项目”：按农、林、牧、渔业项目的优惠政策具体内容分别填报，一个项目填报一行，纳税人有多个项目的，可自行增加行次填报。各行相应列次填报金额的合计金额填入“小计”行。根据《财政部</w:t>
      </w:r>
      <w:r>
        <w:t xml:space="preserve"> </w:t>
      </w:r>
      <w:r>
        <w:rPr>
          <w:rFonts w:hint="eastAsia"/>
        </w:rPr>
        <w:t>国家税务总局关于发布享受企业所得税优惠政策的农产品初加工范围（试行）的通知》（财税〔</w:t>
      </w:r>
      <w:r>
        <w:t>2008</w:t>
      </w:r>
      <w:r>
        <w:rPr>
          <w:rFonts w:hint="eastAsia"/>
        </w:rPr>
        <w:t>〕</w:t>
      </w:r>
      <w:r>
        <w:t>149</w:t>
      </w:r>
      <w:r>
        <w:rPr>
          <w:rFonts w:hint="eastAsia"/>
        </w:rPr>
        <w:t>号）、《国家税务总局关于黑龙江垦区国有农场土地承包费缴纳企业所得税问题的批复》（国税函〔</w:t>
      </w:r>
      <w:r>
        <w:t>2009</w:t>
      </w:r>
      <w:r>
        <w:rPr>
          <w:rFonts w:hint="eastAsia"/>
        </w:rPr>
        <w:t>〕</w:t>
      </w:r>
      <w:r>
        <w:t>779</w:t>
      </w:r>
      <w:r>
        <w:rPr>
          <w:rFonts w:hint="eastAsia"/>
        </w:rPr>
        <w:t>号）、《国家税务总局关于“公司＋农户”经营模式企业所得税优惠问题的公告》（国家税务总局公告</w:t>
      </w:r>
      <w:r>
        <w:t>2010</w:t>
      </w:r>
      <w:r>
        <w:rPr>
          <w:rFonts w:hint="eastAsia"/>
        </w:rPr>
        <w:t>年第</w:t>
      </w:r>
      <w:r>
        <w:t>2</w:t>
      </w:r>
      <w:r>
        <w:rPr>
          <w:rFonts w:hint="eastAsia"/>
        </w:rPr>
        <w:t>号）、《财政部</w:t>
      </w:r>
      <w:r>
        <w:t xml:space="preserve"> </w:t>
      </w:r>
      <w:r>
        <w:rPr>
          <w:rFonts w:hint="eastAsia"/>
        </w:rPr>
        <w:t>国家税务总局关于享受企业所得税优惠的农产品初加工有关范围的补充通知》（财税〔</w:t>
      </w:r>
      <w:r>
        <w:t>2011</w:t>
      </w:r>
      <w:r>
        <w:rPr>
          <w:rFonts w:hint="eastAsia"/>
        </w:rPr>
        <w:t>〕</w:t>
      </w:r>
      <w:r>
        <w:t>26</w:t>
      </w:r>
      <w:r>
        <w:rPr>
          <w:rFonts w:hint="eastAsia"/>
        </w:rPr>
        <w:t>号）、《国家税务总局关于实施农 林 牧 渔业项目企业所得税优惠问题的公告》（国家税务总局公告</w:t>
      </w:r>
      <w:r>
        <w:t>2011</w:t>
      </w:r>
      <w:r>
        <w:rPr>
          <w:rFonts w:hint="eastAsia"/>
        </w:rPr>
        <w:t>年第</w:t>
      </w:r>
      <w:r>
        <w:t>48</w:t>
      </w:r>
      <w:r>
        <w:rPr>
          <w:rFonts w:hint="eastAsia"/>
        </w:rPr>
        <w:t>号）等相关税收政策规定，填报本纳税年度发生的减征、免征企业所得税项目的有关情况。</w:t>
      </w:r>
    </w:p>
    <w:p w14:paraId="6EF24A00">
      <w:pPr>
        <w:pStyle w:val="11"/>
      </w:pPr>
      <w:r>
        <w:t>2.</w:t>
      </w:r>
      <w:r>
        <w:rPr>
          <w:rFonts w:hint="eastAsia"/>
        </w:rPr>
        <w:t>第</w:t>
      </w:r>
      <w:r>
        <w:t>4</w:t>
      </w:r>
      <w:r>
        <w:rPr>
          <w:rFonts w:hint="eastAsia"/>
        </w:rPr>
        <w:t>行至第</w:t>
      </w:r>
      <w:r>
        <w:t>6</w:t>
      </w:r>
      <w:r>
        <w:rPr>
          <w:rFonts w:hint="eastAsia"/>
        </w:rPr>
        <w:t>行“二、国家重点扶持的公共基础设施项目”：按国家重点扶持的公共基础设施项目具体内容分别填报，一个项目填报一行，纳税人有多个项目的，可自行增加行次填报。各行相应列次填报金额的合计金额填入“小计”行。根据《财政部</w:t>
      </w:r>
      <w:r>
        <w:t xml:space="preserve"> </w:t>
      </w:r>
      <w:r>
        <w:rPr>
          <w:rFonts w:hint="eastAsia"/>
        </w:rPr>
        <w:t>国家税务总局关于执行公共基础设施项目企业所得税优惠目录有关问题的通知》（财税〔</w:t>
      </w:r>
      <w:r>
        <w:t>2008</w:t>
      </w:r>
      <w:r>
        <w:rPr>
          <w:rFonts w:hint="eastAsia"/>
        </w:rPr>
        <w:t>〕</w:t>
      </w:r>
      <w:r>
        <w:t>46</w:t>
      </w:r>
      <w:r>
        <w:rPr>
          <w:rFonts w:hint="eastAsia"/>
        </w:rPr>
        <w:t>号）、《财政部</w:t>
      </w:r>
      <w:r>
        <w:t xml:space="preserve"> </w:t>
      </w:r>
      <w:r>
        <w:rPr>
          <w:rFonts w:hint="eastAsia"/>
        </w:rPr>
        <w:t>国家税务总局</w:t>
      </w:r>
      <w:r>
        <w:t xml:space="preserve"> </w:t>
      </w:r>
      <w:r>
        <w:rPr>
          <w:rFonts w:hint="eastAsia"/>
        </w:rPr>
        <w:t>国家发展改革委关于公布公共基础设施项目企业所得税优惠目录</w:t>
      </w:r>
      <w:r>
        <w:t>(2008</w:t>
      </w:r>
      <w:r>
        <w:rPr>
          <w:rFonts w:hint="eastAsia"/>
        </w:rPr>
        <w:t>年版</w:t>
      </w:r>
      <w:r>
        <w:t>)</w:t>
      </w:r>
      <w:r>
        <w:rPr>
          <w:rFonts w:hint="eastAsia"/>
        </w:rPr>
        <w:t>的通知》（财税〔</w:t>
      </w:r>
      <w:r>
        <w:t>2008</w:t>
      </w:r>
      <w:r>
        <w:rPr>
          <w:rFonts w:hint="eastAsia"/>
        </w:rPr>
        <w:t>〕</w:t>
      </w:r>
      <w:r>
        <w:t>116</w:t>
      </w:r>
      <w:r>
        <w:rPr>
          <w:rFonts w:hint="eastAsia"/>
        </w:rPr>
        <w:t>号）、《国家税务总局关于实施国家重点扶持的公共基础设施项目企业所得税优惠问题的通知》（国税发〔</w:t>
      </w:r>
      <w:r>
        <w:t>2009</w:t>
      </w:r>
      <w:r>
        <w:rPr>
          <w:rFonts w:hint="eastAsia"/>
        </w:rPr>
        <w:t>〕</w:t>
      </w:r>
      <w:r>
        <w:t>80</w:t>
      </w:r>
      <w:r>
        <w:rPr>
          <w:rFonts w:hint="eastAsia"/>
        </w:rPr>
        <w:t>号）、《财政部</w:t>
      </w:r>
      <w:r>
        <w:t xml:space="preserve"> </w:t>
      </w:r>
      <w:r>
        <w:rPr>
          <w:rFonts w:hint="eastAsia"/>
        </w:rPr>
        <w:t>国家税务总局关于公共基础设施项目和环境保护节能节水项目企业所得税优惠政策问题的通知》（财税〔</w:t>
      </w:r>
      <w:r>
        <w:t>2012</w:t>
      </w:r>
      <w:r>
        <w:rPr>
          <w:rFonts w:hint="eastAsia"/>
        </w:rPr>
        <w:t>〕</w:t>
      </w:r>
      <w:r>
        <w:t>10</w:t>
      </w:r>
      <w:r>
        <w:rPr>
          <w:rFonts w:hint="eastAsia"/>
        </w:rPr>
        <w:t>号）、《国家税务总局关于电网企业电网新建项目享受所得税优惠政策问题的公告》（国家税务总局公告</w:t>
      </w:r>
      <w:r>
        <w:t>2013</w:t>
      </w:r>
      <w:r>
        <w:rPr>
          <w:rFonts w:hint="eastAsia"/>
        </w:rPr>
        <w:t>年第</w:t>
      </w:r>
      <w:r>
        <w:t>26</w:t>
      </w:r>
      <w:r>
        <w:rPr>
          <w:rFonts w:hint="eastAsia"/>
        </w:rPr>
        <w:t>号）、《财政部</w:t>
      </w:r>
      <w:r>
        <w:t xml:space="preserve"> </w:t>
      </w:r>
      <w:r>
        <w:rPr>
          <w:rFonts w:hint="eastAsia"/>
        </w:rPr>
        <w:t>国家税务总局关于公共基础设施项目享受企业所得税优惠政策问题的补充通知》（财税〔</w:t>
      </w:r>
      <w:r>
        <w:t>2014</w:t>
      </w:r>
      <w:r>
        <w:rPr>
          <w:rFonts w:hint="eastAsia"/>
        </w:rPr>
        <w:t>〕</w:t>
      </w:r>
      <w:r>
        <w:t>55</w:t>
      </w:r>
      <w:r>
        <w:rPr>
          <w:rFonts w:hint="eastAsia"/>
        </w:rPr>
        <w:t>号）、《财政部</w:t>
      </w:r>
      <w:r>
        <w:t xml:space="preserve"> </w:t>
      </w:r>
      <w:r>
        <w:rPr>
          <w:rFonts w:hint="eastAsia"/>
        </w:rPr>
        <w:t>税务总局关于继续实行农村饮水安全工程税收优惠政策的公告》（财政部</w:t>
      </w:r>
      <w:r>
        <w:t xml:space="preserve"> </w:t>
      </w:r>
      <w:r>
        <w:rPr>
          <w:rFonts w:hint="eastAsia"/>
        </w:rPr>
        <w:t>税务总局公告</w:t>
      </w:r>
      <w:r>
        <w:t>2019</w:t>
      </w:r>
      <w:r>
        <w:rPr>
          <w:rFonts w:hint="eastAsia"/>
        </w:rPr>
        <w:t>年第</w:t>
      </w:r>
      <w:r>
        <w:t>67</w:t>
      </w:r>
      <w:r>
        <w:rPr>
          <w:rFonts w:hint="eastAsia"/>
        </w:rPr>
        <w:t>号）等相关税收政策规定，从事《公共基础设施项目企业所得税优惠目录》规定的港口码头、机场、铁路、公路、城市公共交通、电力、水利等项目的投资经营的所得，自项目取得第一笔生产经营收入所属纳税年度起，第一年至第三年免征企业所得税，第四年至第六年减半征收企业所得税，不包括企业承包经营、承包建设和内部自建自用该项目的所得。本行填报本纳税年度发生的减征、免征企业所得税项目的有关情况。</w:t>
      </w:r>
    </w:p>
    <w:p w14:paraId="209A8ADA">
      <w:pPr>
        <w:pStyle w:val="11"/>
      </w:pPr>
      <w:r>
        <w:t>3.</w:t>
      </w:r>
      <w:r>
        <w:rPr>
          <w:rFonts w:hint="eastAsia"/>
        </w:rPr>
        <w:t>第</w:t>
      </w:r>
      <w:r>
        <w:t>7</w:t>
      </w:r>
      <w:r>
        <w:rPr>
          <w:rFonts w:hint="eastAsia"/>
        </w:rPr>
        <w:t>行至第</w:t>
      </w:r>
      <w:r>
        <w:t>9</w:t>
      </w:r>
      <w:r>
        <w:rPr>
          <w:rFonts w:hint="eastAsia"/>
        </w:rPr>
        <w:t>行“三、符合条件的环境保护、节能节水项目”：按符合条件的环境保护、节能节水项目的具体内容分别填报，一个项目填报一行。纳税人有多个项目的，可自行增加行次填报。各行相应列次填报金额的合计金额填入“小计”行。根据《财政部</w:t>
      </w:r>
      <w:r>
        <w:t xml:space="preserve"> </w:t>
      </w:r>
      <w:r>
        <w:rPr>
          <w:rFonts w:hint="eastAsia"/>
        </w:rPr>
        <w:t>国家税务总局</w:t>
      </w:r>
      <w:r>
        <w:t xml:space="preserve"> </w:t>
      </w:r>
      <w:r>
        <w:rPr>
          <w:rFonts w:hint="eastAsia"/>
        </w:rPr>
        <w:t>国家发展改革委关于公布环境保护节能节水项目企业所得税优惠目录（试行）的通知》（财税〔</w:t>
      </w:r>
      <w:r>
        <w:t>2009</w:t>
      </w:r>
      <w:r>
        <w:rPr>
          <w:rFonts w:hint="eastAsia"/>
        </w:rPr>
        <w:t>〕</w:t>
      </w:r>
      <w:r>
        <w:t>166</w:t>
      </w:r>
      <w:r>
        <w:rPr>
          <w:rFonts w:hint="eastAsia"/>
        </w:rPr>
        <w:t>号）、《财政部</w:t>
      </w:r>
      <w:r>
        <w:t xml:space="preserve"> </w:t>
      </w:r>
      <w:r>
        <w:rPr>
          <w:rFonts w:hint="eastAsia"/>
        </w:rPr>
        <w:t>国家税务总局关于公共基础设施项目和环境保护节能节水项目企业所得税优惠政策问题的通知》（财税〔</w:t>
      </w:r>
      <w:r>
        <w:t>2012</w:t>
      </w:r>
      <w:r>
        <w:rPr>
          <w:rFonts w:hint="eastAsia"/>
        </w:rPr>
        <w:t>〕</w:t>
      </w:r>
      <w:r>
        <w:t>10</w:t>
      </w:r>
      <w:r>
        <w:rPr>
          <w:rFonts w:hint="eastAsia"/>
        </w:rPr>
        <w:t>号）等相关税收政策规定，从事符合条件的公共污水处理、公共垃圾处理、沼气综合开发利用、节能减排技术改造、海水淡化等环境保护、节能节水项目的所得，自项目取得第一笔生产经营收入所属纳税年度起，第一年至第三年免征企业所得税，第四年至第六年减半征收企业所得税。本行填报本纳税年度发生的减征、免征企业所得税项目的有关情况。</w:t>
      </w:r>
    </w:p>
    <w:p w14:paraId="5BD97DBF">
      <w:pPr>
        <w:pStyle w:val="11"/>
      </w:pPr>
      <w:r>
        <w:t>4.</w:t>
      </w:r>
      <w:r>
        <w:rPr>
          <w:rFonts w:hint="eastAsia"/>
        </w:rPr>
        <w:t>第</w:t>
      </w:r>
      <w:r>
        <w:t>10</w:t>
      </w:r>
      <w:r>
        <w:rPr>
          <w:rFonts w:hint="eastAsia"/>
        </w:rPr>
        <w:t>行至第</w:t>
      </w:r>
      <w:r>
        <w:t>12</w:t>
      </w:r>
      <w:r>
        <w:rPr>
          <w:rFonts w:hint="eastAsia"/>
        </w:rPr>
        <w:t>行“四、符合条件的技术转让项目”：按照不同技术转让项目分别填报，一个项目填报一行，纳税人有多个项目的，可自行增加行次填报。各行相应列次填报金额的合计金额填入“小计”行。根据《国家税务总局关于技术转让所得减免企业所得税有关问题的通知》（国税函〔</w:t>
      </w:r>
      <w:r>
        <w:t>2009</w:t>
      </w:r>
      <w:r>
        <w:rPr>
          <w:rFonts w:hint="eastAsia"/>
        </w:rPr>
        <w:t>〕</w:t>
      </w:r>
      <w:r>
        <w:t>212</w:t>
      </w:r>
      <w:r>
        <w:rPr>
          <w:rFonts w:hint="eastAsia"/>
        </w:rPr>
        <w:t>号）、《财政部</w:t>
      </w:r>
      <w:r>
        <w:t xml:space="preserve"> </w:t>
      </w:r>
      <w:r>
        <w:rPr>
          <w:rFonts w:hint="eastAsia"/>
        </w:rPr>
        <w:t>国家税务总局关于居民企业技术转让有关企业所得税政策问题的通知》（财税〔</w:t>
      </w:r>
      <w:r>
        <w:t>2010</w:t>
      </w:r>
      <w:r>
        <w:rPr>
          <w:rFonts w:hint="eastAsia"/>
        </w:rPr>
        <w:t>〕</w:t>
      </w:r>
      <w:r>
        <w:t>111</w:t>
      </w:r>
      <w:r>
        <w:rPr>
          <w:rFonts w:hint="eastAsia"/>
        </w:rPr>
        <w:t>号）、《国家税务总局关于技术转让所得减免企业所得税有关问题的公告》（国家税务总局公告</w:t>
      </w:r>
      <w:r>
        <w:t>2013</w:t>
      </w:r>
      <w:r>
        <w:rPr>
          <w:rFonts w:hint="eastAsia"/>
        </w:rPr>
        <w:t>年第</w:t>
      </w:r>
      <w:r>
        <w:t>62</w:t>
      </w:r>
      <w:r>
        <w:rPr>
          <w:rFonts w:hint="eastAsia"/>
        </w:rPr>
        <w:t>号）、《国家税务总局关于许可使用权技术转让所得企业所得税有关问题的公告》（国家税务总局公告</w:t>
      </w:r>
      <w:r>
        <w:t>2015</w:t>
      </w:r>
      <w:r>
        <w:rPr>
          <w:rFonts w:hint="eastAsia"/>
        </w:rPr>
        <w:t>年第</w:t>
      </w:r>
      <w:r>
        <w:t>82</w:t>
      </w:r>
      <w:r>
        <w:rPr>
          <w:rFonts w:hint="eastAsia"/>
        </w:rPr>
        <w:t>号）等相关税收政策规定，一个纳税年度内，居民企业将其拥有的专利技术、计算机软件著作权、集成电路布图设计权、植物新品种、生物医药新品种，以及财政部和国家税务总局确定的其他技术的所有权或</w:t>
      </w:r>
      <w:r>
        <w:t>5</w:t>
      </w:r>
      <w:r>
        <w:rPr>
          <w:rFonts w:hint="eastAsia"/>
        </w:rPr>
        <w:t>年以上（含</w:t>
      </w:r>
      <w:r>
        <w:t>5</w:t>
      </w:r>
      <w:r>
        <w:rPr>
          <w:rFonts w:hint="eastAsia"/>
        </w:rPr>
        <w:t>年）全球独占许可使用权、</w:t>
      </w:r>
      <w:r>
        <w:t>5</w:t>
      </w:r>
      <w:r>
        <w:rPr>
          <w:rFonts w:hint="eastAsia"/>
        </w:rPr>
        <w:t>年以上（含</w:t>
      </w:r>
      <w:r>
        <w:t>5</w:t>
      </w:r>
      <w:r>
        <w:rPr>
          <w:rFonts w:hint="eastAsia"/>
        </w:rPr>
        <w:t>年）非独占许可使用权转让取得的所得，不超过</w:t>
      </w:r>
      <w:r>
        <w:t>500</w:t>
      </w:r>
      <w:r>
        <w:rPr>
          <w:rFonts w:hint="eastAsia"/>
        </w:rPr>
        <w:t>万元的部分，免征企业所得税；超过</w:t>
      </w:r>
      <w:r>
        <w:t>500</w:t>
      </w:r>
      <w:r>
        <w:rPr>
          <w:rFonts w:hint="eastAsia"/>
        </w:rPr>
        <w:t>万元的部分，减半征收企业所得税。居民企业从直接或间接持有股权之和达到</w:t>
      </w:r>
      <w:r>
        <w:t>100%</w:t>
      </w:r>
      <w:r>
        <w:rPr>
          <w:rFonts w:hint="eastAsia"/>
        </w:rPr>
        <w:t>的关联方取得的技术转让所得，不享受技术转让减免企业所得税优惠政策。本行填报本纳税年度发生的减征、免征企业所得税项目的有关情况。</w:t>
      </w:r>
    </w:p>
    <w:p w14:paraId="4741365B">
      <w:pPr>
        <w:pStyle w:val="11"/>
      </w:pPr>
      <w:r>
        <w:t>5.</w:t>
      </w:r>
      <w:r>
        <w:rPr>
          <w:rFonts w:hint="eastAsia"/>
        </w:rPr>
        <w:t>第</w:t>
      </w:r>
      <w:r>
        <w:t>13</w:t>
      </w:r>
      <w:r>
        <w:rPr>
          <w:rFonts w:hint="eastAsia"/>
        </w:rPr>
        <w:t>行至第</w:t>
      </w:r>
      <w:r>
        <w:t>15</w:t>
      </w:r>
      <w:r>
        <w:rPr>
          <w:rFonts w:hint="eastAsia"/>
        </w:rPr>
        <w:t>行“五、清洁发展机制项目”：按照实施的清洁发展机制的不同项目分别填报，一个项目填报一行，纳税人有多个项目的，可自行增加行次填报。各行相应列次填报金额的合计金额填入“小计”行。根据《财政部</w:t>
      </w:r>
      <w:r>
        <w:t xml:space="preserve"> </w:t>
      </w:r>
      <w:r>
        <w:rPr>
          <w:rFonts w:hint="eastAsia"/>
        </w:rPr>
        <w:t>国家税务总局关于中国清洁发展机制基金及清洁发展机制项目实施企业有关企业所得税政策问题的通知》（财税〔</w:t>
      </w:r>
      <w:r>
        <w:t>2009</w:t>
      </w:r>
      <w:r>
        <w:rPr>
          <w:rFonts w:hint="eastAsia"/>
        </w:rPr>
        <w:t>〕</w:t>
      </w:r>
      <w:r>
        <w:t>30</w:t>
      </w:r>
      <w:r>
        <w:rPr>
          <w:rFonts w:hint="eastAsia"/>
        </w:rPr>
        <w:t>号）等相关税收政策规定，企业实施的将温室气体减排量转让收入的</w:t>
      </w:r>
      <w:r>
        <w:t>65%</w:t>
      </w:r>
      <w:r>
        <w:rPr>
          <w:rFonts w:hint="eastAsia"/>
        </w:rPr>
        <w:t>上缴给国家的</w:t>
      </w:r>
      <w:r>
        <w:t>HFC</w:t>
      </w:r>
      <w:r>
        <w:rPr>
          <w:rFonts w:hint="eastAsia"/>
        </w:rPr>
        <w:t>和</w:t>
      </w:r>
      <w:r>
        <w:t>PFC</w:t>
      </w:r>
      <w:r>
        <w:rPr>
          <w:rFonts w:hint="eastAsia"/>
        </w:rPr>
        <w:t>类</w:t>
      </w:r>
      <w:r>
        <w:t>CDM</w:t>
      </w:r>
      <w:r>
        <w:rPr>
          <w:rFonts w:hint="eastAsia"/>
        </w:rPr>
        <w:t>项目，以及将温室气体减排量转让收入的</w:t>
      </w:r>
      <w:r>
        <w:t>30%</w:t>
      </w:r>
      <w:r>
        <w:rPr>
          <w:rFonts w:hint="eastAsia"/>
        </w:rPr>
        <w:t>上缴给国家的</w:t>
      </w:r>
      <w:r>
        <w:t>N2O</w:t>
      </w:r>
      <w:r>
        <w:rPr>
          <w:rFonts w:hint="eastAsia"/>
        </w:rPr>
        <w:t>类</w:t>
      </w:r>
      <w:r>
        <w:t>CDM</w:t>
      </w:r>
      <w:r>
        <w:rPr>
          <w:rFonts w:hint="eastAsia"/>
        </w:rPr>
        <w:t>项目，其实施该类</w:t>
      </w:r>
      <w:r>
        <w:t>CDM</w:t>
      </w:r>
      <w:r>
        <w:rPr>
          <w:rFonts w:hint="eastAsia"/>
        </w:rPr>
        <w:t>项目的所得，自项目取得第一笔减排量转让收入所属纳税年度起，第一年至第三年免征企业所得税，第四年至第六年减半征收企业所得税。本行填报本纳税年度发生的减征、免征企业所得税项目的有关情况。</w:t>
      </w:r>
    </w:p>
    <w:p w14:paraId="392001DA">
      <w:pPr>
        <w:pStyle w:val="11"/>
      </w:pPr>
      <w:r>
        <w:t>6.</w:t>
      </w:r>
      <w:r>
        <w:rPr>
          <w:rFonts w:hint="eastAsia"/>
        </w:rPr>
        <w:t>第</w:t>
      </w:r>
      <w:r>
        <w:t>16</w:t>
      </w:r>
      <w:r>
        <w:rPr>
          <w:rFonts w:hint="eastAsia"/>
        </w:rPr>
        <w:t>行至第</w:t>
      </w:r>
      <w:r>
        <w:t>18</w:t>
      </w:r>
      <w:r>
        <w:rPr>
          <w:rFonts w:hint="eastAsia"/>
        </w:rPr>
        <w:t>行“六、符合条件的节能服务公司实施合同能源管理项目”：按照节能服务公司实施合同能源管理的不同项目分别填报，一个项目填报一行，纳税人有多个项目的，可自行增加行次填报。各行相应列次填报金额的合计金额填入“小计”行。根据《财政部</w:t>
      </w:r>
      <w:r>
        <w:t xml:space="preserve"> </w:t>
      </w:r>
      <w:r>
        <w:rPr>
          <w:rFonts w:hint="eastAsia"/>
        </w:rPr>
        <w:t>国家税务总局关于促进节能服务产业发展增值税 营业税和企业所得税政策问题的通知》（财税〔</w:t>
      </w:r>
      <w:r>
        <w:t>2010</w:t>
      </w:r>
      <w:r>
        <w:rPr>
          <w:rFonts w:hint="eastAsia"/>
        </w:rPr>
        <w:t>〕</w:t>
      </w:r>
      <w:r>
        <w:t>110</w:t>
      </w:r>
      <w:r>
        <w:rPr>
          <w:rFonts w:hint="eastAsia"/>
        </w:rPr>
        <w:t>号）、《国家税务总局</w:t>
      </w:r>
      <w:r>
        <w:t xml:space="preserve"> </w:t>
      </w:r>
      <w:r>
        <w:rPr>
          <w:rFonts w:hint="eastAsia"/>
        </w:rPr>
        <w:t>国家发展改革委关于落实节能服务企业合同能源管理项目企业所得税优惠政策有关征收管理问题的公告》（国家税务总局</w:t>
      </w:r>
      <w:r>
        <w:t xml:space="preserve"> </w:t>
      </w:r>
      <w:r>
        <w:rPr>
          <w:rFonts w:hint="eastAsia"/>
        </w:rPr>
        <w:t>国家发展改革委公告</w:t>
      </w:r>
      <w:r>
        <w:t>2013</w:t>
      </w:r>
      <w:r>
        <w:rPr>
          <w:rFonts w:hint="eastAsia"/>
        </w:rPr>
        <w:t>年第</w:t>
      </w:r>
      <w:r>
        <w:t>77</w:t>
      </w:r>
      <w:r>
        <w:rPr>
          <w:rFonts w:hint="eastAsia"/>
        </w:rPr>
        <w:t>号）等相关税收政策规定，符合条件的节能服务公司实施合同能源管理项目，符合税法有关规定的，自项目取得第一笔生产经营收入所属纳税年度起，第一年至第三年免征企业所得税，第四年至第六年按照</w:t>
      </w:r>
      <w:r>
        <w:t>25%</w:t>
      </w:r>
      <w:r>
        <w:rPr>
          <w:rFonts w:hint="eastAsia"/>
        </w:rPr>
        <w:t>的法定税率减半征收企业所得税。本行填报本纳税年度发生的减征、免征企业所得税项目的有关情况。</w:t>
      </w:r>
    </w:p>
    <w:p w14:paraId="14DD70FE">
      <w:pPr>
        <w:pStyle w:val="11"/>
      </w:pPr>
      <w:r>
        <w:t>7.</w:t>
      </w:r>
      <w:r>
        <w:rPr>
          <w:rFonts w:hint="eastAsia"/>
        </w:rPr>
        <w:t>第</w:t>
      </w:r>
      <w:r>
        <w:t>19</w:t>
      </w:r>
      <w:r>
        <w:rPr>
          <w:rFonts w:hint="eastAsia"/>
        </w:rPr>
        <w:t>行至第</w:t>
      </w:r>
      <w:r>
        <w:t>21</w:t>
      </w:r>
      <w:r>
        <w:rPr>
          <w:rFonts w:hint="eastAsia"/>
        </w:rPr>
        <w:t>行“七、线宽小于</w:t>
      </w:r>
      <w:r>
        <w:t>130</w:t>
      </w:r>
      <w:r>
        <w:rPr>
          <w:rFonts w:hint="eastAsia"/>
        </w:rPr>
        <w:t>纳米的集成电路生产项目”：按照投资的线宽小于</w:t>
      </w:r>
      <w:r>
        <w:t>130</w:t>
      </w:r>
      <w:r>
        <w:rPr>
          <w:rFonts w:hint="eastAsia"/>
        </w:rPr>
        <w:t>纳米的集成电路生产项目的不同项目分别填报，一个项目填报一行，纳税人有多个项目的，可自行增加行次填报。各行相应列次填报金额的合计金额填入“小计”行。根据《财政部</w:t>
      </w:r>
      <w:r>
        <w:t xml:space="preserve"> </w:t>
      </w:r>
      <w:r>
        <w:rPr>
          <w:rFonts w:hint="eastAsia"/>
        </w:rPr>
        <w:t>税务总局</w:t>
      </w:r>
      <w:r>
        <w:t xml:space="preserve"> </w:t>
      </w:r>
      <w:r>
        <w:rPr>
          <w:rFonts w:hint="eastAsia"/>
        </w:rPr>
        <w:t>国家发展改革委 工业和信息化部关于集成电路生产企业有关企业所得税政策问题的通知》（财税〔</w:t>
      </w:r>
      <w:r>
        <w:t>2018</w:t>
      </w:r>
      <w:r>
        <w:rPr>
          <w:rFonts w:hint="eastAsia"/>
        </w:rPr>
        <w:t>〕</w:t>
      </w:r>
      <w:r>
        <w:t>27</w:t>
      </w:r>
      <w:r>
        <w:rPr>
          <w:rFonts w:hint="eastAsia"/>
        </w:rPr>
        <w:t>号）规定，线宽小于</w:t>
      </w:r>
      <w:r>
        <w:t>130</w:t>
      </w:r>
      <w:r>
        <w:rPr>
          <w:rFonts w:hint="eastAsia"/>
        </w:rPr>
        <w:t>纳米，且经营期在</w:t>
      </w:r>
      <w:r>
        <w:t>10</w:t>
      </w:r>
      <w:r>
        <w:rPr>
          <w:rFonts w:hint="eastAsia"/>
        </w:rPr>
        <w:t>年以上的集成电路生产项目，自项目取得第一笔生产经营收入所属纳税年度起，第一年至第二年免征企业所得税，第三年至第五年按照</w:t>
      </w:r>
      <w:r>
        <w:t>25%</w:t>
      </w:r>
      <w:r>
        <w:rPr>
          <w:rFonts w:hint="eastAsia"/>
        </w:rPr>
        <w:t>的法定税率减半征收企业所得税。本行填报本纳税年度发生的减征、免征企业所得税项目的有关情况。填报该项目的纳税人还应填报《软件、集成电路企业优惠情况及明细表》（</w:t>
      </w:r>
      <w:r>
        <w:t>A107042</w:t>
      </w:r>
      <w:r>
        <w:rPr>
          <w:rFonts w:hint="eastAsia"/>
        </w:rPr>
        <w:t>），若纳税人不享受集成电路生产企业减免所得税优惠事项，只需填报表</w:t>
      </w:r>
      <w:r>
        <w:t>A107042</w:t>
      </w:r>
      <w:r>
        <w:rPr>
          <w:rFonts w:hint="eastAsia"/>
        </w:rPr>
        <w:t>“基本信息”和“关键指标情况”，无需填报“减免税额”。</w:t>
      </w:r>
    </w:p>
    <w:p w14:paraId="441F4EC1">
      <w:pPr>
        <w:pStyle w:val="11"/>
      </w:pPr>
      <w:r>
        <w:t>8.</w:t>
      </w:r>
      <w:r>
        <w:rPr>
          <w:rFonts w:hint="eastAsia"/>
        </w:rPr>
        <w:t>第</w:t>
      </w:r>
      <w:r>
        <w:t>22</w:t>
      </w:r>
      <w:r>
        <w:rPr>
          <w:rFonts w:hint="eastAsia"/>
        </w:rPr>
        <w:t>行至第</w:t>
      </w:r>
      <w:r>
        <w:t>24</w:t>
      </w:r>
      <w:r>
        <w:rPr>
          <w:rFonts w:hint="eastAsia"/>
        </w:rPr>
        <w:t>行“</w:t>
      </w:r>
      <w:bookmarkStart w:id="15" w:name="_Hlk525046879"/>
      <w:r>
        <w:rPr>
          <w:rFonts w:hint="eastAsia"/>
        </w:rPr>
        <w:t>八、线宽小于</w:t>
      </w:r>
      <w:r>
        <w:t>65</w:t>
      </w:r>
      <w:r>
        <w:rPr>
          <w:rFonts w:hint="eastAsia"/>
        </w:rPr>
        <w:t>纳米或投资额超过</w:t>
      </w:r>
      <w:r>
        <w:t>150</w:t>
      </w:r>
      <w:r>
        <w:rPr>
          <w:rFonts w:hint="eastAsia"/>
        </w:rPr>
        <w:t>亿元的集成电路生产项目</w:t>
      </w:r>
      <w:bookmarkEnd w:id="15"/>
      <w:r>
        <w:rPr>
          <w:rFonts w:hint="eastAsia"/>
        </w:rPr>
        <w:t>”：按照投资的线宽小于</w:t>
      </w:r>
      <w:r>
        <w:t>65</w:t>
      </w:r>
      <w:r>
        <w:rPr>
          <w:rFonts w:hint="eastAsia"/>
        </w:rPr>
        <w:t>纳米或投资额超过</w:t>
      </w:r>
      <w:r>
        <w:t>150</w:t>
      </w:r>
      <w:r>
        <w:rPr>
          <w:rFonts w:hint="eastAsia"/>
        </w:rPr>
        <w:t>亿元的集成电路生产项目的不同项目分别填报，一个项目填报一行，纳税人有多个项目的，可自行增加行次填报。各行相应列次填报金额的合计金额填入“小计”行。根据财税〔</w:t>
      </w:r>
      <w:r>
        <w:t>2018</w:t>
      </w:r>
      <w:r>
        <w:rPr>
          <w:rFonts w:hint="eastAsia"/>
        </w:rPr>
        <w:t>〕</w:t>
      </w:r>
      <w:r>
        <w:t>27</w:t>
      </w:r>
      <w:r>
        <w:rPr>
          <w:rFonts w:hint="eastAsia"/>
        </w:rPr>
        <w:t>号规定，线宽小于</w:t>
      </w:r>
      <w:r>
        <w:t>65</w:t>
      </w:r>
      <w:r>
        <w:rPr>
          <w:rFonts w:hint="eastAsia"/>
        </w:rPr>
        <w:t>纳米或投资额超过</w:t>
      </w:r>
      <w:r>
        <w:t>150</w:t>
      </w:r>
      <w:r>
        <w:rPr>
          <w:rFonts w:hint="eastAsia"/>
        </w:rPr>
        <w:t>亿元，且经营期在</w:t>
      </w:r>
      <w:r>
        <w:t>15</w:t>
      </w:r>
      <w:r>
        <w:rPr>
          <w:rFonts w:hint="eastAsia"/>
        </w:rPr>
        <w:t>年以上的集成电路生产项目，自项目取得第一笔生产经营收入所属纳税年度起，第一年至第五年免征企业所得税，第六年至第十年按照</w:t>
      </w:r>
      <w:r>
        <w:t>25%</w:t>
      </w:r>
      <w:r>
        <w:rPr>
          <w:rFonts w:hint="eastAsia"/>
        </w:rPr>
        <w:t>的法定税率减半征收企业所得税。本行填报本纳税年度发生的减征、免征企业所得税项目的有关情况。填报该项目的纳税人还应填报《软件、集成电路企业优惠情况及明细表》（</w:t>
      </w:r>
      <w:r>
        <w:t>A107042</w:t>
      </w:r>
      <w:r>
        <w:rPr>
          <w:rFonts w:hint="eastAsia"/>
        </w:rPr>
        <w:t>），若纳税人不享受集成电路生产企业减免所得税优惠事项，只需填报表</w:t>
      </w:r>
      <w:r>
        <w:t>A107042</w:t>
      </w:r>
      <w:r>
        <w:rPr>
          <w:rFonts w:hint="eastAsia"/>
        </w:rPr>
        <w:t>“基本信息”和“关键指标情况”，无需填报“减免税额”。</w:t>
      </w:r>
    </w:p>
    <w:p w14:paraId="0BC0C77E">
      <w:pPr>
        <w:pStyle w:val="11"/>
      </w:pPr>
      <w:r>
        <w:t>9.</w:t>
      </w:r>
      <w:r>
        <w:rPr>
          <w:rFonts w:hint="eastAsia"/>
        </w:rPr>
        <w:t>第</w:t>
      </w:r>
      <w:r>
        <w:t>25</w:t>
      </w:r>
      <w:r>
        <w:rPr>
          <w:rFonts w:hint="eastAsia"/>
        </w:rPr>
        <w:t>行至第</w:t>
      </w:r>
      <w:r>
        <w:t>27</w:t>
      </w:r>
      <w:r>
        <w:rPr>
          <w:rFonts w:hint="eastAsia"/>
        </w:rPr>
        <w:t>行“九、其他”：填报纳税人享受的其他专项减免项目名称、优惠事项名称及减免税代码、项目收入等。按照享受所得减免企业所得税优惠的其他项目内容分别填报，一个项目填报一行，纳税人有多个项目的，可自行增加行次填报。各行相应列次填报金额的合计金额填入“小计”行。</w:t>
      </w:r>
    </w:p>
    <w:p w14:paraId="662A1DB5">
      <w:pPr>
        <w:pStyle w:val="11"/>
      </w:pPr>
      <w:r>
        <w:t>10.</w:t>
      </w:r>
      <w:r>
        <w:rPr>
          <w:rFonts w:hint="eastAsia"/>
        </w:rPr>
        <w:t>第</w:t>
      </w:r>
      <w:r>
        <w:t>28</w:t>
      </w:r>
      <w:r>
        <w:rPr>
          <w:rFonts w:hint="eastAsia"/>
        </w:rPr>
        <w:t>行“合计”：填报第一项至第九项“小计”行的合计金额。</w:t>
      </w:r>
    </w:p>
    <w:p w14:paraId="3DC05FC9">
      <w:pPr>
        <w:pStyle w:val="13"/>
        <w:ind w:firstLine="482"/>
        <w:rPr>
          <w:rFonts w:cs="Times New Roman"/>
        </w:rPr>
      </w:pPr>
      <w:bookmarkStart w:id="16" w:name="_Toc24965069"/>
      <w:bookmarkStart w:id="17" w:name="_Toc21711248"/>
      <w:bookmarkStart w:id="18" w:name="_Toc21703764"/>
      <w:bookmarkStart w:id="19" w:name="_Toc21712286"/>
      <w:r>
        <w:rPr>
          <w:rFonts w:hint="eastAsia"/>
        </w:rPr>
        <w:t>二、表内、表间关系</w:t>
      </w:r>
      <w:bookmarkEnd w:id="16"/>
      <w:bookmarkEnd w:id="17"/>
      <w:bookmarkEnd w:id="18"/>
      <w:bookmarkEnd w:id="19"/>
    </w:p>
    <w:p w14:paraId="25C577D0">
      <w:pPr>
        <w:pStyle w:val="14"/>
        <w:rPr>
          <w:rFonts w:cs="Times New Roman"/>
        </w:rPr>
      </w:pPr>
      <w:bookmarkStart w:id="20" w:name="_Toc21711249"/>
      <w:bookmarkStart w:id="21" w:name="_Toc21712287"/>
      <w:bookmarkStart w:id="22" w:name="_Toc24965070"/>
      <w:bookmarkStart w:id="23" w:name="_Toc21703765"/>
      <w:r>
        <w:rPr>
          <w:rFonts w:hint="eastAsia"/>
        </w:rPr>
        <w:t>（一）表内关系（以表样列示行次为例）</w:t>
      </w:r>
      <w:bookmarkEnd w:id="20"/>
      <w:bookmarkEnd w:id="21"/>
      <w:bookmarkEnd w:id="22"/>
      <w:bookmarkEnd w:id="23"/>
    </w:p>
    <w:p w14:paraId="72E5A34A">
      <w:pPr>
        <w:pStyle w:val="11"/>
      </w:pPr>
      <w:r>
        <w:t>1.</w:t>
      </w:r>
      <w:r>
        <w:rPr>
          <w:rFonts w:hint="eastAsia"/>
        </w:rPr>
        <w:t>第</w:t>
      </w:r>
      <w:r>
        <w:t>3</w:t>
      </w:r>
      <w:r>
        <w:rPr>
          <w:rFonts w:hint="eastAsia"/>
        </w:rPr>
        <w:t>行＝第</w:t>
      </w:r>
      <w:r>
        <w:t>1+2</w:t>
      </w:r>
      <w:r>
        <w:rPr>
          <w:rFonts w:hint="eastAsia"/>
        </w:rPr>
        <w:t>行。</w:t>
      </w:r>
    </w:p>
    <w:p w14:paraId="0D6C8461">
      <w:pPr>
        <w:pStyle w:val="11"/>
      </w:pPr>
      <w:r>
        <w:t>2.</w:t>
      </w:r>
      <w:r>
        <w:rPr>
          <w:rFonts w:hint="eastAsia"/>
        </w:rPr>
        <w:t>第</w:t>
      </w:r>
      <w:r>
        <w:t>6</w:t>
      </w:r>
      <w:r>
        <w:rPr>
          <w:rFonts w:hint="eastAsia"/>
        </w:rPr>
        <w:t>行＝第</w:t>
      </w:r>
      <w:r>
        <w:t>4+5</w:t>
      </w:r>
      <w:r>
        <w:rPr>
          <w:rFonts w:hint="eastAsia"/>
        </w:rPr>
        <w:t>行。</w:t>
      </w:r>
    </w:p>
    <w:p w14:paraId="5F1AB4A1">
      <w:pPr>
        <w:pStyle w:val="11"/>
      </w:pPr>
      <w:r>
        <w:t>3.</w:t>
      </w:r>
      <w:r>
        <w:rPr>
          <w:rFonts w:hint="eastAsia"/>
        </w:rPr>
        <w:t>第</w:t>
      </w:r>
      <w:r>
        <w:t>9</w:t>
      </w:r>
      <w:r>
        <w:rPr>
          <w:rFonts w:hint="eastAsia"/>
        </w:rPr>
        <w:t>行＝第</w:t>
      </w:r>
      <w:r>
        <w:t>7+8</w:t>
      </w:r>
      <w:r>
        <w:rPr>
          <w:rFonts w:hint="eastAsia"/>
        </w:rPr>
        <w:t>行。</w:t>
      </w:r>
    </w:p>
    <w:p w14:paraId="6A35A4C9">
      <w:pPr>
        <w:pStyle w:val="11"/>
      </w:pPr>
      <w:r>
        <w:t>4.</w:t>
      </w:r>
      <w:r>
        <w:rPr>
          <w:rFonts w:hint="eastAsia"/>
        </w:rPr>
        <w:t>第</w:t>
      </w:r>
      <w:r>
        <w:t>12</w:t>
      </w:r>
      <w:r>
        <w:rPr>
          <w:rFonts w:hint="eastAsia"/>
        </w:rPr>
        <w:t>行＝第</w:t>
      </w:r>
      <w:r>
        <w:t>10+11</w:t>
      </w:r>
      <w:r>
        <w:rPr>
          <w:rFonts w:hint="eastAsia"/>
        </w:rPr>
        <w:t>行。</w:t>
      </w:r>
    </w:p>
    <w:p w14:paraId="6D7C6F73">
      <w:pPr>
        <w:pStyle w:val="11"/>
      </w:pPr>
      <w:r>
        <w:t>5.</w:t>
      </w:r>
      <w:r>
        <w:rPr>
          <w:rFonts w:hint="eastAsia"/>
        </w:rPr>
        <w:t>第</w:t>
      </w:r>
      <w:r>
        <w:t>15</w:t>
      </w:r>
      <w:r>
        <w:rPr>
          <w:rFonts w:hint="eastAsia"/>
        </w:rPr>
        <w:t>行＝第</w:t>
      </w:r>
      <w:r>
        <w:t>13+14</w:t>
      </w:r>
      <w:r>
        <w:rPr>
          <w:rFonts w:hint="eastAsia"/>
        </w:rPr>
        <w:t>行。</w:t>
      </w:r>
    </w:p>
    <w:p w14:paraId="392A33DE">
      <w:pPr>
        <w:pStyle w:val="11"/>
      </w:pPr>
      <w:r>
        <w:t>6.</w:t>
      </w:r>
      <w:r>
        <w:rPr>
          <w:rFonts w:hint="eastAsia"/>
        </w:rPr>
        <w:t>第</w:t>
      </w:r>
      <w:r>
        <w:t>18</w:t>
      </w:r>
      <w:r>
        <w:rPr>
          <w:rFonts w:hint="eastAsia"/>
        </w:rPr>
        <w:t>行＝第</w:t>
      </w:r>
      <w:r>
        <w:t>16+17</w:t>
      </w:r>
      <w:r>
        <w:rPr>
          <w:rFonts w:hint="eastAsia"/>
        </w:rPr>
        <w:t>行。</w:t>
      </w:r>
    </w:p>
    <w:p w14:paraId="58D13340">
      <w:pPr>
        <w:pStyle w:val="11"/>
      </w:pPr>
      <w:r>
        <w:t>7.</w:t>
      </w:r>
      <w:r>
        <w:rPr>
          <w:rFonts w:hint="eastAsia"/>
        </w:rPr>
        <w:t>第</w:t>
      </w:r>
      <w:r>
        <w:t>21</w:t>
      </w:r>
      <w:r>
        <w:rPr>
          <w:rFonts w:hint="eastAsia"/>
        </w:rPr>
        <w:t>行＝第</w:t>
      </w:r>
      <w:r>
        <w:t>19+20</w:t>
      </w:r>
      <w:r>
        <w:rPr>
          <w:rFonts w:hint="eastAsia"/>
        </w:rPr>
        <w:t>行。</w:t>
      </w:r>
    </w:p>
    <w:p w14:paraId="32BD2BF7">
      <w:pPr>
        <w:pStyle w:val="11"/>
      </w:pPr>
      <w:r>
        <w:t>8.</w:t>
      </w:r>
      <w:r>
        <w:rPr>
          <w:rFonts w:hint="eastAsia"/>
        </w:rPr>
        <w:t>第</w:t>
      </w:r>
      <w:r>
        <w:t>24</w:t>
      </w:r>
      <w:r>
        <w:rPr>
          <w:rFonts w:hint="eastAsia"/>
        </w:rPr>
        <w:t>行＝第</w:t>
      </w:r>
      <w:r>
        <w:t>22+23</w:t>
      </w:r>
      <w:r>
        <w:rPr>
          <w:rFonts w:hint="eastAsia"/>
        </w:rPr>
        <w:t>行。</w:t>
      </w:r>
    </w:p>
    <w:p w14:paraId="72B4A57E">
      <w:pPr>
        <w:pStyle w:val="11"/>
      </w:pPr>
      <w:r>
        <w:t>9.</w:t>
      </w:r>
      <w:r>
        <w:rPr>
          <w:rFonts w:hint="eastAsia"/>
        </w:rPr>
        <w:t>第</w:t>
      </w:r>
      <w:r>
        <w:t>27</w:t>
      </w:r>
      <w:r>
        <w:rPr>
          <w:rFonts w:hint="eastAsia"/>
        </w:rPr>
        <w:t>行＝第</w:t>
      </w:r>
      <w:r>
        <w:t>25+26</w:t>
      </w:r>
      <w:r>
        <w:rPr>
          <w:rFonts w:hint="eastAsia"/>
        </w:rPr>
        <w:t>行。</w:t>
      </w:r>
    </w:p>
    <w:p w14:paraId="28AEA0F6">
      <w:pPr>
        <w:pStyle w:val="11"/>
      </w:pPr>
      <w:r>
        <w:t>10.</w:t>
      </w:r>
      <w:r>
        <w:rPr>
          <w:rFonts w:hint="eastAsia"/>
        </w:rPr>
        <w:t>第</w:t>
      </w:r>
      <w:r>
        <w:t>28</w:t>
      </w:r>
      <w:r>
        <w:rPr>
          <w:rFonts w:hint="eastAsia"/>
        </w:rPr>
        <w:t>行＝第</w:t>
      </w:r>
      <w:r>
        <w:t>3+6+9+12+15+18+21+24+27</w:t>
      </w:r>
      <w:r>
        <w:rPr>
          <w:rFonts w:hint="eastAsia"/>
        </w:rPr>
        <w:t>行。</w:t>
      </w:r>
    </w:p>
    <w:p w14:paraId="0FADB384">
      <w:pPr>
        <w:pStyle w:val="11"/>
      </w:pPr>
      <w:r>
        <w:t>11.</w:t>
      </w:r>
      <w:r>
        <w:rPr>
          <w:rFonts w:hint="eastAsia"/>
        </w:rPr>
        <w:t>当第</w:t>
      </w:r>
      <w:r>
        <w:t>3</w:t>
      </w:r>
      <w:r>
        <w:rPr>
          <w:rFonts w:hint="eastAsia"/>
        </w:rPr>
        <w:t>列＝“免税”时，第</w:t>
      </w:r>
      <w:r>
        <w:t>9</w:t>
      </w:r>
      <w:r>
        <w:rPr>
          <w:rFonts w:hint="eastAsia"/>
        </w:rPr>
        <w:t>列＝第</w:t>
      </w:r>
      <w:r>
        <w:t>4-5-6-7+8</w:t>
      </w:r>
      <w:r>
        <w:rPr>
          <w:rFonts w:hint="eastAsia"/>
        </w:rPr>
        <w:t>列；当第</w:t>
      </w:r>
      <w:r>
        <w:t>4-5-6-7+8</w:t>
      </w:r>
      <w:r>
        <w:rPr>
          <w:rFonts w:hint="eastAsia"/>
        </w:rPr>
        <w:t>列＜</w:t>
      </w:r>
      <w:r>
        <w:t>0</w:t>
      </w:r>
      <w:r>
        <w:rPr>
          <w:rFonts w:hint="eastAsia"/>
        </w:rPr>
        <w:t>时，第</w:t>
      </w:r>
      <w:r>
        <w:t>9</w:t>
      </w:r>
      <w:r>
        <w:rPr>
          <w:rFonts w:hint="eastAsia"/>
        </w:rPr>
        <w:t>列＝</w:t>
      </w:r>
      <w:r>
        <w:t>0</w:t>
      </w:r>
      <w:r>
        <w:rPr>
          <w:rFonts w:hint="eastAsia"/>
        </w:rPr>
        <w:t>。</w:t>
      </w:r>
    </w:p>
    <w:p w14:paraId="5930A580">
      <w:pPr>
        <w:pStyle w:val="11"/>
      </w:pPr>
      <w:r>
        <w:rPr>
          <w:rFonts w:hint="eastAsia"/>
        </w:rPr>
        <w:t>当第</w:t>
      </w:r>
      <w:r>
        <w:t>12</w:t>
      </w:r>
      <w:r>
        <w:rPr>
          <w:rFonts w:hint="eastAsia"/>
        </w:rPr>
        <w:t>行第</w:t>
      </w:r>
      <w:r>
        <w:t>4-5-6-7+8</w:t>
      </w:r>
      <w:r>
        <w:rPr>
          <w:rFonts w:hint="eastAsia"/>
        </w:rPr>
        <w:t>列≤</w:t>
      </w:r>
      <w:r>
        <w:t>5000000</w:t>
      </w:r>
      <w:r>
        <w:rPr>
          <w:rFonts w:hint="eastAsia"/>
        </w:rPr>
        <w:t>时，第</w:t>
      </w:r>
      <w:r>
        <w:t>12</w:t>
      </w:r>
      <w:r>
        <w:rPr>
          <w:rFonts w:hint="eastAsia"/>
        </w:rPr>
        <w:t>行第</w:t>
      </w:r>
      <w:r>
        <w:t>9</w:t>
      </w:r>
      <w:r>
        <w:rPr>
          <w:rFonts w:hint="eastAsia"/>
        </w:rPr>
        <w:t>列＝第</w:t>
      </w:r>
      <w:r>
        <w:t>4-5-6-7+8</w:t>
      </w:r>
      <w:r>
        <w:rPr>
          <w:rFonts w:hint="eastAsia"/>
        </w:rPr>
        <w:t>列；当第</w:t>
      </w:r>
      <w:r>
        <w:t>12</w:t>
      </w:r>
      <w:r>
        <w:rPr>
          <w:rFonts w:hint="eastAsia"/>
        </w:rPr>
        <w:t>行第</w:t>
      </w:r>
      <w:r>
        <w:t>4-5-6-7+8</w:t>
      </w:r>
      <w:r>
        <w:rPr>
          <w:rFonts w:hint="eastAsia"/>
        </w:rPr>
        <w:t>列＞</w:t>
      </w:r>
      <w:r>
        <w:t>5000000</w:t>
      </w:r>
      <w:r>
        <w:rPr>
          <w:rFonts w:hint="eastAsia"/>
        </w:rPr>
        <w:t>时，第</w:t>
      </w:r>
      <w:r>
        <w:t>12</w:t>
      </w:r>
      <w:r>
        <w:rPr>
          <w:rFonts w:hint="eastAsia"/>
        </w:rPr>
        <w:t>行第</w:t>
      </w:r>
      <w:r>
        <w:t>9</w:t>
      </w:r>
      <w:r>
        <w:rPr>
          <w:rFonts w:hint="eastAsia"/>
        </w:rPr>
        <w:t>列＝</w:t>
      </w:r>
      <w:r>
        <w:t>5000000</w:t>
      </w:r>
      <w:r>
        <w:rPr>
          <w:rFonts w:hint="eastAsia"/>
        </w:rPr>
        <w:t>。</w:t>
      </w:r>
    </w:p>
    <w:p w14:paraId="5DA97410">
      <w:pPr>
        <w:pStyle w:val="11"/>
      </w:pPr>
      <w:r>
        <w:t>12.</w:t>
      </w:r>
      <w:r>
        <w:rPr>
          <w:rFonts w:hint="eastAsia"/>
        </w:rPr>
        <w:t>当第</w:t>
      </w:r>
      <w:r>
        <w:t>3</w:t>
      </w:r>
      <w:r>
        <w:rPr>
          <w:rFonts w:hint="eastAsia"/>
        </w:rPr>
        <w:t>列＝“减半征税”时，第</w:t>
      </w:r>
      <w:r>
        <w:t>10</w:t>
      </w:r>
      <w:r>
        <w:rPr>
          <w:rFonts w:hint="eastAsia"/>
        </w:rPr>
        <w:t>列＝第</w:t>
      </w:r>
      <w:r>
        <w:t>4-5-6-7+8</w:t>
      </w:r>
      <w:r>
        <w:rPr>
          <w:rFonts w:hint="eastAsia"/>
        </w:rPr>
        <w:t>列；当第</w:t>
      </w:r>
      <w:r>
        <w:t>4-5-6-7+8</w:t>
      </w:r>
      <w:r>
        <w:rPr>
          <w:rFonts w:hint="eastAsia"/>
        </w:rPr>
        <w:t>列＜</w:t>
      </w:r>
      <w:r>
        <w:t>0</w:t>
      </w:r>
      <w:r>
        <w:rPr>
          <w:rFonts w:hint="eastAsia"/>
        </w:rPr>
        <w:t>时，第</w:t>
      </w:r>
      <w:r>
        <w:t>10</w:t>
      </w:r>
      <w:r>
        <w:rPr>
          <w:rFonts w:hint="eastAsia"/>
        </w:rPr>
        <w:t>列＝</w:t>
      </w:r>
      <w:r>
        <w:t>0</w:t>
      </w:r>
      <w:r>
        <w:rPr>
          <w:rFonts w:hint="eastAsia"/>
        </w:rPr>
        <w:t>。</w:t>
      </w:r>
    </w:p>
    <w:p w14:paraId="36D7CAF6">
      <w:pPr>
        <w:pStyle w:val="11"/>
      </w:pPr>
      <w:r>
        <w:rPr>
          <w:rFonts w:hint="eastAsia"/>
        </w:rPr>
        <w:t>当第</w:t>
      </w:r>
      <w:r>
        <w:t>12</w:t>
      </w:r>
      <w:r>
        <w:rPr>
          <w:rFonts w:hint="eastAsia"/>
        </w:rPr>
        <w:t>行第</w:t>
      </w:r>
      <w:r>
        <w:t>4-5-6-7+8</w:t>
      </w:r>
      <w:r>
        <w:rPr>
          <w:rFonts w:hint="eastAsia"/>
        </w:rPr>
        <w:t>列≤</w:t>
      </w:r>
      <w:r>
        <w:t>5000000</w:t>
      </w:r>
      <w:r>
        <w:rPr>
          <w:rFonts w:hint="eastAsia"/>
        </w:rPr>
        <w:t>时，第</w:t>
      </w:r>
      <w:r>
        <w:t>12</w:t>
      </w:r>
      <w:r>
        <w:rPr>
          <w:rFonts w:hint="eastAsia"/>
        </w:rPr>
        <w:t>行第</w:t>
      </w:r>
      <w:r>
        <w:t>10</w:t>
      </w:r>
      <w:r>
        <w:rPr>
          <w:rFonts w:hint="eastAsia"/>
        </w:rPr>
        <w:t>列＝</w:t>
      </w:r>
      <w:r>
        <w:t>0</w:t>
      </w:r>
      <w:r>
        <w:rPr>
          <w:rFonts w:hint="eastAsia"/>
        </w:rPr>
        <w:t>；当第</w:t>
      </w:r>
      <w:r>
        <w:t>12</w:t>
      </w:r>
      <w:r>
        <w:rPr>
          <w:rFonts w:hint="eastAsia"/>
        </w:rPr>
        <w:t>行第</w:t>
      </w:r>
      <w:r>
        <w:t>4-5-6-7+8</w:t>
      </w:r>
      <w:r>
        <w:rPr>
          <w:rFonts w:hint="eastAsia"/>
        </w:rPr>
        <w:t>列＞</w:t>
      </w:r>
      <w:r>
        <w:t>5000000</w:t>
      </w:r>
      <w:r>
        <w:rPr>
          <w:rFonts w:hint="eastAsia"/>
        </w:rPr>
        <w:t>时，第</w:t>
      </w:r>
      <w:r>
        <w:t>12</w:t>
      </w:r>
      <w:r>
        <w:rPr>
          <w:rFonts w:hint="eastAsia"/>
        </w:rPr>
        <w:t>行第</w:t>
      </w:r>
      <w:r>
        <w:t>10</w:t>
      </w:r>
      <w:r>
        <w:rPr>
          <w:rFonts w:hint="eastAsia"/>
        </w:rPr>
        <w:t>列＝第</w:t>
      </w:r>
      <w:r>
        <w:t>4-5-6-7+8</w:t>
      </w:r>
      <w:r>
        <w:rPr>
          <w:rFonts w:hint="eastAsia"/>
        </w:rPr>
        <w:t>列</w:t>
      </w:r>
      <w:r>
        <w:t>-5000000</w:t>
      </w:r>
      <w:r>
        <w:rPr>
          <w:rFonts w:hint="eastAsia"/>
        </w:rPr>
        <w:t>。</w:t>
      </w:r>
    </w:p>
    <w:p w14:paraId="67024E68">
      <w:pPr>
        <w:pStyle w:val="11"/>
      </w:pPr>
      <w:r>
        <w:t>13.</w:t>
      </w:r>
      <w:r>
        <w:rPr>
          <w:rFonts w:hint="eastAsia"/>
        </w:rPr>
        <w:t>第</w:t>
      </w:r>
      <w:r>
        <w:t>11</w:t>
      </w:r>
      <w:r>
        <w:rPr>
          <w:rFonts w:hint="eastAsia"/>
        </w:rPr>
        <w:t>列＝第</w:t>
      </w:r>
      <w:r>
        <w:t>9</w:t>
      </w:r>
      <w:r>
        <w:rPr>
          <w:rFonts w:hint="eastAsia"/>
        </w:rPr>
        <w:t>列</w:t>
      </w:r>
      <w:r>
        <w:t>+</w:t>
      </w:r>
      <w:r>
        <w:rPr>
          <w:rFonts w:hint="eastAsia"/>
        </w:rPr>
        <w:t>第</w:t>
      </w:r>
      <w:r>
        <w:t>10</w:t>
      </w:r>
      <w:r>
        <w:rPr>
          <w:rFonts w:hint="eastAsia"/>
        </w:rPr>
        <w:t>列×</w:t>
      </w:r>
      <w:r>
        <w:t>50%</w:t>
      </w:r>
      <w:r>
        <w:rPr>
          <w:rFonts w:hint="eastAsia"/>
        </w:rPr>
        <w:t>；当第</w:t>
      </w:r>
      <w:r>
        <w:t>9</w:t>
      </w:r>
      <w:r>
        <w:rPr>
          <w:rFonts w:hint="eastAsia"/>
        </w:rPr>
        <w:t>列</w:t>
      </w:r>
      <w:r>
        <w:t>+</w:t>
      </w:r>
      <w:r>
        <w:rPr>
          <w:rFonts w:hint="eastAsia"/>
        </w:rPr>
        <w:t>第</w:t>
      </w:r>
      <w:r>
        <w:t>10</w:t>
      </w:r>
      <w:r>
        <w:rPr>
          <w:rFonts w:hint="eastAsia"/>
        </w:rPr>
        <w:t>列×</w:t>
      </w:r>
      <w:r>
        <w:t>50%</w:t>
      </w:r>
      <w:r>
        <w:rPr>
          <w:rFonts w:hint="eastAsia"/>
        </w:rPr>
        <w:t>＜</w:t>
      </w:r>
      <w:r>
        <w:t>0</w:t>
      </w:r>
      <w:r>
        <w:rPr>
          <w:rFonts w:hint="eastAsia"/>
        </w:rPr>
        <w:t>时，第</w:t>
      </w:r>
      <w:r>
        <w:t>11</w:t>
      </w:r>
      <w:r>
        <w:rPr>
          <w:rFonts w:hint="eastAsia"/>
        </w:rPr>
        <w:t>列＝</w:t>
      </w:r>
      <w:r>
        <w:t>0</w:t>
      </w:r>
      <w:r>
        <w:rPr>
          <w:rFonts w:hint="eastAsia"/>
        </w:rPr>
        <w:t>。</w:t>
      </w:r>
    </w:p>
    <w:p w14:paraId="75CB7407">
      <w:pPr>
        <w:pStyle w:val="14"/>
        <w:rPr>
          <w:rFonts w:cs="Times New Roman"/>
        </w:rPr>
      </w:pPr>
      <w:bookmarkStart w:id="24" w:name="_Toc24965071"/>
      <w:bookmarkStart w:id="25" w:name="_Toc21703766"/>
      <w:bookmarkStart w:id="26" w:name="_Toc21712288"/>
      <w:bookmarkStart w:id="27" w:name="_Toc21711250"/>
      <w:r>
        <w:rPr>
          <w:rFonts w:hint="eastAsia"/>
        </w:rPr>
        <w:t>（二）表间关系</w:t>
      </w:r>
      <w:bookmarkEnd w:id="24"/>
      <w:bookmarkEnd w:id="25"/>
      <w:bookmarkEnd w:id="26"/>
      <w:bookmarkEnd w:id="27"/>
    </w:p>
    <w:p w14:paraId="0527B099">
      <w:pPr>
        <w:pStyle w:val="11"/>
      </w:pPr>
      <w:r>
        <w:t>1.</w:t>
      </w:r>
      <w:r>
        <w:rPr>
          <w:rFonts w:hint="eastAsia"/>
        </w:rPr>
        <w:t>当本表合计行第</w:t>
      </w:r>
      <w:r>
        <w:t>11</w:t>
      </w:r>
      <w:r>
        <w:rPr>
          <w:rFonts w:hint="eastAsia"/>
        </w:rPr>
        <w:t>列≥</w:t>
      </w:r>
      <w:r>
        <w:t>0</w:t>
      </w:r>
      <w:r>
        <w:rPr>
          <w:rFonts w:hint="eastAsia"/>
        </w:rPr>
        <w:t>，且本表合计行第</w:t>
      </w:r>
      <w:r>
        <w:t>11</w:t>
      </w:r>
      <w:r>
        <w:rPr>
          <w:rFonts w:hint="eastAsia"/>
        </w:rPr>
        <w:t>列≤表</w:t>
      </w:r>
      <w:r>
        <w:t>A100000</w:t>
      </w:r>
      <w:r>
        <w:rPr>
          <w:rFonts w:hint="eastAsia"/>
        </w:rPr>
        <w:t>第</w:t>
      </w:r>
      <w:r>
        <w:t>19</w:t>
      </w:r>
      <w:r>
        <w:rPr>
          <w:rFonts w:hint="eastAsia"/>
        </w:rPr>
        <w:t>行时，</w:t>
      </w:r>
      <w:r>
        <w:t xml:space="preserve"> </w:t>
      </w:r>
      <w:r>
        <w:rPr>
          <w:rFonts w:hint="eastAsia"/>
        </w:rPr>
        <w:t>合计行第</w:t>
      </w:r>
      <w:r>
        <w:t>11</w:t>
      </w:r>
      <w:r>
        <w:rPr>
          <w:rFonts w:hint="eastAsia"/>
        </w:rPr>
        <w:t>列＝表</w:t>
      </w:r>
      <w:r>
        <w:t>A100000</w:t>
      </w:r>
      <w:r>
        <w:rPr>
          <w:rFonts w:hint="eastAsia"/>
        </w:rPr>
        <w:t>第</w:t>
      </w:r>
      <w:r>
        <w:t>20</w:t>
      </w:r>
      <w:r>
        <w:rPr>
          <w:rFonts w:hint="eastAsia"/>
        </w:rPr>
        <w:t>行。</w:t>
      </w:r>
    </w:p>
    <w:p w14:paraId="22D720EB">
      <w:pPr>
        <w:pStyle w:val="11"/>
        <w:rPr>
          <w:rFonts w:hint="eastAsia"/>
        </w:rPr>
      </w:pPr>
      <w:r>
        <w:t>2.</w:t>
      </w:r>
      <w:r>
        <w:rPr>
          <w:rFonts w:hint="eastAsia"/>
        </w:rPr>
        <w:t>当本表合计行第</w:t>
      </w:r>
      <w:r>
        <w:t>11</w:t>
      </w:r>
      <w:r>
        <w:rPr>
          <w:rFonts w:hint="eastAsia"/>
        </w:rPr>
        <w:t>列≥</w:t>
      </w:r>
      <w:r>
        <w:t>0</w:t>
      </w:r>
      <w:r>
        <w:rPr>
          <w:rFonts w:hint="eastAsia"/>
        </w:rPr>
        <w:t>，且本表合计行第</w:t>
      </w:r>
      <w:r>
        <w:t>11</w:t>
      </w:r>
      <w:r>
        <w:rPr>
          <w:rFonts w:hint="eastAsia"/>
        </w:rPr>
        <w:t>列＞表</w:t>
      </w:r>
      <w:r>
        <w:t>A100000</w:t>
      </w:r>
      <w:r>
        <w:rPr>
          <w:rFonts w:hint="eastAsia"/>
        </w:rPr>
        <w:t>第</w:t>
      </w:r>
      <w:r>
        <w:t>19</w:t>
      </w:r>
      <w:r>
        <w:rPr>
          <w:rFonts w:hint="eastAsia"/>
        </w:rPr>
        <w:t>行时，表</w:t>
      </w:r>
      <w:r>
        <w:t>A100000</w:t>
      </w:r>
      <w:r>
        <w:rPr>
          <w:rFonts w:hint="eastAsia"/>
        </w:rPr>
        <w:t>第</w:t>
      </w:r>
      <w:r>
        <w:t>20</w:t>
      </w:r>
      <w:r>
        <w:rPr>
          <w:rFonts w:hint="eastAsia"/>
        </w:rPr>
        <w:t>行＝表</w:t>
      </w:r>
      <w:r>
        <w:t>A100000</w:t>
      </w:r>
      <w:r>
        <w:rPr>
          <w:rFonts w:hint="eastAsia"/>
        </w:rPr>
        <w:t>第</w:t>
      </w:r>
      <w:r>
        <w:t>19</w:t>
      </w:r>
      <w:r>
        <w:rPr>
          <w:rFonts w:hint="eastAsia"/>
        </w:rPr>
        <w:t>行。</w:t>
      </w:r>
    </w:p>
    <w:p w14:paraId="17EB32AC">
      <w:pPr>
        <w:pStyle w:val="11"/>
        <w:rPr>
          <w:rFonts w:hint="eastAsia"/>
        </w:rPr>
      </w:pPr>
    </w:p>
    <w:p w14:paraId="41BBDB80">
      <w:pPr>
        <w:pStyle w:val="11"/>
        <w:rPr>
          <w:rFonts w:hint="eastAsia"/>
        </w:rPr>
      </w:pPr>
    </w:p>
    <w:p w14:paraId="7E6495D1">
      <w:pPr>
        <w:pStyle w:val="10"/>
        <w:jc w:val="center"/>
        <w:rPr>
          <w:rFonts w:hint="eastAsia" w:ascii="方正小标宋_GBK" w:hAnsi="方正小标宋_GBK" w:eastAsia="方正小标宋_GBK" w:cs="方正小标宋_GBK"/>
          <w:color w:val="auto"/>
          <w:lang w:eastAsia="zh-CN"/>
        </w:rPr>
      </w:pPr>
      <w:bookmarkStart w:id="28" w:name="_Toc31043"/>
      <w:bookmarkStart w:id="29" w:name="_Toc1135"/>
      <w:bookmarkStart w:id="30" w:name="_Toc164008871"/>
      <w:bookmarkStart w:id="31" w:name="_Toc21460"/>
      <w:bookmarkStart w:id="32" w:name="_Toc176972064"/>
      <w:bookmarkStart w:id="33" w:name="_Toc7160"/>
      <w:bookmarkStart w:id="34" w:name="_Toc13876"/>
      <w:bookmarkStart w:id="35" w:name="_Toc30141"/>
      <w:bookmarkStart w:id="36" w:name="_Toc1805451252"/>
      <w:r>
        <w:rPr>
          <w:rFonts w:hint="eastAsia" w:ascii="方正小标宋_GBK" w:hAnsi="方正小标宋_GBK" w:eastAsia="方正小标宋_GBK" w:cs="方正小标宋_GBK"/>
          <w:color w:val="auto"/>
        </w:rPr>
        <w:t>A107020《所得减免优惠明细表》填报说明</w:t>
      </w:r>
      <w:bookmarkEnd w:id="28"/>
      <w:bookmarkEnd w:id="29"/>
      <w:bookmarkEnd w:id="30"/>
      <w:bookmarkEnd w:id="31"/>
      <w:bookmarkEnd w:id="32"/>
      <w:bookmarkEnd w:id="33"/>
      <w:bookmarkEnd w:id="34"/>
      <w:bookmarkEnd w:id="35"/>
      <w:bookmarkEnd w:id="36"/>
      <w:r>
        <w:rPr>
          <w:rFonts w:hint="eastAsia" w:ascii="方正小标宋_GBK" w:hAnsi="方正小标宋_GBK" w:eastAsia="方正小标宋_GBK" w:cs="方正小标宋_GBK"/>
          <w:color w:val="auto"/>
          <w:lang w:eastAsia="zh-CN"/>
        </w:rPr>
        <w:t>（</w:t>
      </w:r>
      <w:r>
        <w:rPr>
          <w:rFonts w:hint="eastAsia" w:ascii="方正小标宋_GBK" w:hAnsi="方正小标宋_GBK" w:eastAsia="方正小标宋_GBK" w:cs="方正小标宋_GBK"/>
          <w:color w:val="auto"/>
          <w:lang w:val="en-US" w:eastAsia="zh-CN"/>
        </w:rPr>
        <w:t>2024新</w:t>
      </w:r>
      <w:bookmarkStart w:id="66" w:name="_GoBack"/>
      <w:bookmarkEnd w:id="66"/>
      <w:r>
        <w:rPr>
          <w:rFonts w:hint="eastAsia" w:ascii="方正小标宋_GBK" w:hAnsi="方正小标宋_GBK" w:eastAsia="方正小标宋_GBK" w:cs="方正小标宋_GBK"/>
          <w:color w:val="auto"/>
          <w:lang w:eastAsia="zh-CN"/>
        </w:rPr>
        <w:t>）</w:t>
      </w:r>
    </w:p>
    <w:p w14:paraId="4D7FE29B">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本表适用于享受所得减免优惠政策的纳税人填报。纳税人根据税法及相关税收政策规定，填报本年发生的所得减免优惠情况，《中华人民共和国企业所得税年度纳税申报</w:t>
      </w:r>
      <w:r>
        <w:rPr>
          <w:rFonts w:hint="eastAsia" w:ascii="宋体" w:hAnsi="宋体" w:cs="Times New Roman"/>
          <w:color w:val="auto"/>
          <w:kern w:val="2"/>
          <w:sz w:val="24"/>
          <w:szCs w:val="24"/>
          <w:lang w:val="en-US" w:eastAsia="zh-CN" w:bidi="ar-SA"/>
        </w:rPr>
        <w:t>主表</w:t>
      </w:r>
      <w:r>
        <w:rPr>
          <w:rFonts w:hint="eastAsia" w:ascii="宋体" w:hAnsi="宋体" w:eastAsia="宋体" w:cs="Times New Roman"/>
          <w:color w:val="auto"/>
          <w:kern w:val="2"/>
          <w:sz w:val="24"/>
          <w:szCs w:val="24"/>
          <w:lang w:val="en-US" w:eastAsia="zh-CN" w:bidi="ar-SA"/>
        </w:rPr>
        <w:t>》（A100000）第24行“纳税调整后所得”为负数的，无需填报本表。</w:t>
      </w:r>
    </w:p>
    <w:p w14:paraId="62C1A372">
      <w:pPr>
        <w:pStyle w:val="9"/>
        <w:ind w:firstLine="480"/>
        <w:jc w:val="both"/>
        <w:outlineLvl w:val="1"/>
        <w:rPr>
          <w:rFonts w:hint="eastAsia" w:ascii="黑体" w:hAnsi="黑体" w:eastAsia="黑体" w:cs="黑体"/>
          <w:color w:val="auto"/>
          <w:sz w:val="24"/>
          <w:szCs w:val="24"/>
        </w:rPr>
      </w:pPr>
      <w:bookmarkStart w:id="37" w:name="_Toc2121385532_WPSOffice_Level1"/>
      <w:bookmarkStart w:id="38" w:name="_Toc163974817"/>
      <w:bookmarkStart w:id="39" w:name="_Toc32363"/>
      <w:bookmarkStart w:id="40" w:name="_Toc621228549_WPSOffice_Level1"/>
      <w:bookmarkStart w:id="41" w:name="_Toc6297"/>
      <w:bookmarkStart w:id="42" w:name="_Toc176972065"/>
      <w:bookmarkStart w:id="43" w:name="_Toc4228"/>
      <w:bookmarkStart w:id="44" w:name="_Toc2780"/>
      <w:bookmarkStart w:id="45" w:name="_Toc54267950"/>
      <w:bookmarkStart w:id="46" w:name="_Toc780273543"/>
      <w:bookmarkStart w:id="47" w:name="_Toc21781"/>
      <w:bookmarkStart w:id="48" w:name="_Toc14158"/>
      <w:bookmarkStart w:id="49" w:name="_Toc164008872"/>
      <w:bookmarkStart w:id="50" w:name="_Toc23686"/>
      <w:r>
        <w:rPr>
          <w:rFonts w:hint="eastAsia" w:ascii="黑体" w:hAnsi="黑体" w:eastAsia="黑体" w:cs="黑体"/>
          <w:color w:val="auto"/>
          <w:sz w:val="24"/>
          <w:szCs w:val="24"/>
        </w:rPr>
        <w:t>一、有关项目填报说明</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C60CB48">
      <w:pPr>
        <w:pStyle w:val="15"/>
        <w:rPr>
          <w:rFonts w:hint="eastAsia" w:ascii="楷体_GB2312" w:hAnsi="楷体_GB2312" w:eastAsia="楷体_GB2312" w:cs="楷体_GB2312"/>
          <w:color w:val="auto"/>
        </w:rPr>
      </w:pPr>
      <w:bookmarkStart w:id="51" w:name="_Toc1655371600_WPSOffice_Level2"/>
      <w:bookmarkStart w:id="52" w:name="_Toc54267951"/>
      <w:bookmarkStart w:id="53" w:name="_Toc848793957_WPSOffice_Level2"/>
      <w:r>
        <w:rPr>
          <w:rFonts w:hint="eastAsia" w:ascii="楷体_GB2312" w:hAnsi="楷体_GB2312" w:eastAsia="楷体_GB2312" w:cs="楷体_GB2312"/>
          <w:color w:val="auto"/>
        </w:rPr>
        <w:t>（一）列次填报</w:t>
      </w:r>
      <w:bookmarkEnd w:id="51"/>
      <w:bookmarkEnd w:id="52"/>
      <w:bookmarkEnd w:id="53"/>
    </w:p>
    <w:p w14:paraId="72D518F3">
      <w:pPr>
        <w:pStyle w:val="15"/>
        <w:bidi w:val="0"/>
        <w:rPr>
          <w:rFonts w:hint="eastAsia" w:ascii="宋体" w:hAnsi="宋体" w:eastAsia="宋体" w:cs="宋体"/>
          <w:color w:val="auto"/>
        </w:rPr>
      </w:pPr>
      <w:r>
        <w:rPr>
          <w:rFonts w:hint="eastAsia" w:ascii="宋体" w:hAnsi="宋体" w:eastAsia="宋体" w:cs="宋体"/>
          <w:color w:val="auto"/>
          <w:szCs w:val="24"/>
        </w:rPr>
        <w:t>1.第1列</w:t>
      </w:r>
      <w:r>
        <w:rPr>
          <w:rFonts w:hint="eastAsia" w:ascii="宋体" w:hAnsi="宋体" w:eastAsia="宋体" w:cs="宋体"/>
          <w:color w:val="auto"/>
        </w:rPr>
        <w:t>“项目名称”：填报纳税人享受减免所得优惠的项目在会计核算上的名称。项目名称以纳税人内部规范称谓为准。</w:t>
      </w:r>
    </w:p>
    <w:p w14:paraId="4132CB73">
      <w:pPr>
        <w:pStyle w:val="15"/>
        <w:bidi w:val="0"/>
        <w:rPr>
          <w:rFonts w:hint="eastAsia" w:ascii="宋体" w:hAnsi="宋体" w:eastAsia="宋体" w:cs="宋体"/>
          <w:color w:val="auto"/>
        </w:rPr>
      </w:pPr>
      <w:r>
        <w:rPr>
          <w:rFonts w:hint="eastAsia" w:ascii="宋体" w:hAnsi="宋体" w:eastAsia="宋体" w:cs="宋体"/>
          <w:color w:val="auto"/>
        </w:rPr>
        <w:t>2.第2列“优惠事项名称”：按照该项目享受所得减免企业所得税优惠事项的具体政策内容选择填报。具体说明如下：</w:t>
      </w:r>
    </w:p>
    <w:p w14:paraId="4721A657">
      <w:pPr>
        <w:pStyle w:val="15"/>
        <w:bidi w:val="0"/>
        <w:rPr>
          <w:rFonts w:hint="eastAsia" w:ascii="宋体" w:hAnsi="宋体" w:eastAsia="宋体" w:cs="宋体"/>
          <w:color w:val="auto"/>
        </w:rPr>
      </w:pPr>
      <w:r>
        <w:rPr>
          <w:rFonts w:hint="eastAsia" w:ascii="宋体" w:hAnsi="宋体" w:eastAsia="宋体" w:cs="宋体"/>
          <w:color w:val="auto"/>
        </w:rPr>
        <w:t>（1）“农、林、牧、渔业项目”</w:t>
      </w:r>
    </w:p>
    <w:p w14:paraId="637CA383">
      <w:pPr>
        <w:pStyle w:val="15"/>
        <w:bidi w:val="0"/>
        <w:rPr>
          <w:rFonts w:hint="eastAsia" w:ascii="宋体" w:hAnsi="宋体" w:eastAsia="宋体" w:cs="宋体"/>
          <w:color w:val="auto"/>
        </w:rPr>
      </w:pPr>
      <w:r>
        <w:rPr>
          <w:rFonts w:hint="eastAsia" w:ascii="宋体" w:hAnsi="宋体" w:eastAsia="宋体" w:cs="宋体"/>
          <w:color w:val="auto"/>
        </w:rPr>
        <w:t>在以下优惠事项中选择填报：1.蔬菜、谷物、薯类、油料、豆类、棉花、麻类、糖料、水果、坚果的种植；2.农作物新品种的选育；3.中药材的种植；4.林木的培育和种植；5.牲畜、家禽的饲养；6.林产品的采集；7.灌溉、兽医、农技推广、农机作业和维修等农、林、牧、渔服务业项目；8.农产品初加工；9.远洋捕捞；10.花卉、茶以及其他饮料作物和香料作物的种植；11.海水养殖、内陆养殖；12.其他。</w:t>
      </w:r>
    </w:p>
    <w:p w14:paraId="425F6482">
      <w:pPr>
        <w:pStyle w:val="15"/>
        <w:bidi w:val="0"/>
        <w:rPr>
          <w:rFonts w:hint="eastAsia" w:ascii="宋体" w:hAnsi="宋体" w:eastAsia="宋体" w:cs="宋体"/>
          <w:color w:val="auto"/>
        </w:rPr>
      </w:pPr>
      <w:r>
        <w:rPr>
          <w:rFonts w:hint="eastAsia" w:ascii="宋体" w:hAnsi="宋体" w:eastAsia="宋体" w:cs="宋体"/>
          <w:color w:val="auto"/>
        </w:rPr>
        <w:t>（2）“国家重点扶持的公共基础设施项目”</w:t>
      </w:r>
    </w:p>
    <w:p w14:paraId="78202ACD">
      <w:pPr>
        <w:pStyle w:val="15"/>
        <w:bidi w:val="0"/>
        <w:rPr>
          <w:rFonts w:hint="eastAsia" w:ascii="宋体" w:hAnsi="宋体" w:eastAsia="宋体" w:cs="宋体"/>
          <w:color w:val="auto"/>
        </w:rPr>
      </w:pPr>
      <w:r>
        <w:rPr>
          <w:rFonts w:hint="eastAsia" w:ascii="宋体" w:hAnsi="宋体" w:eastAsia="宋体" w:cs="宋体"/>
          <w:color w:val="auto"/>
        </w:rPr>
        <w:t>在以下优惠事项中选择填报：1.港口码头项目；2.机场项目；3.铁路项目；4.公路项目；5.城市公共交通项目；6.电力项目；7.水利项目（不含农村饮水安全工程）；8.农村饮水安全工程；9.其他项目。</w:t>
      </w:r>
    </w:p>
    <w:p w14:paraId="16D806F9">
      <w:pPr>
        <w:pStyle w:val="15"/>
        <w:bidi w:val="0"/>
        <w:rPr>
          <w:rFonts w:hint="eastAsia" w:ascii="宋体" w:hAnsi="宋体" w:eastAsia="宋体" w:cs="宋体"/>
          <w:color w:val="auto"/>
        </w:rPr>
      </w:pPr>
      <w:r>
        <w:rPr>
          <w:rFonts w:hint="eastAsia" w:ascii="宋体" w:hAnsi="宋体" w:eastAsia="宋体" w:cs="宋体"/>
          <w:color w:val="auto"/>
        </w:rPr>
        <w:t>（3）“符合条件的环境保护、节能节水项目”</w:t>
      </w:r>
    </w:p>
    <w:p w14:paraId="2FAF8A68">
      <w:pPr>
        <w:pStyle w:val="15"/>
        <w:bidi w:val="0"/>
        <w:rPr>
          <w:rFonts w:hint="eastAsia" w:ascii="宋体" w:hAnsi="宋体" w:eastAsia="宋体" w:cs="宋体"/>
          <w:color w:val="auto"/>
        </w:rPr>
      </w:pPr>
      <w:r>
        <w:rPr>
          <w:rFonts w:hint="eastAsia" w:ascii="宋体" w:hAnsi="宋体" w:eastAsia="宋体" w:cs="宋体"/>
          <w:color w:val="auto"/>
          <w:lang w:eastAsia="zh-CN"/>
        </w:rPr>
        <w:t>适用《</w:t>
      </w:r>
      <w:r>
        <w:rPr>
          <w:rFonts w:hint="eastAsia" w:ascii="宋体" w:hAnsi="宋体" w:eastAsia="宋体" w:cs="宋体"/>
          <w:color w:val="auto"/>
        </w:rPr>
        <w:t>环境保护节能节水项目企业所得税优惠目录</w:t>
      </w:r>
      <w:r>
        <w:rPr>
          <w:rFonts w:hint="eastAsia" w:ascii="宋体" w:hAnsi="宋体" w:eastAsia="宋体" w:cs="宋体"/>
          <w:color w:val="auto"/>
          <w:lang w:eastAsia="zh-CN"/>
        </w:rPr>
        <w:t>》</w:t>
      </w:r>
      <w:r>
        <w:rPr>
          <w:rFonts w:hint="eastAsia" w:ascii="宋体" w:hAnsi="宋体" w:eastAsia="宋体" w:cs="宋体"/>
          <w:color w:val="auto"/>
        </w:rPr>
        <w:t>（试行）</w:t>
      </w:r>
      <w:r>
        <w:rPr>
          <w:rFonts w:hint="eastAsia" w:ascii="宋体" w:hAnsi="宋体" w:eastAsia="宋体" w:cs="宋体"/>
          <w:color w:val="auto"/>
          <w:lang w:eastAsia="zh-CN"/>
        </w:rPr>
        <w:t>的，</w:t>
      </w:r>
      <w:r>
        <w:rPr>
          <w:rFonts w:hint="eastAsia" w:ascii="宋体" w:hAnsi="宋体" w:eastAsia="宋体" w:cs="宋体"/>
          <w:color w:val="auto"/>
        </w:rPr>
        <w:t>在以下优惠事项中选择填报：1.公共污水处理项目；2.公共垃圾处理项目；3.沼气综合开发利用项目；4.节能减排技术改造项目；5.</w:t>
      </w:r>
      <w:r>
        <w:rPr>
          <w:rFonts w:hint="eastAsia" w:ascii="宋体" w:hAnsi="宋体" w:eastAsia="宋体" w:cs="宋体"/>
          <w:color w:val="auto"/>
          <w:lang w:val="en-US" w:eastAsia="zh-CN"/>
        </w:rPr>
        <w:t>含</w:t>
      </w:r>
      <w:r>
        <w:rPr>
          <w:rFonts w:hint="eastAsia" w:ascii="宋体" w:hAnsi="宋体" w:eastAsia="宋体" w:cs="宋体"/>
          <w:color w:val="auto"/>
        </w:rPr>
        <w:t>海水淡化项目</w:t>
      </w:r>
      <w:r>
        <w:rPr>
          <w:rFonts w:hint="eastAsia" w:ascii="宋体" w:hAnsi="宋体" w:eastAsia="宋体" w:cs="宋体"/>
          <w:color w:val="auto"/>
          <w:lang w:eastAsia="zh-CN"/>
        </w:rPr>
        <w:t>；</w:t>
      </w:r>
      <w:r>
        <w:rPr>
          <w:rFonts w:hint="eastAsia" w:ascii="宋体" w:hAnsi="宋体" w:eastAsia="宋体" w:cs="宋体"/>
          <w:color w:val="auto"/>
          <w:lang w:val="en-US" w:eastAsia="zh-CN"/>
        </w:rPr>
        <w:t>6.</w:t>
      </w:r>
      <w:r>
        <w:rPr>
          <w:rFonts w:hint="eastAsia" w:ascii="宋体" w:hAnsi="宋体" w:eastAsia="宋体" w:cs="宋体"/>
          <w:color w:val="auto"/>
        </w:rPr>
        <w:t>其他项目。</w:t>
      </w:r>
      <w:r>
        <w:rPr>
          <w:rFonts w:hint="eastAsia" w:ascii="宋体" w:hAnsi="宋体" w:eastAsia="宋体" w:cs="宋体"/>
          <w:color w:val="auto"/>
          <w:lang w:eastAsia="zh-CN"/>
        </w:rPr>
        <w:t>适用《环境保护、节能节水项目企业所得税优惠目录（</w:t>
      </w:r>
      <w:r>
        <w:rPr>
          <w:rFonts w:hint="eastAsia" w:ascii="宋体" w:hAnsi="宋体" w:eastAsia="宋体" w:cs="宋体"/>
          <w:color w:val="auto"/>
          <w:lang w:val="en-US" w:eastAsia="zh-CN"/>
        </w:rPr>
        <w:t>2021年版</w:t>
      </w:r>
      <w:r>
        <w:rPr>
          <w:rFonts w:hint="eastAsia" w:ascii="宋体" w:hAnsi="宋体" w:eastAsia="宋体" w:cs="宋体"/>
          <w:color w:val="auto"/>
          <w:lang w:eastAsia="zh-CN"/>
        </w:rPr>
        <w:t>）》的，按照《环境保护、节能节水项目企业所得税优惠目录（</w:t>
      </w:r>
      <w:r>
        <w:rPr>
          <w:rFonts w:hint="eastAsia" w:ascii="宋体" w:hAnsi="宋体" w:eastAsia="宋体" w:cs="宋体"/>
          <w:color w:val="auto"/>
          <w:lang w:val="en-US" w:eastAsia="zh-CN"/>
        </w:rPr>
        <w:t>2021年版</w:t>
      </w:r>
      <w:r>
        <w:rPr>
          <w:rFonts w:hint="eastAsia" w:ascii="宋体" w:hAnsi="宋体" w:eastAsia="宋体" w:cs="宋体"/>
          <w:color w:val="auto"/>
          <w:lang w:eastAsia="zh-CN"/>
        </w:rPr>
        <w:t>）》的项目名称选择填报。</w:t>
      </w:r>
    </w:p>
    <w:p w14:paraId="21B961EC">
      <w:pPr>
        <w:pStyle w:val="15"/>
        <w:bidi w:val="0"/>
        <w:rPr>
          <w:rFonts w:hint="eastAsia" w:ascii="宋体" w:hAnsi="宋体" w:eastAsia="宋体" w:cs="宋体"/>
          <w:color w:val="auto"/>
        </w:rPr>
      </w:pPr>
      <w:r>
        <w:rPr>
          <w:rFonts w:hint="eastAsia" w:ascii="宋体" w:hAnsi="宋体" w:eastAsia="宋体" w:cs="宋体"/>
          <w:color w:val="auto"/>
        </w:rPr>
        <w:t>（4）“符合条件的技术转让项目”</w:t>
      </w:r>
    </w:p>
    <w:p w14:paraId="24D93BC2">
      <w:pPr>
        <w:pStyle w:val="15"/>
        <w:bidi w:val="0"/>
        <w:rPr>
          <w:rFonts w:hint="eastAsia" w:ascii="宋体" w:hAnsi="宋体" w:eastAsia="宋体" w:cs="宋体"/>
          <w:color w:val="auto"/>
        </w:rPr>
      </w:pPr>
      <w:r>
        <w:rPr>
          <w:rFonts w:hint="eastAsia" w:ascii="宋体" w:hAnsi="宋体" w:eastAsia="宋体" w:cs="宋体"/>
          <w:color w:val="auto"/>
        </w:rPr>
        <w:t>纳税人填报“小计”行时，在以下优惠事项中选择填报：1.一般技术转让项目；2.中关村国家自主创新示范区特定区域技术转让项目。其他行次无需填报本列。</w:t>
      </w:r>
    </w:p>
    <w:p w14:paraId="708A052E">
      <w:pPr>
        <w:pStyle w:val="15"/>
        <w:bidi w:val="0"/>
        <w:rPr>
          <w:rFonts w:hint="eastAsia" w:ascii="宋体" w:hAnsi="宋体" w:eastAsia="宋体" w:cs="宋体"/>
          <w:color w:val="auto"/>
        </w:rPr>
      </w:pPr>
      <w:r>
        <w:rPr>
          <w:rFonts w:hint="eastAsia" w:ascii="宋体" w:hAnsi="宋体" w:eastAsia="宋体" w:cs="宋体"/>
          <w:color w:val="auto"/>
        </w:rPr>
        <w:t>（5）“清洁发展机制项目”：本列无需填报。</w:t>
      </w:r>
    </w:p>
    <w:p w14:paraId="39424293">
      <w:pPr>
        <w:pStyle w:val="15"/>
        <w:bidi w:val="0"/>
        <w:rPr>
          <w:rFonts w:hint="eastAsia" w:ascii="宋体" w:hAnsi="宋体" w:eastAsia="宋体" w:cs="宋体"/>
          <w:color w:val="auto"/>
        </w:rPr>
      </w:pPr>
      <w:r>
        <w:rPr>
          <w:rFonts w:hint="eastAsia" w:ascii="宋体" w:hAnsi="宋体" w:eastAsia="宋体" w:cs="宋体"/>
          <w:color w:val="auto"/>
        </w:rPr>
        <w:t>（6）“符合条件的节能服务公司实施合同能源管理项目”：本列无需填报。</w:t>
      </w:r>
    </w:p>
    <w:p w14:paraId="51E172BC">
      <w:pPr>
        <w:pStyle w:val="15"/>
        <w:bidi w:val="0"/>
        <w:rPr>
          <w:rFonts w:hint="eastAsia" w:ascii="宋体" w:hAnsi="宋体" w:eastAsia="宋体" w:cs="宋体"/>
          <w:color w:val="auto"/>
        </w:rPr>
      </w:pPr>
      <w:r>
        <w:rPr>
          <w:rFonts w:hint="eastAsia" w:ascii="宋体" w:hAnsi="宋体" w:eastAsia="宋体" w:cs="宋体"/>
          <w:color w:val="auto"/>
        </w:rPr>
        <w:t>（7）“线宽小于130纳米（含）的集成电路生产项目”</w:t>
      </w:r>
    </w:p>
    <w:p w14:paraId="2E20D509">
      <w:pPr>
        <w:pStyle w:val="15"/>
        <w:bidi w:val="0"/>
        <w:rPr>
          <w:rFonts w:hint="eastAsia" w:ascii="宋体" w:hAnsi="宋体" w:eastAsia="宋体" w:cs="宋体"/>
          <w:color w:val="auto"/>
        </w:rPr>
      </w:pPr>
      <w:r>
        <w:rPr>
          <w:rFonts w:hint="eastAsia" w:ascii="宋体" w:hAnsi="宋体" w:eastAsia="宋体" w:cs="宋体"/>
          <w:color w:val="auto"/>
        </w:rPr>
        <w:t>在以下优惠事项中选择填报：“1.国家鼓励的线宽小于130纳米（含）的集成电路生产项目（适用新政策）”和“2.线宽小于130纳米（含）的集成电路生产项目（适用原政策）”。</w:t>
      </w:r>
    </w:p>
    <w:p w14:paraId="0E273532">
      <w:pPr>
        <w:pStyle w:val="15"/>
        <w:bidi w:val="0"/>
        <w:rPr>
          <w:rFonts w:hint="eastAsia" w:ascii="宋体" w:hAnsi="宋体" w:eastAsia="宋体" w:cs="宋体"/>
          <w:color w:val="auto"/>
        </w:rPr>
      </w:pPr>
      <w:r>
        <w:rPr>
          <w:rFonts w:hint="eastAsia" w:ascii="宋体" w:hAnsi="宋体" w:eastAsia="宋体" w:cs="宋体"/>
          <w:color w:val="auto"/>
        </w:rPr>
        <w:t>（8）“线宽小于65纳米（含）或投资额超过150亿元的集成电路生产项目”</w:t>
      </w:r>
    </w:p>
    <w:p w14:paraId="4B346F90">
      <w:pPr>
        <w:pStyle w:val="15"/>
        <w:bidi w:val="0"/>
        <w:rPr>
          <w:rFonts w:hint="eastAsia" w:ascii="宋体" w:hAnsi="宋体" w:eastAsia="宋体" w:cs="宋体"/>
          <w:color w:val="auto"/>
        </w:rPr>
      </w:pPr>
      <w:r>
        <w:rPr>
          <w:rFonts w:hint="eastAsia" w:ascii="宋体" w:hAnsi="宋体" w:eastAsia="宋体" w:cs="宋体"/>
          <w:color w:val="auto"/>
        </w:rPr>
        <w:t>在以下优惠事项中选择填报：1.国家鼓励的线宽小于65纳米（含）的项目（适用新政策）；2.线宽小于65纳米（含）的项目（适用原政策）；3.投资额超过150亿元的项目（适用原政策）。</w:t>
      </w:r>
    </w:p>
    <w:p w14:paraId="17301336">
      <w:pPr>
        <w:pStyle w:val="15"/>
        <w:bidi w:val="0"/>
        <w:rPr>
          <w:rFonts w:hint="eastAsia" w:ascii="宋体" w:hAnsi="宋体" w:eastAsia="宋体" w:cs="宋体"/>
          <w:color w:val="auto"/>
        </w:rPr>
      </w:pPr>
      <w:r>
        <w:rPr>
          <w:rFonts w:hint="eastAsia" w:ascii="宋体" w:hAnsi="宋体" w:eastAsia="宋体" w:cs="宋体"/>
          <w:color w:val="auto"/>
        </w:rPr>
        <w:t>（9）“线宽小于28纳米（含）的集成电路生产项目”：本列无需填报。</w:t>
      </w:r>
    </w:p>
    <w:p w14:paraId="2C24339A">
      <w:pPr>
        <w:pStyle w:val="15"/>
        <w:bidi w:val="0"/>
        <w:rPr>
          <w:rFonts w:hint="eastAsia" w:ascii="宋体" w:hAnsi="宋体" w:eastAsia="宋体" w:cs="宋体"/>
          <w:color w:val="auto"/>
        </w:rPr>
      </w:pPr>
      <w:r>
        <w:rPr>
          <w:rFonts w:hint="eastAsia" w:ascii="宋体" w:hAnsi="宋体" w:eastAsia="宋体" w:cs="宋体"/>
          <w:color w:val="auto"/>
        </w:rPr>
        <w:t>（10）“其他”：填报上述所得减免优惠项目以外的其他所得减免优惠政策具体名称。</w:t>
      </w:r>
    </w:p>
    <w:p w14:paraId="43A7EF48">
      <w:pPr>
        <w:pStyle w:val="15"/>
        <w:bidi w:val="0"/>
        <w:rPr>
          <w:rFonts w:hint="eastAsia" w:ascii="宋体" w:hAnsi="宋体" w:eastAsia="宋体" w:cs="宋体"/>
          <w:color w:val="auto"/>
        </w:rPr>
      </w:pPr>
      <w:r>
        <w:rPr>
          <w:rFonts w:hint="eastAsia" w:ascii="宋体" w:hAnsi="宋体" w:eastAsia="宋体" w:cs="宋体"/>
          <w:color w:val="auto"/>
        </w:rPr>
        <w:t>3.第3列“优惠方式”：填报该项目享受所得减免企业所得税优惠的具体方式。该项目享受免征企业所得税优惠的，填报“免税”；项目享受减半征税企业所得税优惠的，填报“减半征收”。</w:t>
      </w:r>
    </w:p>
    <w:p w14:paraId="1B84672F">
      <w:pPr>
        <w:pStyle w:val="15"/>
        <w:bidi w:val="0"/>
        <w:rPr>
          <w:rFonts w:hint="eastAsia" w:ascii="宋体" w:hAnsi="宋体" w:eastAsia="宋体" w:cs="宋体"/>
          <w:color w:val="auto"/>
        </w:rPr>
      </w:pPr>
      <w:r>
        <w:rPr>
          <w:rFonts w:hint="eastAsia" w:ascii="宋体" w:hAnsi="宋体" w:eastAsia="宋体" w:cs="宋体"/>
          <w:color w:val="auto"/>
        </w:rPr>
        <w:t>4.第4列“项目收入”：填报享受所得减免企业所得税优惠项目取得的收入总额。</w:t>
      </w:r>
    </w:p>
    <w:p w14:paraId="2025CABD">
      <w:pPr>
        <w:pStyle w:val="15"/>
        <w:bidi w:val="0"/>
        <w:rPr>
          <w:rFonts w:hint="eastAsia" w:ascii="宋体" w:hAnsi="宋体" w:eastAsia="宋体" w:cs="宋体"/>
          <w:color w:val="auto"/>
        </w:rPr>
      </w:pPr>
      <w:r>
        <w:rPr>
          <w:rFonts w:hint="eastAsia" w:ascii="宋体" w:hAnsi="宋体" w:eastAsia="宋体" w:cs="宋体"/>
          <w:color w:val="auto"/>
        </w:rPr>
        <w:t>5.第5列“项目成本”：填报享受所得减免企业所得税优惠项目发生的成本总额。</w:t>
      </w:r>
    </w:p>
    <w:p w14:paraId="3DA7E252">
      <w:pPr>
        <w:pStyle w:val="15"/>
        <w:bidi w:val="0"/>
        <w:rPr>
          <w:rFonts w:hint="eastAsia" w:ascii="宋体" w:hAnsi="宋体" w:eastAsia="宋体" w:cs="宋体"/>
          <w:color w:val="auto"/>
        </w:rPr>
      </w:pPr>
      <w:r>
        <w:rPr>
          <w:rFonts w:hint="eastAsia" w:ascii="宋体" w:hAnsi="宋体" w:eastAsia="宋体" w:cs="宋体"/>
          <w:color w:val="auto"/>
        </w:rPr>
        <w:t>6.第6列“相关税费”：填报享受所得减免企业所得税优惠项目实际发生的有关税费总额，包括除企业所得税和允许抵扣的增值税以外的各项税金及其附加、合同签订费用、律师费等相关费用及其他支出。</w:t>
      </w:r>
    </w:p>
    <w:p w14:paraId="3EE1B773">
      <w:pPr>
        <w:pStyle w:val="15"/>
        <w:bidi w:val="0"/>
        <w:rPr>
          <w:rFonts w:hint="eastAsia" w:ascii="宋体" w:hAnsi="宋体" w:eastAsia="宋体" w:cs="宋体"/>
          <w:color w:val="auto"/>
        </w:rPr>
      </w:pPr>
      <w:r>
        <w:rPr>
          <w:rFonts w:hint="eastAsia" w:ascii="宋体" w:hAnsi="宋体" w:eastAsia="宋体" w:cs="宋体"/>
          <w:color w:val="auto"/>
        </w:rPr>
        <w:t>7.第7列“应分摊期间费用”：填报享受所得减免企业所得税优惠项目合理分摊的期间费用总额。合理分摊比例可以按照投资额、销售收入、资产额、人员工资等参数确定，一经确定，不得随意变更。</w:t>
      </w:r>
    </w:p>
    <w:p w14:paraId="07CCAD59">
      <w:pPr>
        <w:pStyle w:val="15"/>
        <w:bidi w:val="0"/>
        <w:rPr>
          <w:rFonts w:hint="eastAsia" w:ascii="宋体" w:hAnsi="宋体" w:eastAsia="宋体" w:cs="宋体"/>
          <w:color w:val="auto"/>
        </w:rPr>
      </w:pPr>
      <w:r>
        <w:rPr>
          <w:rFonts w:hint="eastAsia" w:ascii="宋体" w:hAnsi="宋体" w:eastAsia="宋体" w:cs="宋体"/>
          <w:color w:val="auto"/>
        </w:rPr>
        <w:t>8.第8列“纳税调整额”：填报纳税人按照税收规定需要调整减免税项目收入、成本、费用的金额，纳税调减以“-”号填列。</w:t>
      </w:r>
    </w:p>
    <w:p w14:paraId="2013378A">
      <w:pPr>
        <w:pStyle w:val="15"/>
        <w:bidi w:val="0"/>
        <w:rPr>
          <w:rFonts w:hint="eastAsia" w:ascii="宋体" w:hAnsi="宋体" w:eastAsia="宋体" w:cs="宋体"/>
          <w:color w:val="auto"/>
        </w:rPr>
      </w:pPr>
      <w:r>
        <w:rPr>
          <w:rFonts w:hint="eastAsia" w:ascii="宋体" w:hAnsi="宋体" w:eastAsia="宋体" w:cs="宋体"/>
          <w:color w:val="auto"/>
        </w:rPr>
        <w:t>9.第9列“项目所得额\免税项目”：填报享受所得减免企业所得税优惠的纳税人计算确认的本期免税项目所得额。本列根据第3列分析填报，第3列填报“免税”的，填报第4-5-6-7+8列金额，当第4-5-6-7+8列＜0时，填报0。</w:t>
      </w:r>
    </w:p>
    <w:p w14:paraId="392CB05F">
      <w:pPr>
        <w:pStyle w:val="15"/>
        <w:bidi w:val="0"/>
        <w:rPr>
          <w:rFonts w:hint="eastAsia" w:ascii="宋体" w:hAnsi="宋体" w:eastAsia="宋体" w:cs="宋体"/>
          <w:color w:val="auto"/>
        </w:rPr>
      </w:pPr>
      <w:r>
        <w:rPr>
          <w:rFonts w:hint="eastAsia" w:ascii="宋体" w:hAnsi="宋体" w:eastAsia="宋体" w:cs="宋体"/>
          <w:color w:val="auto"/>
        </w:rPr>
        <w:t>第9列“符合条件的技术转让项目”的“小计”行：当第4-5-6-7+8列≤限额时，填报第4-5-6-7+8列金额（超过限额部分的金额填入第10列）；当第4-5-6-7+8列＜0时，填报0。如果本行第2列选择“一般技术转让项目”，限额为500万元；如果选择“中关村国家自主创新示范区特定区域技术转让项目”，限额为2000万元。</w:t>
      </w:r>
    </w:p>
    <w:p w14:paraId="56DB9B00">
      <w:pPr>
        <w:pStyle w:val="15"/>
        <w:bidi w:val="0"/>
        <w:rPr>
          <w:rFonts w:hint="eastAsia" w:ascii="宋体" w:hAnsi="宋体" w:eastAsia="宋体" w:cs="宋体"/>
          <w:color w:val="auto"/>
        </w:rPr>
      </w:pPr>
      <w:r>
        <w:rPr>
          <w:rFonts w:hint="eastAsia" w:ascii="宋体" w:hAnsi="宋体" w:eastAsia="宋体" w:cs="宋体"/>
          <w:color w:val="auto"/>
        </w:rPr>
        <w:t>10.第10列“项目所得额\减半项目”：填报享受所得减免企业所得税优惠的纳税人本期经计算确认的减半征收项目所得额。本列根据第3列分析填报，第3列填报“减半征税”的，填报第4-5-6-7+8列金额，当第4-5-6-7+8列＜0时，填报0。</w:t>
      </w:r>
    </w:p>
    <w:p w14:paraId="441F0A58">
      <w:pPr>
        <w:pStyle w:val="15"/>
        <w:bidi w:val="0"/>
        <w:rPr>
          <w:rFonts w:hint="eastAsia" w:ascii="宋体" w:hAnsi="宋体" w:eastAsia="宋体" w:cs="宋体"/>
          <w:color w:val="auto"/>
        </w:rPr>
      </w:pPr>
      <w:r>
        <w:rPr>
          <w:rFonts w:hint="eastAsia" w:ascii="宋体" w:hAnsi="宋体" w:eastAsia="宋体" w:cs="宋体"/>
          <w:color w:val="auto"/>
        </w:rPr>
        <w:t>第10列“符合条件的技术转让项目”的“小计”行：填报第4-5-6-7+8列金额超过限额的部分。如果本行第2列选择“一般技术转让项目”，限额为500万元；如果选择“中关村国家自主创新示范区特定区域技术转让项目”，限额为2000万元。</w:t>
      </w:r>
    </w:p>
    <w:p w14:paraId="69E587D8">
      <w:pPr>
        <w:pStyle w:val="15"/>
        <w:bidi w:val="0"/>
        <w:rPr>
          <w:rFonts w:hint="eastAsia" w:ascii="宋体" w:hAnsi="宋体" w:eastAsia="宋体" w:cs="宋体"/>
          <w:color w:val="auto"/>
        </w:rPr>
      </w:pPr>
      <w:r>
        <w:rPr>
          <w:rFonts w:hint="eastAsia" w:ascii="宋体" w:hAnsi="宋体" w:eastAsia="宋体" w:cs="宋体"/>
          <w:color w:val="auto"/>
        </w:rPr>
        <w:t>11.第11列“减免所得额”：享受所得减免企业所得税优惠的企业，填报该项目按照税收规定实际可以享受免征、减征的所得额，按第9列+第10列×50%金额填报。</w:t>
      </w:r>
    </w:p>
    <w:p w14:paraId="6217AFEA">
      <w:pPr>
        <w:pStyle w:val="15"/>
        <w:bidi w:val="0"/>
        <w:rPr>
          <w:rFonts w:hint="eastAsia" w:ascii="楷体_GB2312" w:hAnsi="楷体_GB2312" w:eastAsia="楷体_GB2312" w:cs="楷体_GB2312"/>
          <w:color w:val="auto"/>
        </w:rPr>
      </w:pPr>
      <w:bookmarkStart w:id="54" w:name="_Toc1679270418_WPSOffice_Level2"/>
      <w:bookmarkStart w:id="55" w:name="_Toc213309911_WPSOffice_Level2"/>
      <w:bookmarkStart w:id="56" w:name="_Toc54267952"/>
      <w:r>
        <w:rPr>
          <w:rFonts w:hint="eastAsia" w:ascii="楷体_GB2312" w:hAnsi="楷体_GB2312" w:eastAsia="楷体_GB2312" w:cs="楷体_GB2312"/>
          <w:color w:val="auto"/>
        </w:rPr>
        <w:t>（二）行次填报</w:t>
      </w:r>
      <w:bookmarkEnd w:id="54"/>
      <w:bookmarkEnd w:id="55"/>
      <w:bookmarkEnd w:id="56"/>
    </w:p>
    <w:p w14:paraId="56AC3860">
      <w:pPr>
        <w:pStyle w:val="15"/>
        <w:bidi w:val="0"/>
        <w:rPr>
          <w:rFonts w:hint="eastAsia" w:ascii="宋体" w:hAnsi="宋体" w:eastAsia="宋体" w:cs="宋体"/>
          <w:color w:val="auto"/>
        </w:rPr>
      </w:pPr>
      <w:r>
        <w:rPr>
          <w:rFonts w:hint="eastAsia" w:ascii="宋体" w:hAnsi="宋体" w:eastAsia="宋体" w:cs="宋体"/>
          <w:color w:val="auto"/>
        </w:rPr>
        <w:t>1.第1行至第3行“农、林、牧、渔业项目”：按农、林、牧、渔业项目的优惠政策具体内容分别填报，一个项目填报一行，纳税人有多个项目的，可自行增加行次填报。各行相应列次填报金额的合计金额填入“小计”行。根据《财政部 国家税务总局关于发布享受企业所得税优惠政策的农产品初加工范围（试行）的通知》（财税〔2008〕149号）、《国家税务总局关于黑龙江垦区国有农场土地承包费缴纳企业所得税问题的批复》（国税函〔2009〕779号）、《国家税务总局关于“公司＋农户”经营模式企业所得税优惠问题的公告》（2010年第2号）、《财政部 国家税务总局关于享受企业所得税优惠的农产品初加工有关范围的补充通知》（财税〔2011〕26号）、《国家税务总局关于实施农 林 牧 渔业项目企业所得税优惠问题的公告》（2011年第48号）等相关税收政策规定，填报本纳税年度发生的减征、免征企业所得税项目的有关情况。</w:t>
      </w:r>
    </w:p>
    <w:p w14:paraId="6AD4FF79">
      <w:pPr>
        <w:pStyle w:val="15"/>
        <w:bidi w:val="0"/>
        <w:rPr>
          <w:rFonts w:hint="eastAsia" w:ascii="宋体" w:hAnsi="宋体" w:eastAsia="宋体" w:cs="宋体"/>
          <w:color w:val="auto"/>
        </w:rPr>
      </w:pPr>
      <w:r>
        <w:rPr>
          <w:rFonts w:hint="eastAsia" w:ascii="宋体" w:hAnsi="宋体" w:eastAsia="宋体" w:cs="宋体"/>
          <w:color w:val="auto"/>
        </w:rPr>
        <w:t>2.第4行至第6行“国家重点扶持的公共基础设施项目”：按国家重点扶持的公共基础设施项目具体内容分别填报，一个项目填报一行，纳税人有多个项目的，可自行增加行次填报。各行相应列次填报金额的合计金额填入“小计”行。根据《财政部 国家税务总局关于执行公共基础设施项目企业所得税优惠目录有关问题的通知》（财税〔2008〕46号）、《财政部 国家税务总局 国家发展改革委关于公布公共基础设施项目企业所得税优惠目录(2008年版)的通知》（财税〔2008〕116号）、《国家税务总局关于实施国家重点扶持的公共基础设施项目企业所得税优惠问题的通知》（国税发〔2009〕80号）、《财政部 国家税务总局关于公共基础设施项目和环境保护节能节水项目企业所得税优惠政策问题的通知》（财税〔2012〕10号）、《国家税务总局关于电网企业电网新建项目享受所得税优惠政策问题的公告》（2013年第26号）、《财政部 国家税务总局关于公共基础设施项目享受企业所得税优惠政策问题的补充通知》（财税〔2014〕55号）、《财政部 税务总局关于继续实行农村饮水安全工程税收优惠政策的公告》（2019年第67号）、《财政部 税务总局关于延长部分税收优惠政策执行期限的公告》（2021年第6号）</w:t>
      </w:r>
      <w:r>
        <w:rPr>
          <w:rFonts w:hint="eastAsia" w:ascii="宋体" w:hAnsi="宋体" w:eastAsia="宋体" w:cs="宋体"/>
          <w:color w:val="auto"/>
          <w:lang w:eastAsia="zh-CN"/>
        </w:rPr>
        <w:t>、《财政部</w:t>
      </w:r>
      <w:r>
        <w:rPr>
          <w:rFonts w:hint="eastAsia" w:ascii="宋体" w:hAnsi="宋体" w:eastAsia="宋体" w:cs="宋体"/>
          <w:color w:val="auto"/>
          <w:lang w:val="en-US" w:eastAsia="zh-CN"/>
        </w:rPr>
        <w:t xml:space="preserve"> 税务总局关于继续实施农村饮水安全工程税收优惠政策的公告</w:t>
      </w:r>
      <w:r>
        <w:rPr>
          <w:rFonts w:hint="eastAsia" w:ascii="宋体" w:hAnsi="宋体" w:eastAsia="宋体" w:cs="宋体"/>
          <w:color w:val="auto"/>
          <w:lang w:eastAsia="zh-CN"/>
        </w:rPr>
        <w:t>》（</w:t>
      </w:r>
      <w:r>
        <w:rPr>
          <w:rFonts w:hint="eastAsia" w:ascii="宋体" w:hAnsi="宋体" w:eastAsia="宋体" w:cs="宋体"/>
          <w:color w:val="auto"/>
          <w:lang w:val="en-US" w:eastAsia="zh-CN"/>
        </w:rPr>
        <w:t>2023年第58号</w:t>
      </w:r>
      <w:r>
        <w:rPr>
          <w:rFonts w:hint="eastAsia" w:ascii="宋体" w:hAnsi="宋体" w:eastAsia="宋体" w:cs="宋体"/>
          <w:color w:val="auto"/>
          <w:lang w:eastAsia="zh-CN"/>
        </w:rPr>
        <w:t>）</w:t>
      </w:r>
      <w:r>
        <w:rPr>
          <w:rFonts w:hint="eastAsia" w:ascii="宋体" w:hAnsi="宋体" w:eastAsia="宋体" w:cs="宋体"/>
          <w:color w:val="auto"/>
        </w:rPr>
        <w:t>等相关税收政策规定，从事《公共基础设施项目企业所得税优惠目录》规定的港口码头、机场、铁路、公路、城市公共交通、电力、水利等项目的投资经营的所得，自项目取得第一笔生产经营收入所属纳税年度起，第一年至第三年免征企业所得税，第四年至第六年减半征收企业所得税，不包括企业承包经营、承包建设和内部自建自用该项目的所得。本行填报本纳税年度发生的减征、免征企业所得税项目的有关情况。</w:t>
      </w:r>
    </w:p>
    <w:p w14:paraId="4DD1F51E">
      <w:pPr>
        <w:pStyle w:val="15"/>
        <w:bidi w:val="0"/>
        <w:rPr>
          <w:rFonts w:hint="eastAsia" w:ascii="宋体" w:hAnsi="宋体" w:eastAsia="宋体" w:cs="宋体"/>
          <w:color w:val="auto"/>
        </w:rPr>
      </w:pPr>
      <w:r>
        <w:rPr>
          <w:rFonts w:hint="eastAsia" w:ascii="宋体" w:hAnsi="宋体" w:eastAsia="宋体" w:cs="宋体"/>
          <w:color w:val="auto"/>
          <w:szCs w:val="22"/>
        </w:rPr>
        <w:t>3.第</w:t>
      </w:r>
      <w:r>
        <w:rPr>
          <w:rFonts w:hint="eastAsia" w:ascii="宋体" w:hAnsi="宋体" w:eastAsia="宋体" w:cs="宋体"/>
          <w:color w:val="auto"/>
        </w:rPr>
        <w:t>7行至第9行“符合条件的环境保护、节能节水项目”：按符合条件的环境保护、节能节水项目的具体内容分别填报，一个项目填报一行。纳税人有多个项目的，可自行增加行次填报。各行相应列次填报金额的合计金额填入“小计”行。根据《财政部 国家税务总局 国家发展改革委关于公布环境保护节能节水项目企业所得税优惠目录（试行）的通知》（财税〔2009〕166号）、《财政部 国家税务总局关于公共基础设施项目和环境保护节能节水项目企业所得税优惠政策问题的通知》（财税〔2012〕10号）</w:t>
      </w:r>
      <w:r>
        <w:rPr>
          <w:rFonts w:hint="eastAsia" w:ascii="宋体" w:hAnsi="宋体" w:eastAsia="宋体" w:cs="宋体"/>
          <w:color w:val="auto"/>
          <w:lang w:eastAsia="zh-CN"/>
        </w:rPr>
        <w:t>、《</w:t>
      </w:r>
      <w:r>
        <w:rPr>
          <w:rFonts w:hint="eastAsia" w:ascii="宋体" w:hAnsi="宋体" w:eastAsia="宋体" w:cs="宋体"/>
          <w:color w:val="auto"/>
        </w:rPr>
        <w:t xml:space="preserve">财政部 </w:t>
      </w:r>
      <w:r>
        <w:rPr>
          <w:rFonts w:hint="eastAsia" w:ascii="宋体" w:hAnsi="宋体" w:eastAsia="宋体" w:cs="宋体"/>
          <w:color w:val="auto"/>
          <w:lang w:eastAsia="zh-CN"/>
        </w:rPr>
        <w:t>税务总局</w:t>
      </w:r>
      <w:r>
        <w:rPr>
          <w:rFonts w:hint="eastAsia" w:ascii="宋体" w:hAnsi="宋体" w:eastAsia="宋体" w:cs="宋体"/>
          <w:color w:val="auto"/>
          <w:lang w:val="en-US" w:eastAsia="zh-CN"/>
        </w:rPr>
        <w:t xml:space="preserve"> 国家发展改革委 生态环境部关于公布〈环境保护、节能节水项目企业所得税优惠目录（2021年版）〉以及〈资源综合利用企业所得税优惠目录（2021年版）〉的公告</w:t>
      </w:r>
      <w:r>
        <w:rPr>
          <w:rFonts w:hint="eastAsia" w:ascii="宋体" w:hAnsi="宋体" w:eastAsia="宋体" w:cs="宋体"/>
          <w:color w:val="auto"/>
          <w:lang w:eastAsia="zh-CN"/>
        </w:rPr>
        <w:t>》（</w:t>
      </w:r>
      <w:r>
        <w:rPr>
          <w:rFonts w:hint="eastAsia" w:ascii="宋体" w:hAnsi="宋体" w:eastAsia="宋体" w:cs="宋体"/>
          <w:color w:val="auto"/>
          <w:lang w:val="en-US" w:eastAsia="zh-CN"/>
        </w:rPr>
        <w:t>2021年第36号</w:t>
      </w:r>
      <w:r>
        <w:rPr>
          <w:rFonts w:hint="eastAsia" w:ascii="宋体" w:hAnsi="宋体" w:eastAsia="宋体" w:cs="宋体"/>
          <w:color w:val="auto"/>
          <w:lang w:eastAsia="zh-CN"/>
        </w:rPr>
        <w:t>）</w:t>
      </w:r>
      <w:r>
        <w:rPr>
          <w:rFonts w:hint="eastAsia" w:ascii="宋体" w:hAnsi="宋体" w:eastAsia="宋体" w:cs="宋体"/>
          <w:color w:val="auto"/>
        </w:rPr>
        <w:t>等相关税收政策规定，从事符合条件的环境保护、节能节水项目的所得，自项目取得第一笔生产经营收入所属纳税年度起，第一年至第三年免征企业所得税，第四年至第六年减半征收企业所得税。本行填报本纳税年度发生的减征、免征企业所得税项目的有关情况。</w:t>
      </w:r>
    </w:p>
    <w:p w14:paraId="23C86D19">
      <w:pPr>
        <w:pStyle w:val="15"/>
        <w:bidi w:val="0"/>
        <w:rPr>
          <w:rFonts w:hint="eastAsia" w:ascii="宋体" w:hAnsi="宋体" w:eastAsia="宋体" w:cs="宋体"/>
          <w:color w:val="auto"/>
        </w:rPr>
      </w:pPr>
      <w:r>
        <w:rPr>
          <w:rFonts w:hint="eastAsia" w:ascii="宋体" w:hAnsi="宋体" w:eastAsia="宋体" w:cs="宋体"/>
          <w:color w:val="auto"/>
        </w:rPr>
        <w:t>4.第10行至第12行“符合条件的技术转让项目”：按照不同技术转让项目分别填报，一个项目填报一行，纳税人有多个项目的，可自行增加行次填报。各行相应列次填报金额的合计金额填入“小计”行。根据《国家税务总局关于技术转让所得减免企业所得税有关问题的通知》（国税函〔2009〕212号）、《财政部 国家税务总局关于居民企业技术转让有关企业所得税政策问题的通知》（财税〔2010〕111号）、《国家税务总局关于技术转让所得减免企业所得税有关问题的公告》（2013年第62号）、《国家税务总局关于许可使用权技术转让所得企业所得税有关问题的公告》（2015年第82号）、《财政部 税务总局 科技部 知识产权局关于中关村国家自主创新示范区特定区域技术转让企业所得税试点政策的通知》（财税〔2020〕61号）等相关税收政策规定，一个纳税年度内，居民企业将其拥有的专利技术、计算机软件著作权、集成电路布图设计权、植物新品种权、生物医药新品种，以及财政部和国家税务总局确定的其他技术的所有权或符合规定年限的全球独占许可使用权、符合规定年限的非独占许可使用权转让取得的所得，不超过500（或2000）万元的部分，免征企业所得税；超过500（或2000）万元的部分，减半征收企业所得税。本行填报本纳税年度发生的减征、免征企业所得税项目的有关情况。</w:t>
      </w:r>
    </w:p>
    <w:p w14:paraId="133CF2FB">
      <w:pPr>
        <w:pStyle w:val="15"/>
        <w:bidi w:val="0"/>
        <w:rPr>
          <w:rFonts w:hint="eastAsia" w:ascii="宋体" w:hAnsi="宋体" w:eastAsia="宋体" w:cs="宋体"/>
          <w:color w:val="auto"/>
        </w:rPr>
      </w:pPr>
      <w:r>
        <w:rPr>
          <w:rFonts w:hint="eastAsia" w:ascii="宋体" w:hAnsi="宋体" w:eastAsia="宋体" w:cs="宋体"/>
          <w:color w:val="auto"/>
        </w:rPr>
        <w:t>5.第13行至第15行“清洁发展机制项目”：按照实施的清洁发展机制的不同项目分别填报，一个项目填报一行，纳税人有多个项目的，可自行增加行次填报。各行相应列次填报金额的合计金额填入“小计”行。根据《财政部 国家税务总局关于中国清洁发展机制基金及清洁发展机制项目实施企业有关企业所得税政策问题的通知》（财税〔2009〕30号）等相关税收政策规定，企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本行填报本纳税年度发生的减征、免征企业所得税项目的有关情况。</w:t>
      </w:r>
    </w:p>
    <w:p w14:paraId="30CA711A">
      <w:pPr>
        <w:pStyle w:val="15"/>
        <w:bidi w:val="0"/>
        <w:rPr>
          <w:rFonts w:hint="eastAsia" w:ascii="宋体" w:hAnsi="宋体" w:eastAsia="宋体" w:cs="宋体"/>
          <w:color w:val="auto"/>
        </w:rPr>
      </w:pPr>
      <w:r>
        <w:rPr>
          <w:rFonts w:hint="eastAsia" w:ascii="宋体" w:hAnsi="宋体" w:eastAsia="宋体" w:cs="宋体"/>
          <w:color w:val="auto"/>
        </w:rPr>
        <w:t>6.第16行至第18行“符合条件的节能服务公司实施合同能源管理项目”：按照节能服务公司实施合同能源管理的不同项目分别填报，一个项目填报一行，纳税人有多个项目的，可自行增加行次填报。各行相应列次填报金额的合计金额填入“小计”行。根据《财政部 国家税务总局关于促进节能服务产业发展增值税 营业税和企业所得税政策问题的通知》（财税〔2010〕110号）、《国家税务总局 国家发展改革委关于落实节能服务企业合同能源管理项目企业所得税优惠政策有关征收管理问题的公告》（2013年第77号）等相关税收政策规定，符合条件的节能服务公司实施合同能源管理项目，符合税法有关规定的，自项目取得第一笔生产经营收入所属纳税年度起，第一年至第三年免征企业所得税，第四年至第六年按照25%的法定税率减半征收企业所得税。本行填报本纳税年度发生的减征、免征企业所得税项目的有关情况。</w:t>
      </w:r>
    </w:p>
    <w:p w14:paraId="3CBC9E77">
      <w:pPr>
        <w:pStyle w:val="15"/>
        <w:bidi w:val="0"/>
        <w:rPr>
          <w:rFonts w:hint="eastAsia" w:ascii="宋体" w:hAnsi="宋体" w:eastAsia="宋体" w:cs="宋体"/>
          <w:color w:val="auto"/>
        </w:rPr>
      </w:pPr>
      <w:r>
        <w:rPr>
          <w:rFonts w:hint="eastAsia" w:ascii="宋体" w:hAnsi="宋体" w:eastAsia="宋体" w:cs="宋体"/>
          <w:color w:val="auto"/>
        </w:rPr>
        <w:t>7.第19行至第21行“线宽小于130纳米（含）的集成电路生产项目”：按照投资的线宽小于130纳米（含）的集成电路生产项目的不同项目分别填报，一个项目填报一行，纳税人有多个项目的，可自行增加行次填报。各行相应列次填报金额的合计金额填入“小计”行。</w:t>
      </w:r>
    </w:p>
    <w:p w14:paraId="6F557A8C">
      <w:pPr>
        <w:pStyle w:val="15"/>
        <w:bidi w:val="0"/>
        <w:rPr>
          <w:rFonts w:hint="eastAsia" w:ascii="宋体" w:hAnsi="宋体" w:eastAsia="宋体" w:cs="宋体"/>
          <w:color w:val="auto"/>
        </w:rPr>
      </w:pPr>
      <w:r>
        <w:rPr>
          <w:rFonts w:hint="eastAsia" w:ascii="宋体" w:hAnsi="宋体" w:eastAsia="宋体" w:cs="宋体"/>
          <w:color w:val="auto"/>
        </w:rPr>
        <w:t>根据《财政部 税务总局 国家发展改革委 工业和信息化部关于集成电路生产企业有关企业所得税政策问题的通知》（财税〔2018〕27号）规定，线宽小于130纳米（含），且经营期在10年以上的集成电路生产项目，自项目取得第一笔生产经营收入所属纳税年度起，第一年至第二年免征企业所得税，第三年至第五年按照25%的法定税率减半征收企业所得税，符合上述政策条件且在2019年（含）之前已经进入优惠期的企业，2020年（含）起可按政策规定享受至期满为止。根据《财政部 税务总局 发展改革委 工业和信息化部关于促进集成电路和软件产业高质量发展企业所得税政策的公告》（2020年第45号）规定，国家鼓励的线宽小于130纳米（含），且经营期在10年以上的集成电路生产项目，自项目取得第一笔生产经营收入所属纳税年度起，第一年至第二年免征企业所得税，第三年至第五年按照25%的法定税率减半征收企业所得税。本行填报本纳税年度发生的减征、免征企业所得税项目的有关情况。填报该项目的纳税人还应填报《软件、集成电路企业优惠情况及明细表》（A107042），若纳税人不享受集成电路生产企业减免所得税优惠事项，只需填报表A107042“基本信息”和“关键指标情况”，无需填报“减免税额”。</w:t>
      </w:r>
    </w:p>
    <w:p w14:paraId="2DAFD802">
      <w:pPr>
        <w:pStyle w:val="15"/>
        <w:bidi w:val="0"/>
        <w:rPr>
          <w:rFonts w:hint="eastAsia" w:ascii="宋体" w:hAnsi="宋体" w:eastAsia="宋体" w:cs="宋体"/>
          <w:color w:val="auto"/>
        </w:rPr>
      </w:pPr>
      <w:r>
        <w:rPr>
          <w:rFonts w:hint="eastAsia" w:ascii="宋体" w:hAnsi="宋体" w:eastAsia="宋体" w:cs="宋体"/>
          <w:color w:val="auto"/>
        </w:rPr>
        <w:t>8.第22行至第24行“线宽小于65纳米（含）或投资额超过150亿元的集成电路生产项目”：按照投资的线宽小于65纳米（含）或投资额超过150亿元的集成电路生产项目的不同项目分别填报，一个项目填报一行，纳税人有多个项目的，可自行增加行次填报。各行相应列次填报金额的合计金额填入“小计”行。根据财税〔2018〕27号规定，线宽小于65纳米（含）或投资额超过150亿元，且经营期在15年以上的集成电路生产项目，自项目取得第一笔生产经营收入所属纳税年度起，第一年至第五年免征企业所得税，第六年至第十年按照25%的法定税率减半征收企业所得税。符合上述政策条件且在2019年（含）之前已经进入优惠期的企业，2020年（含）起可按政策规定享受至期满为止。根据《财政部 税务总局 发展改革委 工业和信息化部关于促进集成电路和软件产业高质量发展企业所得税政策的公告》（2020年第45号）规定，国家鼓励的线宽小于65纳米（含），且经营期在15年以上的集成电路生产项目，自项目取得第一笔生产经营收入所属纳税年度起，第一年至第五年免征企业所得税，第六年至第十年按照25%的法定税率减半征收企业所得税。本行填报本纳税年度发生的减征、免征企业所得税项目的有关情况。填报该项目的纳税人还应填报《软件、集成电路企业优惠情况及明细表》（A107042），若纳税人不享受集成电路生产企业减免所得税优惠事项，只需填报表A107042“基本信息”和“关键指标情况”，无需填报“减免税额”。</w:t>
      </w:r>
    </w:p>
    <w:p w14:paraId="010525F9">
      <w:pPr>
        <w:pStyle w:val="15"/>
        <w:bidi w:val="0"/>
        <w:rPr>
          <w:rFonts w:hint="eastAsia" w:ascii="宋体" w:hAnsi="宋体" w:eastAsia="宋体" w:cs="宋体"/>
          <w:color w:val="auto"/>
        </w:rPr>
      </w:pPr>
      <w:r>
        <w:rPr>
          <w:rFonts w:hint="eastAsia" w:ascii="宋体" w:hAnsi="宋体" w:eastAsia="宋体" w:cs="宋体"/>
          <w:color w:val="auto"/>
          <w:szCs w:val="22"/>
        </w:rPr>
        <w:t>9</w:t>
      </w:r>
      <w:r>
        <w:rPr>
          <w:rFonts w:hint="eastAsia" w:ascii="宋体" w:hAnsi="宋体" w:eastAsia="宋体" w:cs="宋体"/>
          <w:color w:val="auto"/>
          <w:lang w:val="en-US" w:eastAsia="zh-CN"/>
        </w:rPr>
        <w:t>.</w:t>
      </w:r>
      <w:r>
        <w:rPr>
          <w:rFonts w:hint="eastAsia" w:ascii="宋体" w:hAnsi="宋体" w:eastAsia="宋体" w:cs="宋体"/>
          <w:color w:val="auto"/>
        </w:rPr>
        <w:t>第25行至27行“线宽小于28纳米（含）的集成电路生产项目减免企业所得税（填写A107042）”：按照投资的线宽小于28纳米（含）的集成电路生产项目的不同项目分别填报，一个项目填报一行，纳税人有多个项目的，可自行增加行次填报。各行相应列次填报金额的合计金额填入“小计”行。根据《财政部 税务总局 发展改革委 工业和信息化部关于促进集成电路和软件产业高质量发展企业所得税政策的公告》（2020年第45号）规定，国家鼓励的集成电路线宽小于28纳米（含），且经营期在15年以上的集成电路生产项目，第一年至第十年免征企业所得税。本行填报本纳税年度发生的免征企业所得税项目的有关情况。填报该项目的纳税人还应填报《软件、集成电路企业优惠情况及明细表》（A107042），若纳税人不享受集成电路生产企业减免所得税优惠事项，只需填报表A107042“基本信息”和“关键指标情况”，无需填报“减免税额”。</w:t>
      </w:r>
    </w:p>
    <w:p w14:paraId="1C5AE9B1">
      <w:pPr>
        <w:pStyle w:val="15"/>
        <w:bidi w:val="0"/>
        <w:rPr>
          <w:rFonts w:hint="eastAsia" w:ascii="宋体" w:hAnsi="宋体" w:eastAsia="宋体" w:cs="宋体"/>
          <w:color w:val="auto"/>
        </w:rPr>
      </w:pPr>
      <w:r>
        <w:rPr>
          <w:rFonts w:hint="eastAsia" w:ascii="宋体" w:hAnsi="宋体" w:eastAsia="宋体" w:cs="宋体"/>
          <w:color w:val="auto"/>
        </w:rPr>
        <w:t>10.第28行至第30行“其他”：填报纳税人享受的其他专项减免项目名称、优惠事项名称及减免税代码、项目收入等。按照享受所得减免企业所得税优惠的其他项目内容分别填报，一个项目填报一行，纳税人有多个项目的，可自行增加行次填报。各行相应列次填报金额的合计金额填入“小计”行。</w:t>
      </w:r>
    </w:p>
    <w:p w14:paraId="3DBD3D57">
      <w:pPr>
        <w:pStyle w:val="15"/>
        <w:bidi w:val="0"/>
        <w:rPr>
          <w:rFonts w:hint="eastAsia" w:ascii="宋体" w:hAnsi="宋体" w:eastAsia="宋体" w:cs="宋体"/>
          <w:color w:val="auto"/>
        </w:rPr>
      </w:pPr>
      <w:r>
        <w:rPr>
          <w:rFonts w:hint="eastAsia" w:ascii="宋体" w:hAnsi="宋体" w:eastAsia="宋体" w:cs="宋体"/>
          <w:color w:val="auto"/>
        </w:rPr>
        <w:t>11.第31行“合计”：填报第一项至第十项“小计”行的合计金额。</w:t>
      </w:r>
    </w:p>
    <w:p w14:paraId="4DD8352E">
      <w:pPr>
        <w:pStyle w:val="15"/>
        <w:rPr>
          <w:rFonts w:hint="eastAsia" w:ascii="黑体" w:hAnsi="黑体" w:eastAsia="黑体" w:cs="黑体"/>
          <w:color w:val="auto"/>
        </w:rPr>
      </w:pPr>
      <w:bookmarkStart w:id="57" w:name="_Toc1796329572_WPSOffice_Level1"/>
      <w:bookmarkStart w:id="58" w:name="_Toc54267953"/>
      <w:bookmarkStart w:id="59" w:name="_Toc1041913392_WPSOffice_Level1"/>
      <w:r>
        <w:rPr>
          <w:rFonts w:hint="eastAsia" w:ascii="黑体" w:hAnsi="黑体" w:eastAsia="黑体" w:cs="黑体"/>
          <w:color w:val="auto"/>
        </w:rPr>
        <w:t>二、表内、表间关系</w:t>
      </w:r>
      <w:bookmarkEnd w:id="57"/>
      <w:bookmarkEnd w:id="58"/>
      <w:bookmarkEnd w:id="59"/>
    </w:p>
    <w:p w14:paraId="042610BC">
      <w:pPr>
        <w:pStyle w:val="15"/>
        <w:rPr>
          <w:rFonts w:hint="eastAsia" w:ascii="楷体_GB2312" w:hAnsi="楷体_GB2312" w:eastAsia="楷体_GB2312" w:cs="楷体_GB2312"/>
          <w:color w:val="auto"/>
        </w:rPr>
      </w:pPr>
      <w:bookmarkStart w:id="60" w:name="_Toc1625409562_WPSOffice_Level2"/>
      <w:bookmarkStart w:id="61" w:name="_Toc54267954"/>
      <w:bookmarkStart w:id="62" w:name="_Toc1231307770_WPSOffice_Level2"/>
      <w:r>
        <w:rPr>
          <w:rFonts w:hint="eastAsia" w:ascii="楷体_GB2312" w:hAnsi="楷体_GB2312" w:eastAsia="楷体_GB2312" w:cs="楷体_GB2312"/>
          <w:color w:val="auto"/>
        </w:rPr>
        <w:t>（一）表内关系（以表样列示行次为例）</w:t>
      </w:r>
      <w:bookmarkEnd w:id="60"/>
      <w:bookmarkEnd w:id="61"/>
      <w:bookmarkEnd w:id="62"/>
    </w:p>
    <w:p w14:paraId="5D816FAA">
      <w:pPr>
        <w:pStyle w:val="15"/>
        <w:bidi w:val="0"/>
        <w:rPr>
          <w:rFonts w:hint="eastAsia" w:ascii="宋体" w:hAnsi="宋体" w:eastAsia="宋体" w:cs="宋体"/>
          <w:color w:val="auto"/>
        </w:rPr>
      </w:pPr>
      <w:r>
        <w:rPr>
          <w:rFonts w:hint="eastAsia" w:ascii="宋体" w:hAnsi="宋体" w:eastAsia="宋体" w:cs="宋体"/>
          <w:color w:val="auto"/>
        </w:rPr>
        <w:t>1.第3行＝第1+2行。</w:t>
      </w:r>
    </w:p>
    <w:p w14:paraId="2BABAF12">
      <w:pPr>
        <w:pStyle w:val="15"/>
        <w:bidi w:val="0"/>
        <w:rPr>
          <w:rFonts w:hint="eastAsia" w:ascii="宋体" w:hAnsi="宋体" w:eastAsia="宋体" w:cs="宋体"/>
          <w:color w:val="auto"/>
        </w:rPr>
      </w:pPr>
      <w:r>
        <w:rPr>
          <w:rFonts w:hint="eastAsia" w:ascii="宋体" w:hAnsi="宋体" w:eastAsia="宋体" w:cs="宋体"/>
          <w:color w:val="auto"/>
        </w:rPr>
        <w:t>2.第6行＝第4+5行。</w:t>
      </w:r>
    </w:p>
    <w:p w14:paraId="5BEEF726">
      <w:pPr>
        <w:pStyle w:val="15"/>
        <w:bidi w:val="0"/>
        <w:rPr>
          <w:rFonts w:hint="eastAsia" w:ascii="宋体" w:hAnsi="宋体" w:eastAsia="宋体" w:cs="宋体"/>
          <w:color w:val="auto"/>
        </w:rPr>
      </w:pPr>
      <w:r>
        <w:rPr>
          <w:rFonts w:hint="eastAsia" w:ascii="宋体" w:hAnsi="宋体" w:eastAsia="宋体" w:cs="宋体"/>
          <w:color w:val="auto"/>
        </w:rPr>
        <w:t>3.第9行＝第7+8行。</w:t>
      </w:r>
    </w:p>
    <w:p w14:paraId="7D6B4C1E">
      <w:pPr>
        <w:pStyle w:val="15"/>
        <w:bidi w:val="0"/>
        <w:rPr>
          <w:rFonts w:hint="eastAsia" w:ascii="宋体" w:hAnsi="宋体" w:eastAsia="宋体" w:cs="宋体"/>
          <w:color w:val="auto"/>
        </w:rPr>
      </w:pPr>
      <w:r>
        <w:rPr>
          <w:rFonts w:hint="eastAsia" w:ascii="宋体" w:hAnsi="宋体" w:eastAsia="宋体" w:cs="宋体"/>
          <w:color w:val="auto"/>
        </w:rPr>
        <w:t>4.第12行＝第10+11行。</w:t>
      </w:r>
    </w:p>
    <w:p w14:paraId="40092CCD">
      <w:pPr>
        <w:pStyle w:val="15"/>
        <w:bidi w:val="0"/>
        <w:rPr>
          <w:rFonts w:hint="eastAsia" w:ascii="宋体" w:hAnsi="宋体" w:eastAsia="宋体" w:cs="宋体"/>
          <w:color w:val="auto"/>
        </w:rPr>
      </w:pPr>
      <w:r>
        <w:rPr>
          <w:rFonts w:hint="eastAsia" w:ascii="宋体" w:hAnsi="宋体" w:eastAsia="宋体" w:cs="宋体"/>
          <w:color w:val="auto"/>
        </w:rPr>
        <w:t>5.第15行＝第13+14行。</w:t>
      </w:r>
    </w:p>
    <w:p w14:paraId="6DDAD870">
      <w:pPr>
        <w:pStyle w:val="15"/>
        <w:bidi w:val="0"/>
        <w:rPr>
          <w:rFonts w:hint="eastAsia" w:ascii="宋体" w:hAnsi="宋体" w:eastAsia="宋体" w:cs="宋体"/>
          <w:color w:val="auto"/>
        </w:rPr>
      </w:pPr>
      <w:r>
        <w:rPr>
          <w:rFonts w:hint="eastAsia" w:ascii="宋体" w:hAnsi="宋体" w:eastAsia="宋体" w:cs="宋体"/>
          <w:color w:val="auto"/>
        </w:rPr>
        <w:t>6.第18行＝第16+17行。</w:t>
      </w:r>
    </w:p>
    <w:p w14:paraId="041DFD3E">
      <w:pPr>
        <w:pStyle w:val="15"/>
        <w:bidi w:val="0"/>
        <w:rPr>
          <w:rFonts w:hint="eastAsia" w:ascii="宋体" w:hAnsi="宋体" w:eastAsia="宋体" w:cs="宋体"/>
          <w:color w:val="auto"/>
        </w:rPr>
      </w:pPr>
      <w:r>
        <w:rPr>
          <w:rFonts w:hint="eastAsia" w:ascii="宋体" w:hAnsi="宋体" w:eastAsia="宋体" w:cs="宋体"/>
          <w:color w:val="auto"/>
        </w:rPr>
        <w:t>7.第21行＝第19+20行。</w:t>
      </w:r>
    </w:p>
    <w:p w14:paraId="250A8AB7">
      <w:pPr>
        <w:pStyle w:val="15"/>
        <w:bidi w:val="0"/>
        <w:rPr>
          <w:rFonts w:hint="eastAsia" w:ascii="宋体" w:hAnsi="宋体" w:eastAsia="宋体" w:cs="宋体"/>
          <w:color w:val="auto"/>
        </w:rPr>
      </w:pPr>
      <w:r>
        <w:rPr>
          <w:rFonts w:hint="eastAsia" w:ascii="宋体" w:hAnsi="宋体" w:eastAsia="宋体" w:cs="宋体"/>
          <w:color w:val="auto"/>
        </w:rPr>
        <w:t>8.第24行＝第22+23行。</w:t>
      </w:r>
    </w:p>
    <w:p w14:paraId="6FC68F9A">
      <w:pPr>
        <w:pStyle w:val="15"/>
        <w:bidi w:val="0"/>
        <w:rPr>
          <w:rFonts w:hint="eastAsia" w:ascii="宋体" w:hAnsi="宋体" w:eastAsia="宋体" w:cs="宋体"/>
          <w:color w:val="auto"/>
        </w:rPr>
      </w:pPr>
      <w:r>
        <w:rPr>
          <w:rFonts w:hint="eastAsia" w:ascii="宋体" w:hAnsi="宋体" w:eastAsia="宋体" w:cs="宋体"/>
          <w:color w:val="auto"/>
        </w:rPr>
        <w:t>9.第27行＝第25+26行。</w:t>
      </w:r>
    </w:p>
    <w:p w14:paraId="0923DF1A">
      <w:pPr>
        <w:pStyle w:val="15"/>
        <w:bidi w:val="0"/>
        <w:rPr>
          <w:rFonts w:hint="eastAsia" w:ascii="宋体" w:hAnsi="宋体" w:eastAsia="宋体" w:cs="宋体"/>
          <w:color w:val="auto"/>
        </w:rPr>
      </w:pPr>
      <w:r>
        <w:rPr>
          <w:rFonts w:hint="eastAsia" w:ascii="宋体" w:hAnsi="宋体" w:eastAsia="宋体" w:cs="宋体"/>
          <w:color w:val="auto"/>
        </w:rPr>
        <w:t>10.第30行＝第28+29行。</w:t>
      </w:r>
    </w:p>
    <w:p w14:paraId="3ACC498A">
      <w:pPr>
        <w:pStyle w:val="15"/>
        <w:bidi w:val="0"/>
        <w:rPr>
          <w:rFonts w:hint="eastAsia" w:ascii="宋体" w:hAnsi="宋体" w:eastAsia="宋体" w:cs="宋体"/>
          <w:color w:val="auto"/>
        </w:rPr>
      </w:pPr>
      <w:r>
        <w:rPr>
          <w:rFonts w:hint="eastAsia" w:ascii="宋体" w:hAnsi="宋体" w:eastAsia="宋体" w:cs="宋体"/>
          <w:color w:val="auto"/>
        </w:rPr>
        <w:t>11.第31行＝第3+6+9+12+15+18+21+24+27+30行。</w:t>
      </w:r>
    </w:p>
    <w:p w14:paraId="3C47E0BF">
      <w:pPr>
        <w:pStyle w:val="15"/>
        <w:bidi w:val="0"/>
        <w:rPr>
          <w:rFonts w:hint="eastAsia" w:ascii="宋体" w:hAnsi="宋体" w:eastAsia="宋体" w:cs="宋体"/>
          <w:color w:val="auto"/>
        </w:rPr>
      </w:pPr>
      <w:r>
        <w:rPr>
          <w:rFonts w:hint="eastAsia" w:ascii="宋体" w:hAnsi="宋体" w:eastAsia="宋体" w:cs="宋体"/>
          <w:color w:val="auto"/>
        </w:rPr>
        <w:t>12.当第3列选择“免税”时，第9列＝第4-5-6-7+8列；当第4-5-6-7+8列＜0时，第9列＝0。</w:t>
      </w:r>
    </w:p>
    <w:p w14:paraId="5E8B465F">
      <w:pPr>
        <w:pStyle w:val="15"/>
        <w:bidi w:val="0"/>
        <w:rPr>
          <w:rFonts w:hint="eastAsia" w:ascii="宋体" w:hAnsi="宋体" w:eastAsia="宋体" w:cs="宋体"/>
          <w:color w:val="auto"/>
        </w:rPr>
      </w:pPr>
      <w:r>
        <w:rPr>
          <w:rFonts w:hint="eastAsia" w:ascii="宋体" w:hAnsi="宋体" w:eastAsia="宋体" w:cs="宋体"/>
          <w:color w:val="auto"/>
        </w:rPr>
        <w:t>第12行第2列选择“一般技术专项项目”：当第12行第4-5-6-7+8列≤5000000时，第12行第9列＝第4-5-6-7+8列；当第12行第4-5-6-7+8列＞5000000时，第12行第9列＝5000000。</w:t>
      </w:r>
    </w:p>
    <w:p w14:paraId="06F4B963">
      <w:pPr>
        <w:pStyle w:val="15"/>
        <w:bidi w:val="0"/>
        <w:rPr>
          <w:rFonts w:hint="eastAsia" w:ascii="宋体" w:hAnsi="宋体" w:eastAsia="宋体" w:cs="宋体"/>
          <w:color w:val="auto"/>
        </w:rPr>
      </w:pPr>
      <w:r>
        <w:rPr>
          <w:rFonts w:hint="eastAsia" w:ascii="宋体" w:hAnsi="宋体" w:eastAsia="宋体" w:cs="宋体"/>
          <w:color w:val="auto"/>
        </w:rPr>
        <w:t>第12行第2列选择“中关村国家自主创新示范区特定区域技术转让项目”：当第12行第4-5-6-7+8列≤20000000时，第12行第9列＝第4-5-6-7+8列；当第12行第4-5-6-7+8列＞20000000时，第12行第9列＝20000000。</w:t>
      </w:r>
    </w:p>
    <w:p w14:paraId="26FFC48A">
      <w:pPr>
        <w:pStyle w:val="15"/>
        <w:bidi w:val="0"/>
        <w:rPr>
          <w:rFonts w:hint="eastAsia" w:ascii="宋体" w:hAnsi="宋体" w:eastAsia="宋体" w:cs="宋体"/>
          <w:color w:val="auto"/>
        </w:rPr>
      </w:pPr>
      <w:r>
        <w:rPr>
          <w:rFonts w:hint="eastAsia" w:ascii="宋体" w:hAnsi="宋体" w:eastAsia="宋体" w:cs="宋体"/>
          <w:color w:val="auto"/>
        </w:rPr>
        <w:t>13.当第3列选择“减半征税”时，第10列＝第4-5-6-7+8列；当第4-5-6-7+8列＜0时，第10列＝0。</w:t>
      </w:r>
    </w:p>
    <w:p w14:paraId="2DF7F3B5">
      <w:pPr>
        <w:pStyle w:val="15"/>
        <w:bidi w:val="0"/>
        <w:rPr>
          <w:rFonts w:hint="eastAsia" w:ascii="宋体" w:hAnsi="宋体" w:eastAsia="宋体" w:cs="宋体"/>
          <w:color w:val="auto"/>
        </w:rPr>
      </w:pPr>
      <w:r>
        <w:rPr>
          <w:rFonts w:hint="eastAsia" w:ascii="宋体" w:hAnsi="宋体" w:eastAsia="宋体" w:cs="宋体"/>
          <w:color w:val="auto"/>
        </w:rPr>
        <w:t>第12行第2列选择“一般技术专项项目”：当第12行第4-5-6-7+8列≤5000000时，第12行第10列＝0；当第12行第4-5-6-7+8列＞5000000时，第12行第10列＝第4-5-6-7+8列-5000000。</w:t>
      </w:r>
    </w:p>
    <w:p w14:paraId="2305A7A4">
      <w:pPr>
        <w:pStyle w:val="15"/>
        <w:bidi w:val="0"/>
        <w:rPr>
          <w:rFonts w:hint="eastAsia" w:ascii="宋体" w:hAnsi="宋体" w:eastAsia="宋体" w:cs="宋体"/>
          <w:color w:val="auto"/>
        </w:rPr>
      </w:pPr>
      <w:r>
        <w:rPr>
          <w:rFonts w:hint="eastAsia" w:ascii="宋体" w:hAnsi="宋体" w:eastAsia="宋体" w:cs="宋体"/>
          <w:color w:val="auto"/>
        </w:rPr>
        <w:t>第12行第2列选择“中关村国家自主创新示范区特定区域技术转让项目”：当第12行第4-5-6-7+8列≤20000000时，第12行第10列＝0；当第12行第4-5-6-7+8列＞20000000时，第12行第10列＝第4-5-6-7+8列-20000000。</w:t>
      </w:r>
    </w:p>
    <w:p w14:paraId="6EC87229">
      <w:pPr>
        <w:pStyle w:val="15"/>
        <w:bidi w:val="0"/>
        <w:rPr>
          <w:rFonts w:hint="eastAsia" w:ascii="宋体" w:hAnsi="宋体" w:eastAsia="宋体" w:cs="宋体"/>
          <w:color w:val="auto"/>
        </w:rPr>
      </w:pPr>
      <w:r>
        <w:rPr>
          <w:rFonts w:hint="eastAsia" w:ascii="宋体" w:hAnsi="宋体" w:eastAsia="宋体" w:cs="宋体"/>
          <w:color w:val="auto"/>
        </w:rPr>
        <w:t>14.第11列＝第9列+第10列×50%；当第9列+第10列×50%＜0时，第11列＝0。</w:t>
      </w:r>
    </w:p>
    <w:p w14:paraId="6606CBB1">
      <w:pPr>
        <w:pStyle w:val="15"/>
        <w:rPr>
          <w:rFonts w:hint="eastAsia" w:ascii="楷体_GB2312" w:hAnsi="楷体_GB2312" w:eastAsia="楷体_GB2312" w:cs="楷体_GB2312"/>
          <w:color w:val="auto"/>
        </w:rPr>
      </w:pPr>
      <w:bookmarkStart w:id="63" w:name="_Toc1015399474_WPSOffice_Level2"/>
      <w:bookmarkStart w:id="64" w:name="_Toc676784895_WPSOffice_Level2"/>
      <w:bookmarkStart w:id="65" w:name="_Toc54267955"/>
      <w:r>
        <w:rPr>
          <w:rFonts w:hint="eastAsia" w:ascii="楷体_GB2312" w:hAnsi="楷体_GB2312" w:eastAsia="楷体_GB2312" w:cs="楷体_GB2312"/>
          <w:color w:val="auto"/>
        </w:rPr>
        <w:t>（二）表间关系</w:t>
      </w:r>
      <w:bookmarkEnd w:id="63"/>
      <w:bookmarkEnd w:id="64"/>
      <w:bookmarkEnd w:id="65"/>
    </w:p>
    <w:p w14:paraId="2FABCC42">
      <w:pPr>
        <w:pStyle w:val="15"/>
        <w:bidi w:val="0"/>
        <w:rPr>
          <w:rFonts w:hint="eastAsia" w:ascii="宋体" w:hAnsi="宋体" w:eastAsia="宋体" w:cs="宋体"/>
          <w:color w:val="auto"/>
        </w:rPr>
      </w:pPr>
      <w:r>
        <w:rPr>
          <w:rFonts w:hint="eastAsia" w:ascii="宋体" w:hAnsi="宋体" w:eastAsia="宋体" w:cs="宋体"/>
          <w:color w:val="auto"/>
          <w:szCs w:val="22"/>
        </w:rPr>
        <w:t>1</w:t>
      </w:r>
      <w:r>
        <w:rPr>
          <w:rFonts w:hint="eastAsia" w:ascii="宋体" w:hAnsi="宋体" w:eastAsia="宋体" w:cs="宋体"/>
          <w:color w:val="auto"/>
        </w:rPr>
        <w:t>.当本表合计行第11列≥0，且本表合计行第11列≤表A100000第</w:t>
      </w:r>
      <w:r>
        <w:rPr>
          <w:rFonts w:hint="eastAsia" w:ascii="宋体" w:hAnsi="宋体" w:eastAsia="宋体" w:cs="宋体"/>
          <w:color w:val="auto"/>
          <w:lang w:val="en-US" w:eastAsia="zh-CN"/>
        </w:rPr>
        <w:t>24</w:t>
      </w:r>
      <w:r>
        <w:rPr>
          <w:rFonts w:hint="eastAsia" w:ascii="宋体" w:hAnsi="宋体" w:eastAsia="宋体" w:cs="宋体"/>
          <w:color w:val="auto"/>
        </w:rPr>
        <w:t>行时， 合计行第11列＝表A100000第2</w:t>
      </w:r>
      <w:r>
        <w:rPr>
          <w:rFonts w:hint="eastAsia" w:ascii="宋体" w:hAnsi="宋体" w:eastAsia="宋体" w:cs="宋体"/>
          <w:color w:val="auto"/>
          <w:lang w:val="en-US" w:eastAsia="zh-CN"/>
        </w:rPr>
        <w:t>5</w:t>
      </w:r>
      <w:r>
        <w:rPr>
          <w:rFonts w:hint="eastAsia" w:ascii="宋体" w:hAnsi="宋体" w:eastAsia="宋体" w:cs="宋体"/>
          <w:color w:val="auto"/>
        </w:rPr>
        <w:t>行。</w:t>
      </w:r>
    </w:p>
    <w:p w14:paraId="771AA6F7">
      <w:pPr>
        <w:pStyle w:val="11"/>
        <w:rPr>
          <w:rFonts w:hint="eastAsia"/>
        </w:rPr>
      </w:pPr>
      <w:r>
        <w:rPr>
          <w:rFonts w:hint="eastAsia" w:ascii="宋体" w:hAnsi="宋体" w:eastAsia="宋体" w:cs="宋体"/>
          <w:color w:val="auto"/>
        </w:rPr>
        <w:t>2.当本表合计行第11列≥0，且本表合计行第11列＞表A100000第</w:t>
      </w:r>
      <w:r>
        <w:rPr>
          <w:rFonts w:hint="eastAsia" w:ascii="宋体" w:hAnsi="宋体" w:eastAsia="宋体" w:cs="宋体"/>
          <w:color w:val="auto"/>
          <w:lang w:val="en-US" w:eastAsia="zh-CN"/>
        </w:rPr>
        <w:t>24</w:t>
      </w:r>
      <w:r>
        <w:rPr>
          <w:rFonts w:hint="eastAsia" w:ascii="宋体" w:hAnsi="宋体" w:eastAsia="宋体" w:cs="宋体"/>
          <w:color w:val="auto"/>
        </w:rPr>
        <w:t>行时，合计行第11列＝表A100000第</w:t>
      </w:r>
      <w:r>
        <w:rPr>
          <w:rFonts w:hint="eastAsia" w:ascii="宋体" w:hAnsi="宋体" w:eastAsia="宋体" w:cs="宋体"/>
          <w:color w:val="auto"/>
          <w:lang w:val="en-US" w:eastAsia="zh-CN"/>
        </w:rPr>
        <w:t>24</w:t>
      </w:r>
      <w:r>
        <w:rPr>
          <w:rFonts w:hint="eastAsia" w:ascii="宋体" w:hAnsi="宋体" w:eastAsia="宋体" w:cs="宋体"/>
          <w:color w:val="auto"/>
        </w:rPr>
        <w:t>行。</w:t>
      </w:r>
      <w:r>
        <w:rPr>
          <w:rFonts w:hint="eastAsia" w:ascii="宋体" w:hAnsi="宋体"/>
          <w:color w:val="auto"/>
          <w:sz w:val="24"/>
        </w:rPr>
        <w:br w:type="page"/>
      </w:r>
    </w:p>
    <w:p w14:paraId="3110CA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1C285AB2"/>
    <w:rsid w:val="1C285AB2"/>
    <w:rsid w:val="4CFC467E"/>
    <w:rsid w:val="552968C4"/>
    <w:rsid w:val="56D728F0"/>
    <w:rsid w:val="7350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paragraph" w:customStyle="1" w:styleId="8">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9">
    <w:name w:val="SBBT2"/>
    <w:basedOn w:val="10"/>
    <w:qFormat/>
    <w:uiPriority w:val="0"/>
    <w:pPr>
      <w:tabs>
        <w:tab w:val="center" w:pos="4678"/>
        <w:tab w:val="center" w:pos="6521"/>
      </w:tabs>
    </w:pPr>
  </w:style>
  <w:style w:type="paragraph" w:customStyle="1" w:styleId="10">
    <w:name w:val="SBBT1"/>
    <w:basedOn w:val="11"/>
    <w:qFormat/>
    <w:uiPriority w:val="0"/>
    <w:pPr>
      <w:tabs>
        <w:tab w:val="center" w:pos="4678"/>
      </w:tabs>
      <w:ind w:firstLine="0" w:firstLineChars="0"/>
      <w:jc w:val="left"/>
      <w:outlineLvl w:val="0"/>
    </w:pPr>
    <w:rPr>
      <w:rFonts w:cs="宋体"/>
      <w:b/>
      <w:bCs/>
      <w:kern w:val="0"/>
      <w:sz w:val="28"/>
      <w:szCs w:val="28"/>
    </w:rPr>
  </w:style>
  <w:style w:type="paragraph" w:customStyle="1" w:styleId="11">
    <w:name w:val="SBBZW"/>
    <w:basedOn w:val="1"/>
    <w:qFormat/>
    <w:uiPriority w:val="0"/>
    <w:pPr>
      <w:spacing w:line="360" w:lineRule="auto"/>
      <w:ind w:firstLine="480" w:firstLineChars="200"/>
    </w:pPr>
    <w:rPr>
      <w:rFonts w:ascii="宋体" w:hAnsi="宋体"/>
      <w:sz w:val="24"/>
    </w:rPr>
  </w:style>
  <w:style w:type="paragraph" w:customStyle="1" w:styleId="12">
    <w:name w:val="SBBL1"/>
    <w:basedOn w:val="3"/>
    <w:next w:val="1"/>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3">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4">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5">
    <w:name w:val="填报说明正文"/>
    <w:basedOn w:val="1"/>
    <w:qFormat/>
    <w:uiPriority w:val="0"/>
    <w:pPr>
      <w:spacing w:line="480" w:lineRule="exact"/>
      <w:ind w:firstLine="640" w:firstLineChars="200"/>
    </w:pPr>
    <w:rPr>
      <w:rFonts w:eastAsia="CESI宋体-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5809</Words>
  <Characters>6427</Characters>
  <Lines>0</Lines>
  <Paragraphs>0</Paragraphs>
  <TotalTime>0</TotalTime>
  <ScaleCrop>false</ScaleCrop>
  <LinksUpToDate>false</LinksUpToDate>
  <CharactersWithSpaces>6513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2024-08-10T15:19:00Z</dcterms:created>
  <dc:creator>www.shuiwu114.com</dc:creator>
  <cp:lastModifiedBy>www.shuiwu114.com</cp:lastModifiedBy>
  <dcterms:modified xsi:type="dcterms:W3CDTF">2025-01-21T15:16:26Z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07A4A9C71F974CC39AFA33DCB3DC6D76_11</vt:lpwstr>
  </property>
  <property fmtid="{D5CDD505-2E9C-101B-9397-08002B2CF9AE}" pid="4" name="KSOTemplateDocerSaveRecord">
    <vt:lpwstr>eyJoZGlkIjoiMDY0MGNkMTU3OWQzNDA3NjVmODJmMjIxMTIxOTBhNjUiLCJ1c2VySWQiOiIxMDczMTkyOTA3In0=</vt:lpwstr>
  </property>
</Properties>
</file>