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40DA8">
      <w:pPr>
        <w:pStyle w:val="7"/>
      </w:pPr>
      <w:bookmarkStart w:id="0" w:name="_Toc499456605"/>
      <w:r>
        <w:rPr>
          <w:rFonts w:hint="eastAsia"/>
        </w:rPr>
        <w:t>A107030</w:t>
      </w:r>
      <w:r>
        <w:tab/>
      </w:r>
      <w:r>
        <w:rPr>
          <w:rFonts w:hint="eastAsia"/>
          <w:lang w:val="en-US" w:eastAsia="zh-CN"/>
        </w:rPr>
        <w:t xml:space="preserve">                            </w:t>
      </w:r>
      <w:r>
        <w:rPr>
          <w:rFonts w:hint="eastAsia"/>
        </w:rPr>
        <w:t>抵扣应纳税所得额明细表</w:t>
      </w:r>
      <w:bookmarkEnd w:id="0"/>
    </w:p>
    <w:tbl>
      <w:tblPr>
        <w:tblStyle w:val="4"/>
        <w:tblW w:w="144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0"/>
        <w:gridCol w:w="6760"/>
        <w:gridCol w:w="2320"/>
        <w:gridCol w:w="2500"/>
        <w:gridCol w:w="2220"/>
      </w:tblGrid>
      <w:tr w14:paraId="20040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640" w:type="dxa"/>
            <w:vMerge w:val="restart"/>
            <w:shd w:val="clear" w:color="auto" w:fill="auto"/>
            <w:noWrap w:val="0"/>
            <w:vAlign w:val="center"/>
          </w:tcPr>
          <w:p w14:paraId="477EC7E3">
            <w:pPr>
              <w:widowControl/>
              <w:jc w:val="center"/>
              <w:rPr>
                <w:rFonts w:ascii="宋体" w:hAnsi="宋体" w:cs="宋体"/>
                <w:kern w:val="0"/>
                <w:sz w:val="20"/>
                <w:szCs w:val="20"/>
              </w:rPr>
            </w:pPr>
            <w:r>
              <w:rPr>
                <w:rFonts w:hint="eastAsia" w:ascii="宋体" w:hAnsi="宋体" w:cs="宋体"/>
                <w:kern w:val="0"/>
                <w:sz w:val="20"/>
                <w:szCs w:val="20"/>
              </w:rPr>
              <w:t>行次</w:t>
            </w:r>
          </w:p>
        </w:tc>
        <w:tc>
          <w:tcPr>
            <w:tcW w:w="6760" w:type="dxa"/>
            <w:vMerge w:val="restart"/>
            <w:shd w:val="clear" w:color="auto" w:fill="auto"/>
            <w:noWrap w:val="0"/>
            <w:vAlign w:val="center"/>
          </w:tcPr>
          <w:p w14:paraId="0CC26D9C">
            <w:pPr>
              <w:widowControl/>
              <w:jc w:val="center"/>
              <w:rPr>
                <w:rFonts w:ascii="宋体" w:hAnsi="宋体" w:cs="宋体"/>
                <w:kern w:val="0"/>
                <w:sz w:val="20"/>
                <w:szCs w:val="20"/>
              </w:rPr>
            </w:pPr>
            <w:r>
              <w:rPr>
                <w:rFonts w:hint="eastAsia" w:ascii="宋体" w:hAnsi="宋体" w:cs="宋体"/>
                <w:spacing w:val="500"/>
                <w:kern w:val="0"/>
                <w:sz w:val="20"/>
                <w:szCs w:val="20"/>
                <w:fitText w:val="1400" w:id="946150603"/>
              </w:rPr>
              <w:t>项</w:t>
            </w:r>
            <w:r>
              <w:rPr>
                <w:rFonts w:hint="eastAsia" w:ascii="宋体" w:hAnsi="宋体" w:cs="宋体"/>
                <w:spacing w:val="0"/>
                <w:kern w:val="0"/>
                <w:sz w:val="20"/>
                <w:szCs w:val="20"/>
                <w:fitText w:val="1400" w:id="946150603"/>
              </w:rPr>
              <w:t>目</w:t>
            </w:r>
          </w:p>
        </w:tc>
        <w:tc>
          <w:tcPr>
            <w:tcW w:w="2320" w:type="dxa"/>
            <w:shd w:val="clear" w:color="auto" w:fill="auto"/>
            <w:noWrap w:val="0"/>
            <w:vAlign w:val="center"/>
          </w:tcPr>
          <w:p w14:paraId="70587BBC">
            <w:pPr>
              <w:widowControl/>
              <w:jc w:val="center"/>
              <w:rPr>
                <w:rFonts w:ascii="宋体" w:hAnsi="宋体" w:cs="宋体"/>
                <w:kern w:val="0"/>
                <w:sz w:val="20"/>
                <w:szCs w:val="20"/>
              </w:rPr>
            </w:pPr>
            <w:r>
              <w:rPr>
                <w:rFonts w:hint="eastAsia" w:ascii="宋体" w:hAnsi="宋体" w:cs="宋体"/>
                <w:kern w:val="0"/>
                <w:sz w:val="20"/>
                <w:szCs w:val="20"/>
              </w:rPr>
              <w:t>合计金额</w:t>
            </w:r>
          </w:p>
        </w:tc>
        <w:tc>
          <w:tcPr>
            <w:tcW w:w="2500" w:type="dxa"/>
            <w:shd w:val="clear" w:color="auto" w:fill="auto"/>
            <w:noWrap w:val="0"/>
            <w:vAlign w:val="center"/>
          </w:tcPr>
          <w:p w14:paraId="4CA528D3">
            <w:pPr>
              <w:widowControl/>
              <w:jc w:val="center"/>
              <w:rPr>
                <w:rFonts w:ascii="宋体" w:hAnsi="宋体" w:cs="宋体"/>
                <w:kern w:val="0"/>
                <w:sz w:val="20"/>
                <w:szCs w:val="20"/>
              </w:rPr>
            </w:pPr>
            <w:r>
              <w:rPr>
                <w:rFonts w:hint="eastAsia" w:ascii="宋体" w:hAnsi="宋体" w:cs="宋体"/>
                <w:kern w:val="0"/>
                <w:sz w:val="20"/>
                <w:szCs w:val="20"/>
              </w:rPr>
              <w:t>投资于未上市中小高新技术企业</w:t>
            </w:r>
          </w:p>
        </w:tc>
        <w:tc>
          <w:tcPr>
            <w:tcW w:w="2220" w:type="dxa"/>
            <w:shd w:val="clear" w:color="auto" w:fill="auto"/>
            <w:noWrap w:val="0"/>
            <w:vAlign w:val="center"/>
          </w:tcPr>
          <w:p w14:paraId="68618D84">
            <w:pPr>
              <w:widowControl/>
              <w:jc w:val="center"/>
              <w:rPr>
                <w:rFonts w:ascii="宋体" w:hAnsi="宋体" w:cs="宋体"/>
                <w:kern w:val="0"/>
                <w:sz w:val="20"/>
                <w:szCs w:val="20"/>
              </w:rPr>
            </w:pPr>
            <w:r>
              <w:rPr>
                <w:rFonts w:hint="eastAsia" w:ascii="宋体" w:hAnsi="宋体" w:cs="宋体"/>
                <w:kern w:val="0"/>
                <w:sz w:val="20"/>
                <w:szCs w:val="20"/>
              </w:rPr>
              <w:t>投资于种子期、初创期科技型企业</w:t>
            </w:r>
          </w:p>
        </w:tc>
      </w:tr>
      <w:tr w14:paraId="6FCD7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vMerge w:val="continue"/>
            <w:shd w:val="clear" w:color="auto" w:fill="auto"/>
            <w:noWrap w:val="0"/>
            <w:vAlign w:val="center"/>
          </w:tcPr>
          <w:p w14:paraId="767E635B">
            <w:pPr>
              <w:widowControl/>
              <w:jc w:val="left"/>
              <w:rPr>
                <w:rFonts w:ascii="宋体" w:hAnsi="宋体" w:cs="宋体"/>
                <w:kern w:val="0"/>
                <w:sz w:val="20"/>
                <w:szCs w:val="20"/>
              </w:rPr>
            </w:pPr>
          </w:p>
        </w:tc>
        <w:tc>
          <w:tcPr>
            <w:tcW w:w="6760" w:type="dxa"/>
            <w:vMerge w:val="continue"/>
            <w:shd w:val="clear" w:color="auto" w:fill="auto"/>
            <w:noWrap w:val="0"/>
            <w:vAlign w:val="center"/>
          </w:tcPr>
          <w:p w14:paraId="20FEE22D">
            <w:pPr>
              <w:widowControl/>
              <w:jc w:val="left"/>
              <w:rPr>
                <w:rFonts w:ascii="宋体" w:hAnsi="宋体" w:cs="宋体"/>
                <w:kern w:val="0"/>
                <w:sz w:val="20"/>
                <w:szCs w:val="20"/>
              </w:rPr>
            </w:pPr>
          </w:p>
        </w:tc>
        <w:tc>
          <w:tcPr>
            <w:tcW w:w="2320" w:type="dxa"/>
            <w:shd w:val="clear" w:color="auto" w:fill="auto"/>
            <w:noWrap w:val="0"/>
            <w:vAlign w:val="center"/>
          </w:tcPr>
          <w:p w14:paraId="7CEFB1A5">
            <w:pPr>
              <w:widowControl/>
              <w:jc w:val="center"/>
              <w:rPr>
                <w:rFonts w:ascii="宋体" w:hAnsi="宋体" w:cs="宋体"/>
                <w:kern w:val="0"/>
                <w:sz w:val="20"/>
                <w:szCs w:val="20"/>
              </w:rPr>
            </w:pPr>
            <w:r>
              <w:rPr>
                <w:rFonts w:hint="eastAsia" w:ascii="宋体" w:hAnsi="宋体" w:cs="宋体"/>
                <w:kern w:val="0"/>
                <w:sz w:val="20"/>
                <w:szCs w:val="20"/>
              </w:rPr>
              <w:t>1=2+3</w:t>
            </w:r>
          </w:p>
        </w:tc>
        <w:tc>
          <w:tcPr>
            <w:tcW w:w="2500" w:type="dxa"/>
            <w:shd w:val="clear" w:color="auto" w:fill="auto"/>
            <w:noWrap w:val="0"/>
            <w:vAlign w:val="center"/>
          </w:tcPr>
          <w:p w14:paraId="29951A26">
            <w:pPr>
              <w:widowControl/>
              <w:jc w:val="center"/>
              <w:rPr>
                <w:rFonts w:ascii="宋体" w:hAnsi="宋体" w:cs="宋体"/>
                <w:kern w:val="0"/>
                <w:sz w:val="20"/>
                <w:szCs w:val="20"/>
              </w:rPr>
            </w:pPr>
            <w:r>
              <w:rPr>
                <w:rFonts w:hint="eastAsia" w:ascii="宋体" w:hAnsi="宋体" w:cs="宋体"/>
                <w:kern w:val="0"/>
                <w:sz w:val="20"/>
                <w:szCs w:val="20"/>
              </w:rPr>
              <w:t>2</w:t>
            </w:r>
          </w:p>
        </w:tc>
        <w:tc>
          <w:tcPr>
            <w:tcW w:w="2220" w:type="dxa"/>
            <w:shd w:val="clear" w:color="auto" w:fill="auto"/>
            <w:noWrap w:val="0"/>
            <w:vAlign w:val="center"/>
          </w:tcPr>
          <w:p w14:paraId="5BED0E73">
            <w:pPr>
              <w:widowControl/>
              <w:jc w:val="center"/>
              <w:rPr>
                <w:rFonts w:ascii="宋体" w:hAnsi="宋体" w:cs="宋体"/>
                <w:kern w:val="0"/>
                <w:sz w:val="20"/>
                <w:szCs w:val="20"/>
              </w:rPr>
            </w:pPr>
            <w:r>
              <w:rPr>
                <w:rFonts w:hint="eastAsia" w:ascii="宋体" w:hAnsi="宋体" w:cs="宋体"/>
                <w:kern w:val="0"/>
                <w:sz w:val="20"/>
                <w:szCs w:val="20"/>
              </w:rPr>
              <w:t>3</w:t>
            </w:r>
          </w:p>
        </w:tc>
      </w:tr>
      <w:tr w14:paraId="32CEC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4440" w:type="dxa"/>
            <w:gridSpan w:val="5"/>
            <w:shd w:val="clear" w:color="auto" w:fill="auto"/>
            <w:noWrap w:val="0"/>
            <w:vAlign w:val="center"/>
          </w:tcPr>
          <w:p w14:paraId="78D5DF33">
            <w:pPr>
              <w:widowControl/>
              <w:jc w:val="left"/>
              <w:rPr>
                <w:rFonts w:ascii="宋体" w:hAnsi="宋体" w:cs="宋体"/>
                <w:b/>
                <w:bCs/>
                <w:kern w:val="0"/>
                <w:sz w:val="20"/>
                <w:szCs w:val="20"/>
              </w:rPr>
            </w:pPr>
            <w:r>
              <w:rPr>
                <w:rFonts w:hint="eastAsia" w:ascii="宋体" w:hAnsi="宋体" w:cs="宋体"/>
                <w:b/>
                <w:bCs/>
                <w:kern w:val="0"/>
                <w:sz w:val="20"/>
                <w:szCs w:val="20"/>
              </w:rPr>
              <w:t>一、创业投资企业直接投资按投资额一定比例抵扣应纳税所得额</w:t>
            </w:r>
          </w:p>
        </w:tc>
      </w:tr>
      <w:tr w14:paraId="6E227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shd w:val="clear" w:color="auto" w:fill="auto"/>
            <w:noWrap w:val="0"/>
            <w:vAlign w:val="center"/>
          </w:tcPr>
          <w:p w14:paraId="2140CFB8">
            <w:pPr>
              <w:widowControl/>
              <w:jc w:val="center"/>
              <w:rPr>
                <w:rFonts w:ascii="宋体" w:hAnsi="宋体" w:cs="宋体"/>
                <w:kern w:val="0"/>
                <w:sz w:val="20"/>
                <w:szCs w:val="20"/>
              </w:rPr>
            </w:pPr>
            <w:r>
              <w:rPr>
                <w:rFonts w:hint="eastAsia" w:ascii="宋体" w:hAnsi="宋体" w:cs="宋体"/>
                <w:kern w:val="0"/>
                <w:sz w:val="20"/>
                <w:szCs w:val="20"/>
              </w:rPr>
              <w:t>1</w:t>
            </w:r>
          </w:p>
        </w:tc>
        <w:tc>
          <w:tcPr>
            <w:tcW w:w="6760" w:type="dxa"/>
            <w:shd w:val="clear" w:color="auto" w:fill="auto"/>
            <w:noWrap w:val="0"/>
            <w:vAlign w:val="center"/>
          </w:tcPr>
          <w:p w14:paraId="28C6F23A">
            <w:pPr>
              <w:widowControl/>
              <w:jc w:val="left"/>
              <w:rPr>
                <w:rFonts w:ascii="宋体" w:hAnsi="宋体" w:cs="宋体"/>
                <w:kern w:val="0"/>
                <w:sz w:val="20"/>
                <w:szCs w:val="20"/>
              </w:rPr>
            </w:pPr>
            <w:r>
              <w:rPr>
                <w:rFonts w:hint="eastAsia" w:ascii="宋体" w:hAnsi="宋体" w:cs="宋体"/>
                <w:kern w:val="0"/>
                <w:sz w:val="20"/>
                <w:szCs w:val="20"/>
              </w:rPr>
              <w:t>本年新增的符合条件的股权投资额</w:t>
            </w:r>
          </w:p>
        </w:tc>
        <w:tc>
          <w:tcPr>
            <w:tcW w:w="2320" w:type="dxa"/>
            <w:shd w:val="clear" w:color="auto" w:fill="auto"/>
            <w:noWrap w:val="0"/>
            <w:vAlign w:val="center"/>
          </w:tcPr>
          <w:p w14:paraId="75A3013B">
            <w:pPr>
              <w:widowControl/>
              <w:jc w:val="center"/>
              <w:rPr>
                <w:rFonts w:ascii="宋体" w:hAnsi="宋体" w:cs="宋体"/>
                <w:kern w:val="0"/>
                <w:sz w:val="20"/>
                <w:szCs w:val="20"/>
              </w:rPr>
            </w:pPr>
          </w:p>
        </w:tc>
        <w:tc>
          <w:tcPr>
            <w:tcW w:w="2500" w:type="dxa"/>
            <w:shd w:val="clear" w:color="auto" w:fill="auto"/>
            <w:noWrap w:val="0"/>
            <w:vAlign w:val="center"/>
          </w:tcPr>
          <w:p w14:paraId="0A788682">
            <w:pPr>
              <w:widowControl/>
              <w:jc w:val="center"/>
              <w:rPr>
                <w:rFonts w:ascii="宋体" w:hAnsi="宋体" w:cs="宋体"/>
                <w:kern w:val="0"/>
                <w:sz w:val="24"/>
              </w:rPr>
            </w:pPr>
          </w:p>
        </w:tc>
        <w:tc>
          <w:tcPr>
            <w:tcW w:w="2220" w:type="dxa"/>
            <w:shd w:val="clear" w:color="auto" w:fill="auto"/>
            <w:noWrap w:val="0"/>
            <w:vAlign w:val="center"/>
          </w:tcPr>
          <w:p w14:paraId="503E6F15">
            <w:pPr>
              <w:widowControl/>
              <w:jc w:val="center"/>
              <w:rPr>
                <w:rFonts w:ascii="宋体" w:hAnsi="宋体" w:cs="宋体"/>
                <w:kern w:val="0"/>
                <w:sz w:val="24"/>
              </w:rPr>
            </w:pPr>
          </w:p>
        </w:tc>
      </w:tr>
      <w:tr w14:paraId="17FEC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shd w:val="clear" w:color="auto" w:fill="auto"/>
            <w:noWrap w:val="0"/>
            <w:vAlign w:val="center"/>
          </w:tcPr>
          <w:p w14:paraId="7DBA9DDC">
            <w:pPr>
              <w:widowControl/>
              <w:jc w:val="center"/>
              <w:rPr>
                <w:rFonts w:ascii="宋体" w:hAnsi="宋体" w:cs="宋体"/>
                <w:kern w:val="0"/>
                <w:sz w:val="20"/>
                <w:szCs w:val="20"/>
              </w:rPr>
            </w:pPr>
            <w:r>
              <w:rPr>
                <w:rFonts w:hint="eastAsia" w:ascii="宋体" w:hAnsi="宋体" w:cs="宋体"/>
                <w:kern w:val="0"/>
                <w:sz w:val="20"/>
                <w:szCs w:val="20"/>
              </w:rPr>
              <w:t>2</w:t>
            </w:r>
          </w:p>
        </w:tc>
        <w:tc>
          <w:tcPr>
            <w:tcW w:w="6760" w:type="dxa"/>
            <w:shd w:val="clear" w:color="auto" w:fill="auto"/>
            <w:noWrap w:val="0"/>
            <w:vAlign w:val="center"/>
          </w:tcPr>
          <w:p w14:paraId="4F41FEC8">
            <w:pPr>
              <w:widowControl/>
              <w:jc w:val="left"/>
              <w:rPr>
                <w:rFonts w:ascii="宋体" w:hAnsi="宋体" w:cs="宋体"/>
                <w:kern w:val="0"/>
                <w:sz w:val="20"/>
                <w:szCs w:val="20"/>
              </w:rPr>
            </w:pPr>
            <w:r>
              <w:rPr>
                <w:rFonts w:hint="eastAsia" w:ascii="宋体" w:hAnsi="宋体" w:cs="宋体"/>
                <w:kern w:val="0"/>
                <w:sz w:val="20"/>
                <w:szCs w:val="20"/>
              </w:rPr>
              <w:t>税收规定的抵扣率</w:t>
            </w:r>
          </w:p>
        </w:tc>
        <w:tc>
          <w:tcPr>
            <w:tcW w:w="2320" w:type="dxa"/>
            <w:shd w:val="clear" w:color="auto" w:fill="auto"/>
            <w:noWrap w:val="0"/>
            <w:vAlign w:val="center"/>
          </w:tcPr>
          <w:p w14:paraId="2A607EB6">
            <w:pPr>
              <w:widowControl/>
              <w:jc w:val="center"/>
              <w:rPr>
                <w:rFonts w:ascii="宋体" w:hAnsi="宋体" w:cs="宋体"/>
                <w:kern w:val="0"/>
                <w:sz w:val="20"/>
                <w:szCs w:val="20"/>
              </w:rPr>
            </w:pPr>
            <w:r>
              <w:rPr>
                <w:rFonts w:hint="eastAsia" w:ascii="宋体" w:hAnsi="宋体" w:cs="宋体"/>
                <w:kern w:val="0"/>
                <w:sz w:val="20"/>
                <w:szCs w:val="20"/>
              </w:rPr>
              <w:t>70%</w:t>
            </w:r>
          </w:p>
        </w:tc>
        <w:tc>
          <w:tcPr>
            <w:tcW w:w="2500" w:type="dxa"/>
            <w:shd w:val="clear" w:color="auto" w:fill="auto"/>
            <w:noWrap w:val="0"/>
            <w:vAlign w:val="center"/>
          </w:tcPr>
          <w:p w14:paraId="22C70A05">
            <w:pPr>
              <w:widowControl/>
              <w:jc w:val="center"/>
              <w:rPr>
                <w:rFonts w:ascii="宋体" w:hAnsi="宋体" w:cs="宋体"/>
                <w:kern w:val="0"/>
                <w:sz w:val="20"/>
                <w:szCs w:val="20"/>
              </w:rPr>
            </w:pPr>
            <w:r>
              <w:rPr>
                <w:rFonts w:hint="eastAsia" w:ascii="宋体" w:hAnsi="宋体" w:cs="宋体"/>
                <w:kern w:val="0"/>
                <w:sz w:val="20"/>
                <w:szCs w:val="20"/>
              </w:rPr>
              <w:t>70%</w:t>
            </w:r>
          </w:p>
        </w:tc>
        <w:tc>
          <w:tcPr>
            <w:tcW w:w="2220" w:type="dxa"/>
            <w:shd w:val="clear" w:color="auto" w:fill="auto"/>
            <w:noWrap w:val="0"/>
            <w:vAlign w:val="center"/>
          </w:tcPr>
          <w:p w14:paraId="15BFF471">
            <w:pPr>
              <w:widowControl/>
              <w:jc w:val="center"/>
              <w:rPr>
                <w:rFonts w:ascii="宋体" w:hAnsi="宋体" w:cs="宋体"/>
                <w:kern w:val="0"/>
                <w:sz w:val="20"/>
                <w:szCs w:val="20"/>
              </w:rPr>
            </w:pPr>
            <w:r>
              <w:rPr>
                <w:rFonts w:hint="eastAsia" w:ascii="宋体" w:hAnsi="宋体" w:cs="宋体"/>
                <w:kern w:val="0"/>
                <w:sz w:val="20"/>
                <w:szCs w:val="20"/>
              </w:rPr>
              <w:t>70%</w:t>
            </w:r>
          </w:p>
        </w:tc>
      </w:tr>
      <w:tr w14:paraId="29451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shd w:val="clear" w:color="auto" w:fill="auto"/>
            <w:noWrap w:val="0"/>
            <w:vAlign w:val="center"/>
          </w:tcPr>
          <w:p w14:paraId="7ECD0185">
            <w:pPr>
              <w:widowControl/>
              <w:jc w:val="center"/>
              <w:rPr>
                <w:rFonts w:ascii="宋体" w:hAnsi="宋体" w:cs="宋体"/>
                <w:kern w:val="0"/>
                <w:sz w:val="20"/>
                <w:szCs w:val="20"/>
              </w:rPr>
            </w:pPr>
            <w:r>
              <w:rPr>
                <w:rFonts w:hint="eastAsia" w:ascii="宋体" w:hAnsi="宋体" w:cs="宋体"/>
                <w:kern w:val="0"/>
                <w:sz w:val="20"/>
                <w:szCs w:val="20"/>
              </w:rPr>
              <w:t>3</w:t>
            </w:r>
          </w:p>
        </w:tc>
        <w:tc>
          <w:tcPr>
            <w:tcW w:w="6760" w:type="dxa"/>
            <w:shd w:val="clear" w:color="auto" w:fill="auto"/>
            <w:noWrap w:val="0"/>
            <w:vAlign w:val="center"/>
          </w:tcPr>
          <w:p w14:paraId="6A334387">
            <w:pPr>
              <w:widowControl/>
              <w:jc w:val="left"/>
              <w:rPr>
                <w:rFonts w:ascii="宋体" w:hAnsi="宋体" w:cs="宋体"/>
                <w:kern w:val="0"/>
                <w:sz w:val="20"/>
                <w:szCs w:val="20"/>
              </w:rPr>
            </w:pPr>
            <w:r>
              <w:rPr>
                <w:rFonts w:hint="eastAsia" w:ascii="宋体" w:hAnsi="宋体" w:cs="宋体"/>
                <w:kern w:val="0"/>
                <w:sz w:val="20"/>
                <w:szCs w:val="20"/>
              </w:rPr>
              <w:t>本年新增的可抵扣的股权投资额（1×2）</w:t>
            </w:r>
          </w:p>
        </w:tc>
        <w:tc>
          <w:tcPr>
            <w:tcW w:w="2320" w:type="dxa"/>
            <w:shd w:val="clear" w:color="auto" w:fill="auto"/>
            <w:noWrap w:val="0"/>
            <w:vAlign w:val="center"/>
          </w:tcPr>
          <w:p w14:paraId="07E5FFBF">
            <w:pPr>
              <w:widowControl/>
              <w:jc w:val="center"/>
              <w:rPr>
                <w:rFonts w:ascii="宋体" w:hAnsi="宋体" w:cs="宋体"/>
                <w:kern w:val="0"/>
                <w:sz w:val="20"/>
                <w:szCs w:val="20"/>
              </w:rPr>
            </w:pPr>
          </w:p>
        </w:tc>
        <w:tc>
          <w:tcPr>
            <w:tcW w:w="2500" w:type="dxa"/>
            <w:shd w:val="clear" w:color="auto" w:fill="auto"/>
            <w:noWrap w:val="0"/>
            <w:vAlign w:val="center"/>
          </w:tcPr>
          <w:p w14:paraId="61533EF4">
            <w:pPr>
              <w:widowControl/>
              <w:jc w:val="center"/>
              <w:rPr>
                <w:rFonts w:ascii="宋体" w:hAnsi="宋体" w:cs="宋体"/>
                <w:kern w:val="0"/>
                <w:sz w:val="24"/>
              </w:rPr>
            </w:pPr>
          </w:p>
        </w:tc>
        <w:tc>
          <w:tcPr>
            <w:tcW w:w="2220" w:type="dxa"/>
            <w:shd w:val="clear" w:color="auto" w:fill="auto"/>
            <w:noWrap w:val="0"/>
            <w:vAlign w:val="center"/>
          </w:tcPr>
          <w:p w14:paraId="148E187D">
            <w:pPr>
              <w:widowControl/>
              <w:jc w:val="center"/>
              <w:rPr>
                <w:rFonts w:ascii="宋体" w:hAnsi="宋体" w:cs="宋体"/>
                <w:kern w:val="0"/>
                <w:sz w:val="24"/>
              </w:rPr>
            </w:pPr>
          </w:p>
        </w:tc>
      </w:tr>
      <w:tr w14:paraId="4F90D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shd w:val="clear" w:color="auto" w:fill="auto"/>
            <w:noWrap w:val="0"/>
            <w:vAlign w:val="center"/>
          </w:tcPr>
          <w:p w14:paraId="3BEA5DB0">
            <w:pPr>
              <w:widowControl/>
              <w:jc w:val="center"/>
              <w:rPr>
                <w:rFonts w:ascii="宋体" w:hAnsi="宋体" w:cs="宋体"/>
                <w:kern w:val="0"/>
                <w:sz w:val="20"/>
                <w:szCs w:val="20"/>
              </w:rPr>
            </w:pPr>
            <w:r>
              <w:rPr>
                <w:rFonts w:hint="eastAsia" w:ascii="宋体" w:hAnsi="宋体" w:cs="宋体"/>
                <w:kern w:val="0"/>
                <w:sz w:val="20"/>
                <w:szCs w:val="20"/>
              </w:rPr>
              <w:t>4</w:t>
            </w:r>
          </w:p>
        </w:tc>
        <w:tc>
          <w:tcPr>
            <w:tcW w:w="6760" w:type="dxa"/>
            <w:shd w:val="clear" w:color="auto" w:fill="auto"/>
            <w:noWrap w:val="0"/>
            <w:vAlign w:val="center"/>
          </w:tcPr>
          <w:p w14:paraId="0AD38E8A">
            <w:pPr>
              <w:widowControl/>
              <w:jc w:val="left"/>
              <w:rPr>
                <w:rFonts w:ascii="宋体" w:hAnsi="宋体" w:cs="宋体"/>
                <w:kern w:val="0"/>
                <w:sz w:val="20"/>
                <w:szCs w:val="20"/>
              </w:rPr>
            </w:pPr>
            <w:r>
              <w:rPr>
                <w:rFonts w:hint="eastAsia" w:ascii="宋体" w:hAnsi="宋体" w:cs="宋体"/>
                <w:kern w:val="0"/>
                <w:sz w:val="20"/>
                <w:szCs w:val="20"/>
              </w:rPr>
              <w:t>以前年度结转的尚未抵扣的股权投资余额</w:t>
            </w:r>
          </w:p>
        </w:tc>
        <w:tc>
          <w:tcPr>
            <w:tcW w:w="2320" w:type="dxa"/>
            <w:shd w:val="clear" w:color="auto" w:fill="auto"/>
            <w:noWrap w:val="0"/>
            <w:vAlign w:val="center"/>
          </w:tcPr>
          <w:p w14:paraId="32A74BEA">
            <w:pPr>
              <w:widowControl/>
              <w:jc w:val="center"/>
              <w:rPr>
                <w:rFonts w:ascii="宋体" w:hAnsi="宋体" w:cs="宋体"/>
                <w:kern w:val="0"/>
                <w:sz w:val="20"/>
                <w:szCs w:val="20"/>
              </w:rPr>
            </w:pPr>
          </w:p>
        </w:tc>
        <w:tc>
          <w:tcPr>
            <w:tcW w:w="2500" w:type="dxa"/>
            <w:shd w:val="clear" w:color="auto" w:fill="auto"/>
            <w:noWrap/>
            <w:vAlign w:val="center"/>
          </w:tcPr>
          <w:p w14:paraId="091EE4F1">
            <w:pPr>
              <w:widowControl/>
              <w:jc w:val="center"/>
              <w:rPr>
                <w:rFonts w:ascii="宋体" w:hAnsi="宋体" w:cs="宋体"/>
                <w:kern w:val="0"/>
                <w:sz w:val="18"/>
                <w:szCs w:val="18"/>
              </w:rPr>
            </w:pPr>
            <w:r>
              <w:rPr>
                <w:rFonts w:hint="eastAsia" w:ascii="宋体" w:hAnsi="宋体" w:cs="宋体"/>
                <w:kern w:val="0"/>
                <w:sz w:val="18"/>
                <w:szCs w:val="18"/>
              </w:rPr>
              <w:t>*</w:t>
            </w:r>
          </w:p>
        </w:tc>
        <w:tc>
          <w:tcPr>
            <w:tcW w:w="2220" w:type="dxa"/>
            <w:shd w:val="clear" w:color="auto" w:fill="auto"/>
            <w:noWrap/>
            <w:vAlign w:val="center"/>
          </w:tcPr>
          <w:p w14:paraId="2264E5C7">
            <w:pPr>
              <w:widowControl/>
              <w:jc w:val="center"/>
              <w:rPr>
                <w:rFonts w:ascii="宋体" w:hAnsi="宋体" w:cs="宋体"/>
                <w:kern w:val="0"/>
                <w:sz w:val="18"/>
                <w:szCs w:val="18"/>
              </w:rPr>
            </w:pPr>
            <w:r>
              <w:rPr>
                <w:rFonts w:hint="eastAsia" w:ascii="宋体" w:hAnsi="宋体" w:cs="宋体"/>
                <w:kern w:val="0"/>
                <w:sz w:val="18"/>
                <w:szCs w:val="18"/>
              </w:rPr>
              <w:t>*</w:t>
            </w:r>
          </w:p>
        </w:tc>
      </w:tr>
      <w:tr w14:paraId="43BB1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shd w:val="clear" w:color="auto" w:fill="auto"/>
            <w:noWrap w:val="0"/>
            <w:vAlign w:val="center"/>
          </w:tcPr>
          <w:p w14:paraId="69722FE2">
            <w:pPr>
              <w:widowControl/>
              <w:jc w:val="center"/>
              <w:rPr>
                <w:rFonts w:ascii="宋体" w:hAnsi="宋体" w:cs="宋体"/>
                <w:kern w:val="0"/>
                <w:sz w:val="20"/>
                <w:szCs w:val="20"/>
              </w:rPr>
            </w:pPr>
            <w:r>
              <w:rPr>
                <w:rFonts w:hint="eastAsia" w:ascii="宋体" w:hAnsi="宋体" w:cs="宋体"/>
                <w:kern w:val="0"/>
                <w:sz w:val="20"/>
                <w:szCs w:val="20"/>
              </w:rPr>
              <w:t>5</w:t>
            </w:r>
          </w:p>
        </w:tc>
        <w:tc>
          <w:tcPr>
            <w:tcW w:w="6760" w:type="dxa"/>
            <w:shd w:val="clear" w:color="auto" w:fill="auto"/>
            <w:noWrap w:val="0"/>
            <w:vAlign w:val="center"/>
          </w:tcPr>
          <w:p w14:paraId="762A34AA">
            <w:pPr>
              <w:widowControl/>
              <w:jc w:val="left"/>
              <w:rPr>
                <w:rFonts w:ascii="宋体" w:hAnsi="宋体" w:cs="宋体"/>
                <w:kern w:val="0"/>
                <w:sz w:val="20"/>
                <w:szCs w:val="20"/>
              </w:rPr>
            </w:pPr>
            <w:r>
              <w:rPr>
                <w:rFonts w:hint="eastAsia" w:ascii="宋体" w:hAnsi="宋体" w:cs="宋体"/>
                <w:kern w:val="0"/>
                <w:sz w:val="20"/>
                <w:szCs w:val="20"/>
              </w:rPr>
              <w:t>本年可抵扣的股权投资额（3+4）</w:t>
            </w:r>
          </w:p>
        </w:tc>
        <w:tc>
          <w:tcPr>
            <w:tcW w:w="2320" w:type="dxa"/>
            <w:shd w:val="clear" w:color="auto" w:fill="auto"/>
            <w:noWrap w:val="0"/>
            <w:vAlign w:val="center"/>
          </w:tcPr>
          <w:p w14:paraId="32D20551">
            <w:pPr>
              <w:widowControl/>
              <w:jc w:val="center"/>
              <w:rPr>
                <w:rFonts w:ascii="宋体" w:hAnsi="宋体" w:cs="宋体"/>
                <w:kern w:val="0"/>
                <w:sz w:val="20"/>
                <w:szCs w:val="20"/>
              </w:rPr>
            </w:pPr>
          </w:p>
        </w:tc>
        <w:tc>
          <w:tcPr>
            <w:tcW w:w="2500" w:type="dxa"/>
            <w:shd w:val="clear" w:color="auto" w:fill="auto"/>
            <w:noWrap/>
            <w:vAlign w:val="center"/>
          </w:tcPr>
          <w:p w14:paraId="2DAB1B26">
            <w:pPr>
              <w:widowControl/>
              <w:jc w:val="center"/>
              <w:rPr>
                <w:rFonts w:ascii="宋体" w:hAnsi="宋体" w:cs="宋体"/>
                <w:kern w:val="0"/>
                <w:sz w:val="18"/>
                <w:szCs w:val="18"/>
              </w:rPr>
            </w:pPr>
            <w:r>
              <w:rPr>
                <w:rFonts w:hint="eastAsia" w:ascii="宋体" w:hAnsi="宋体" w:cs="宋体"/>
                <w:kern w:val="0"/>
                <w:sz w:val="18"/>
                <w:szCs w:val="18"/>
              </w:rPr>
              <w:t>*</w:t>
            </w:r>
          </w:p>
        </w:tc>
        <w:tc>
          <w:tcPr>
            <w:tcW w:w="2220" w:type="dxa"/>
            <w:shd w:val="clear" w:color="auto" w:fill="auto"/>
            <w:noWrap/>
            <w:vAlign w:val="center"/>
          </w:tcPr>
          <w:p w14:paraId="23F14861">
            <w:pPr>
              <w:widowControl/>
              <w:jc w:val="center"/>
              <w:rPr>
                <w:rFonts w:ascii="宋体" w:hAnsi="宋体" w:cs="宋体"/>
                <w:kern w:val="0"/>
                <w:sz w:val="18"/>
                <w:szCs w:val="18"/>
              </w:rPr>
            </w:pPr>
            <w:r>
              <w:rPr>
                <w:rFonts w:hint="eastAsia" w:ascii="宋体" w:hAnsi="宋体" w:cs="宋体"/>
                <w:kern w:val="0"/>
                <w:sz w:val="18"/>
                <w:szCs w:val="18"/>
              </w:rPr>
              <w:t>*</w:t>
            </w:r>
          </w:p>
        </w:tc>
      </w:tr>
      <w:tr w14:paraId="732E1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shd w:val="clear" w:color="auto" w:fill="auto"/>
            <w:noWrap w:val="0"/>
            <w:vAlign w:val="center"/>
          </w:tcPr>
          <w:p w14:paraId="6CCC5ED7">
            <w:pPr>
              <w:widowControl/>
              <w:jc w:val="center"/>
              <w:rPr>
                <w:rFonts w:ascii="宋体" w:hAnsi="宋体" w:cs="宋体"/>
                <w:kern w:val="0"/>
                <w:sz w:val="20"/>
                <w:szCs w:val="20"/>
              </w:rPr>
            </w:pPr>
            <w:r>
              <w:rPr>
                <w:rFonts w:hint="eastAsia" w:ascii="宋体" w:hAnsi="宋体" w:cs="宋体"/>
                <w:kern w:val="0"/>
                <w:sz w:val="20"/>
                <w:szCs w:val="20"/>
              </w:rPr>
              <w:t>6</w:t>
            </w:r>
          </w:p>
        </w:tc>
        <w:tc>
          <w:tcPr>
            <w:tcW w:w="6760" w:type="dxa"/>
            <w:shd w:val="clear" w:color="auto" w:fill="auto"/>
            <w:noWrap w:val="0"/>
            <w:vAlign w:val="center"/>
          </w:tcPr>
          <w:p w14:paraId="051E4CD0">
            <w:pPr>
              <w:widowControl/>
              <w:jc w:val="left"/>
              <w:rPr>
                <w:rFonts w:ascii="宋体" w:hAnsi="宋体" w:cs="宋体"/>
                <w:kern w:val="0"/>
                <w:sz w:val="20"/>
                <w:szCs w:val="20"/>
              </w:rPr>
            </w:pPr>
            <w:r>
              <w:rPr>
                <w:rFonts w:hint="eastAsia" w:ascii="宋体" w:hAnsi="宋体" w:cs="宋体"/>
                <w:kern w:val="0"/>
                <w:sz w:val="20"/>
                <w:szCs w:val="20"/>
              </w:rPr>
              <w:t>本年可用于抵扣的应纳税所得额</w:t>
            </w:r>
          </w:p>
        </w:tc>
        <w:tc>
          <w:tcPr>
            <w:tcW w:w="2320" w:type="dxa"/>
            <w:shd w:val="clear" w:color="auto" w:fill="auto"/>
            <w:noWrap w:val="0"/>
            <w:vAlign w:val="center"/>
          </w:tcPr>
          <w:p w14:paraId="5D1E18EB">
            <w:pPr>
              <w:widowControl/>
              <w:jc w:val="center"/>
              <w:rPr>
                <w:rFonts w:ascii="宋体" w:hAnsi="宋体" w:cs="宋体"/>
                <w:kern w:val="0"/>
                <w:sz w:val="20"/>
                <w:szCs w:val="20"/>
              </w:rPr>
            </w:pPr>
          </w:p>
        </w:tc>
        <w:tc>
          <w:tcPr>
            <w:tcW w:w="2500" w:type="dxa"/>
            <w:shd w:val="clear" w:color="auto" w:fill="auto"/>
            <w:noWrap w:val="0"/>
            <w:vAlign w:val="center"/>
          </w:tcPr>
          <w:p w14:paraId="62998A6F">
            <w:pPr>
              <w:widowControl/>
              <w:jc w:val="center"/>
              <w:rPr>
                <w:rFonts w:ascii="宋体" w:hAnsi="宋体" w:cs="宋体"/>
                <w:kern w:val="0"/>
                <w:sz w:val="18"/>
                <w:szCs w:val="18"/>
              </w:rPr>
            </w:pPr>
            <w:r>
              <w:rPr>
                <w:rFonts w:hint="eastAsia" w:ascii="宋体" w:hAnsi="宋体" w:cs="宋体"/>
                <w:kern w:val="0"/>
                <w:sz w:val="18"/>
                <w:szCs w:val="18"/>
              </w:rPr>
              <w:t>*</w:t>
            </w:r>
          </w:p>
        </w:tc>
        <w:tc>
          <w:tcPr>
            <w:tcW w:w="2220" w:type="dxa"/>
            <w:shd w:val="clear" w:color="auto" w:fill="auto"/>
            <w:noWrap w:val="0"/>
            <w:vAlign w:val="center"/>
          </w:tcPr>
          <w:p w14:paraId="776D0A5F">
            <w:pPr>
              <w:widowControl/>
              <w:jc w:val="center"/>
              <w:rPr>
                <w:rFonts w:ascii="宋体" w:hAnsi="宋体" w:cs="宋体"/>
                <w:kern w:val="0"/>
                <w:sz w:val="18"/>
                <w:szCs w:val="18"/>
              </w:rPr>
            </w:pPr>
            <w:r>
              <w:rPr>
                <w:rFonts w:hint="eastAsia" w:ascii="宋体" w:hAnsi="宋体" w:cs="宋体"/>
                <w:kern w:val="0"/>
                <w:sz w:val="18"/>
                <w:szCs w:val="18"/>
              </w:rPr>
              <w:t>*</w:t>
            </w:r>
          </w:p>
        </w:tc>
      </w:tr>
      <w:tr w14:paraId="06BBB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shd w:val="clear" w:color="auto" w:fill="auto"/>
            <w:noWrap w:val="0"/>
            <w:vAlign w:val="center"/>
          </w:tcPr>
          <w:p w14:paraId="1E19ED1A">
            <w:pPr>
              <w:widowControl/>
              <w:jc w:val="center"/>
              <w:rPr>
                <w:rFonts w:ascii="宋体" w:hAnsi="宋体" w:cs="宋体"/>
                <w:kern w:val="0"/>
                <w:sz w:val="20"/>
                <w:szCs w:val="20"/>
              </w:rPr>
            </w:pPr>
            <w:r>
              <w:rPr>
                <w:rFonts w:hint="eastAsia" w:ascii="宋体" w:hAnsi="宋体" w:cs="宋体"/>
                <w:kern w:val="0"/>
                <w:sz w:val="20"/>
                <w:szCs w:val="20"/>
              </w:rPr>
              <w:t>7</w:t>
            </w:r>
          </w:p>
        </w:tc>
        <w:tc>
          <w:tcPr>
            <w:tcW w:w="6760" w:type="dxa"/>
            <w:shd w:val="clear" w:color="auto" w:fill="auto"/>
            <w:noWrap w:val="0"/>
            <w:vAlign w:val="center"/>
          </w:tcPr>
          <w:p w14:paraId="7FBD46D7">
            <w:pPr>
              <w:widowControl/>
              <w:jc w:val="left"/>
              <w:rPr>
                <w:rFonts w:ascii="宋体" w:hAnsi="宋体" w:cs="宋体"/>
                <w:kern w:val="0"/>
                <w:sz w:val="20"/>
                <w:szCs w:val="20"/>
              </w:rPr>
            </w:pPr>
            <w:r>
              <w:rPr>
                <w:rFonts w:hint="eastAsia" w:ascii="宋体" w:hAnsi="宋体" w:cs="宋体"/>
                <w:kern w:val="0"/>
                <w:sz w:val="20"/>
                <w:szCs w:val="20"/>
              </w:rPr>
              <w:t>本年实际抵扣应纳税所得额</w:t>
            </w:r>
          </w:p>
        </w:tc>
        <w:tc>
          <w:tcPr>
            <w:tcW w:w="2320" w:type="dxa"/>
            <w:shd w:val="clear" w:color="auto" w:fill="auto"/>
            <w:noWrap w:val="0"/>
            <w:vAlign w:val="center"/>
          </w:tcPr>
          <w:p w14:paraId="68B4A0CE">
            <w:pPr>
              <w:widowControl/>
              <w:jc w:val="center"/>
              <w:rPr>
                <w:rFonts w:ascii="宋体" w:hAnsi="宋体" w:cs="宋体"/>
                <w:kern w:val="0"/>
                <w:sz w:val="20"/>
                <w:szCs w:val="20"/>
              </w:rPr>
            </w:pPr>
          </w:p>
        </w:tc>
        <w:tc>
          <w:tcPr>
            <w:tcW w:w="2500" w:type="dxa"/>
            <w:shd w:val="clear" w:color="auto" w:fill="auto"/>
            <w:noWrap w:val="0"/>
            <w:vAlign w:val="center"/>
          </w:tcPr>
          <w:p w14:paraId="2FE38598">
            <w:pPr>
              <w:widowControl/>
              <w:jc w:val="center"/>
              <w:rPr>
                <w:rFonts w:ascii="宋体" w:hAnsi="宋体" w:cs="宋体"/>
                <w:kern w:val="0"/>
                <w:sz w:val="24"/>
              </w:rPr>
            </w:pPr>
          </w:p>
        </w:tc>
        <w:tc>
          <w:tcPr>
            <w:tcW w:w="2220" w:type="dxa"/>
            <w:shd w:val="clear" w:color="auto" w:fill="auto"/>
            <w:noWrap w:val="0"/>
            <w:vAlign w:val="center"/>
          </w:tcPr>
          <w:p w14:paraId="1427E757">
            <w:pPr>
              <w:widowControl/>
              <w:jc w:val="center"/>
              <w:rPr>
                <w:rFonts w:ascii="宋体" w:hAnsi="宋体" w:cs="宋体"/>
                <w:kern w:val="0"/>
                <w:sz w:val="24"/>
              </w:rPr>
            </w:pPr>
          </w:p>
        </w:tc>
      </w:tr>
      <w:tr w14:paraId="50A05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shd w:val="clear" w:color="auto" w:fill="auto"/>
            <w:noWrap w:val="0"/>
            <w:vAlign w:val="center"/>
          </w:tcPr>
          <w:p w14:paraId="387FAD24">
            <w:pPr>
              <w:widowControl/>
              <w:jc w:val="center"/>
              <w:rPr>
                <w:rFonts w:ascii="宋体" w:hAnsi="宋体" w:cs="宋体"/>
                <w:kern w:val="0"/>
                <w:sz w:val="20"/>
                <w:szCs w:val="20"/>
              </w:rPr>
            </w:pPr>
            <w:r>
              <w:rPr>
                <w:rFonts w:hint="eastAsia" w:ascii="宋体" w:hAnsi="宋体" w:cs="宋体"/>
                <w:kern w:val="0"/>
                <w:sz w:val="20"/>
                <w:szCs w:val="20"/>
              </w:rPr>
              <w:t>8</w:t>
            </w:r>
          </w:p>
        </w:tc>
        <w:tc>
          <w:tcPr>
            <w:tcW w:w="6760" w:type="dxa"/>
            <w:shd w:val="clear" w:color="auto" w:fill="auto"/>
            <w:noWrap w:val="0"/>
            <w:vAlign w:val="center"/>
          </w:tcPr>
          <w:p w14:paraId="010D25E6">
            <w:pPr>
              <w:widowControl/>
              <w:jc w:val="left"/>
              <w:rPr>
                <w:rFonts w:ascii="宋体" w:hAnsi="宋体" w:cs="宋体"/>
                <w:kern w:val="0"/>
                <w:sz w:val="20"/>
                <w:szCs w:val="20"/>
              </w:rPr>
            </w:pPr>
            <w:r>
              <w:rPr>
                <w:rFonts w:hint="eastAsia" w:ascii="宋体" w:hAnsi="宋体" w:cs="宋体"/>
                <w:kern w:val="0"/>
                <w:sz w:val="20"/>
                <w:szCs w:val="20"/>
              </w:rPr>
              <w:t>结转以后年度抵扣的股权投资余额</w:t>
            </w:r>
          </w:p>
        </w:tc>
        <w:tc>
          <w:tcPr>
            <w:tcW w:w="2320" w:type="dxa"/>
            <w:shd w:val="clear" w:color="auto" w:fill="auto"/>
            <w:noWrap w:val="0"/>
            <w:vAlign w:val="center"/>
          </w:tcPr>
          <w:p w14:paraId="4913E14C">
            <w:pPr>
              <w:widowControl/>
              <w:jc w:val="center"/>
              <w:rPr>
                <w:rFonts w:ascii="宋体" w:hAnsi="宋体" w:cs="宋体"/>
                <w:kern w:val="0"/>
                <w:sz w:val="20"/>
                <w:szCs w:val="20"/>
              </w:rPr>
            </w:pPr>
          </w:p>
        </w:tc>
        <w:tc>
          <w:tcPr>
            <w:tcW w:w="2500" w:type="dxa"/>
            <w:shd w:val="clear" w:color="auto" w:fill="auto"/>
            <w:noWrap/>
            <w:vAlign w:val="center"/>
          </w:tcPr>
          <w:p w14:paraId="72558A80">
            <w:pPr>
              <w:widowControl/>
              <w:jc w:val="center"/>
              <w:rPr>
                <w:rFonts w:ascii="宋体" w:hAnsi="宋体" w:cs="宋体"/>
                <w:kern w:val="0"/>
                <w:sz w:val="18"/>
                <w:szCs w:val="18"/>
              </w:rPr>
            </w:pPr>
            <w:r>
              <w:rPr>
                <w:rFonts w:hint="eastAsia" w:ascii="宋体" w:hAnsi="宋体" w:cs="宋体"/>
                <w:kern w:val="0"/>
                <w:sz w:val="18"/>
                <w:szCs w:val="18"/>
              </w:rPr>
              <w:t>*</w:t>
            </w:r>
          </w:p>
        </w:tc>
        <w:tc>
          <w:tcPr>
            <w:tcW w:w="2220" w:type="dxa"/>
            <w:shd w:val="clear" w:color="auto" w:fill="auto"/>
            <w:noWrap/>
            <w:vAlign w:val="center"/>
          </w:tcPr>
          <w:p w14:paraId="7DC77AEB">
            <w:pPr>
              <w:widowControl/>
              <w:jc w:val="center"/>
              <w:rPr>
                <w:rFonts w:ascii="宋体" w:hAnsi="宋体" w:cs="宋体"/>
                <w:kern w:val="0"/>
                <w:sz w:val="18"/>
                <w:szCs w:val="18"/>
              </w:rPr>
            </w:pPr>
            <w:r>
              <w:rPr>
                <w:rFonts w:hint="eastAsia" w:ascii="宋体" w:hAnsi="宋体" w:cs="宋体"/>
                <w:kern w:val="0"/>
                <w:sz w:val="18"/>
                <w:szCs w:val="18"/>
              </w:rPr>
              <w:t>*</w:t>
            </w:r>
          </w:p>
        </w:tc>
      </w:tr>
      <w:tr w14:paraId="4EF29D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4440" w:type="dxa"/>
            <w:gridSpan w:val="5"/>
            <w:shd w:val="clear" w:color="auto" w:fill="auto"/>
            <w:noWrap w:val="0"/>
            <w:vAlign w:val="center"/>
          </w:tcPr>
          <w:p w14:paraId="6028584C">
            <w:pPr>
              <w:widowControl/>
              <w:jc w:val="left"/>
              <w:rPr>
                <w:rFonts w:ascii="宋体" w:hAnsi="宋体" w:cs="宋体"/>
                <w:b/>
                <w:bCs/>
                <w:kern w:val="0"/>
                <w:sz w:val="20"/>
                <w:szCs w:val="20"/>
              </w:rPr>
            </w:pPr>
            <w:r>
              <w:rPr>
                <w:rFonts w:hint="eastAsia" w:ascii="宋体" w:hAnsi="宋体" w:cs="宋体"/>
                <w:b/>
                <w:bCs/>
                <w:kern w:val="0"/>
                <w:sz w:val="20"/>
                <w:szCs w:val="20"/>
              </w:rPr>
              <w:t>二、通过有限合伙制创业投资企业投资按一定比例抵扣分得的应纳税所得额</w:t>
            </w:r>
          </w:p>
        </w:tc>
      </w:tr>
      <w:tr w14:paraId="5DE97C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shd w:val="clear" w:color="auto" w:fill="auto"/>
            <w:noWrap w:val="0"/>
            <w:vAlign w:val="center"/>
          </w:tcPr>
          <w:p w14:paraId="26F9FCA1">
            <w:pPr>
              <w:widowControl/>
              <w:jc w:val="center"/>
              <w:rPr>
                <w:rFonts w:ascii="宋体" w:hAnsi="宋体" w:cs="宋体"/>
                <w:kern w:val="0"/>
                <w:sz w:val="20"/>
                <w:szCs w:val="20"/>
              </w:rPr>
            </w:pPr>
            <w:r>
              <w:rPr>
                <w:rFonts w:hint="eastAsia" w:ascii="宋体" w:hAnsi="宋体" w:cs="宋体"/>
                <w:kern w:val="0"/>
                <w:sz w:val="20"/>
                <w:szCs w:val="20"/>
              </w:rPr>
              <w:t>9</w:t>
            </w:r>
          </w:p>
        </w:tc>
        <w:tc>
          <w:tcPr>
            <w:tcW w:w="6760" w:type="dxa"/>
            <w:shd w:val="clear" w:color="auto" w:fill="auto"/>
            <w:noWrap w:val="0"/>
            <w:vAlign w:val="center"/>
          </w:tcPr>
          <w:p w14:paraId="7ED41686">
            <w:pPr>
              <w:widowControl/>
              <w:jc w:val="left"/>
              <w:rPr>
                <w:rFonts w:ascii="宋体" w:hAnsi="宋体" w:cs="宋体"/>
                <w:kern w:val="0"/>
                <w:sz w:val="20"/>
                <w:szCs w:val="20"/>
              </w:rPr>
            </w:pPr>
            <w:r>
              <w:rPr>
                <w:rFonts w:hint="eastAsia" w:ascii="宋体" w:hAnsi="宋体" w:cs="宋体"/>
                <w:kern w:val="0"/>
                <w:sz w:val="20"/>
                <w:szCs w:val="20"/>
              </w:rPr>
              <w:t>本年从有限合伙创投企业应分得的应纳税所得额</w:t>
            </w:r>
          </w:p>
        </w:tc>
        <w:tc>
          <w:tcPr>
            <w:tcW w:w="2320" w:type="dxa"/>
            <w:shd w:val="clear" w:color="auto" w:fill="auto"/>
            <w:noWrap w:val="0"/>
            <w:vAlign w:val="center"/>
          </w:tcPr>
          <w:p w14:paraId="1010E70F">
            <w:pPr>
              <w:widowControl/>
              <w:jc w:val="center"/>
              <w:rPr>
                <w:rFonts w:ascii="宋体" w:hAnsi="宋体" w:cs="宋体"/>
                <w:kern w:val="0"/>
                <w:sz w:val="20"/>
                <w:szCs w:val="20"/>
              </w:rPr>
            </w:pPr>
          </w:p>
        </w:tc>
        <w:tc>
          <w:tcPr>
            <w:tcW w:w="2500" w:type="dxa"/>
            <w:shd w:val="clear" w:color="auto" w:fill="auto"/>
            <w:noWrap w:val="0"/>
            <w:vAlign w:val="center"/>
          </w:tcPr>
          <w:p w14:paraId="5FFC48E3">
            <w:pPr>
              <w:widowControl/>
              <w:jc w:val="center"/>
              <w:rPr>
                <w:rFonts w:ascii="宋体" w:hAnsi="宋体" w:cs="宋体"/>
                <w:kern w:val="0"/>
                <w:sz w:val="24"/>
              </w:rPr>
            </w:pPr>
          </w:p>
        </w:tc>
        <w:tc>
          <w:tcPr>
            <w:tcW w:w="2220" w:type="dxa"/>
            <w:shd w:val="clear" w:color="auto" w:fill="auto"/>
            <w:noWrap w:val="0"/>
            <w:vAlign w:val="center"/>
          </w:tcPr>
          <w:p w14:paraId="177755E8">
            <w:pPr>
              <w:widowControl/>
              <w:jc w:val="center"/>
              <w:rPr>
                <w:rFonts w:ascii="宋体" w:hAnsi="宋体" w:cs="宋体"/>
                <w:kern w:val="0"/>
                <w:sz w:val="24"/>
              </w:rPr>
            </w:pPr>
          </w:p>
        </w:tc>
      </w:tr>
      <w:tr w14:paraId="0F3E5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shd w:val="clear" w:color="auto" w:fill="auto"/>
            <w:noWrap w:val="0"/>
            <w:vAlign w:val="center"/>
          </w:tcPr>
          <w:p w14:paraId="61BB2B1E">
            <w:pPr>
              <w:widowControl/>
              <w:jc w:val="center"/>
              <w:rPr>
                <w:rFonts w:ascii="宋体" w:hAnsi="宋体" w:cs="宋体"/>
                <w:kern w:val="0"/>
                <w:sz w:val="20"/>
                <w:szCs w:val="20"/>
              </w:rPr>
            </w:pPr>
            <w:r>
              <w:rPr>
                <w:rFonts w:hint="eastAsia" w:ascii="宋体" w:hAnsi="宋体" w:cs="宋体"/>
                <w:kern w:val="0"/>
                <w:sz w:val="20"/>
                <w:szCs w:val="20"/>
              </w:rPr>
              <w:t>10</w:t>
            </w:r>
          </w:p>
        </w:tc>
        <w:tc>
          <w:tcPr>
            <w:tcW w:w="6760" w:type="dxa"/>
            <w:shd w:val="clear" w:color="auto" w:fill="auto"/>
            <w:noWrap w:val="0"/>
            <w:vAlign w:val="center"/>
          </w:tcPr>
          <w:p w14:paraId="43D083E7">
            <w:pPr>
              <w:widowControl/>
              <w:jc w:val="left"/>
              <w:rPr>
                <w:rFonts w:ascii="宋体" w:hAnsi="宋体" w:cs="宋体"/>
                <w:kern w:val="0"/>
                <w:sz w:val="20"/>
                <w:szCs w:val="20"/>
              </w:rPr>
            </w:pPr>
            <w:r>
              <w:rPr>
                <w:rFonts w:hint="eastAsia" w:ascii="宋体" w:hAnsi="宋体" w:cs="宋体"/>
                <w:kern w:val="0"/>
                <w:sz w:val="20"/>
                <w:szCs w:val="20"/>
              </w:rPr>
              <w:t>本年新增的可抵扣投资额</w:t>
            </w:r>
          </w:p>
        </w:tc>
        <w:tc>
          <w:tcPr>
            <w:tcW w:w="2320" w:type="dxa"/>
            <w:shd w:val="clear" w:color="auto" w:fill="auto"/>
            <w:noWrap w:val="0"/>
            <w:vAlign w:val="center"/>
          </w:tcPr>
          <w:p w14:paraId="15682DAF">
            <w:pPr>
              <w:widowControl/>
              <w:jc w:val="center"/>
              <w:rPr>
                <w:rFonts w:ascii="宋体" w:hAnsi="宋体" w:cs="宋体"/>
                <w:kern w:val="0"/>
                <w:sz w:val="20"/>
                <w:szCs w:val="20"/>
              </w:rPr>
            </w:pPr>
          </w:p>
        </w:tc>
        <w:tc>
          <w:tcPr>
            <w:tcW w:w="2500" w:type="dxa"/>
            <w:shd w:val="clear" w:color="auto" w:fill="auto"/>
            <w:noWrap w:val="0"/>
            <w:vAlign w:val="center"/>
          </w:tcPr>
          <w:p w14:paraId="215E29AF">
            <w:pPr>
              <w:widowControl/>
              <w:jc w:val="center"/>
              <w:rPr>
                <w:rFonts w:ascii="宋体" w:hAnsi="宋体" w:cs="宋体"/>
                <w:kern w:val="0"/>
                <w:sz w:val="24"/>
              </w:rPr>
            </w:pPr>
          </w:p>
        </w:tc>
        <w:tc>
          <w:tcPr>
            <w:tcW w:w="2220" w:type="dxa"/>
            <w:shd w:val="clear" w:color="auto" w:fill="auto"/>
            <w:noWrap w:val="0"/>
            <w:vAlign w:val="center"/>
          </w:tcPr>
          <w:p w14:paraId="7E193915">
            <w:pPr>
              <w:widowControl/>
              <w:jc w:val="center"/>
              <w:rPr>
                <w:rFonts w:ascii="宋体" w:hAnsi="宋体" w:cs="宋体"/>
                <w:kern w:val="0"/>
                <w:sz w:val="24"/>
              </w:rPr>
            </w:pPr>
          </w:p>
        </w:tc>
      </w:tr>
      <w:tr w14:paraId="21FC2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shd w:val="clear" w:color="auto" w:fill="auto"/>
            <w:noWrap w:val="0"/>
            <w:vAlign w:val="center"/>
          </w:tcPr>
          <w:p w14:paraId="3320D2A0">
            <w:pPr>
              <w:widowControl/>
              <w:jc w:val="center"/>
              <w:rPr>
                <w:rFonts w:ascii="宋体" w:hAnsi="宋体" w:cs="宋体"/>
                <w:kern w:val="0"/>
                <w:sz w:val="20"/>
                <w:szCs w:val="20"/>
              </w:rPr>
            </w:pPr>
            <w:r>
              <w:rPr>
                <w:rFonts w:hint="eastAsia" w:ascii="宋体" w:hAnsi="宋体" w:cs="宋体"/>
                <w:kern w:val="0"/>
                <w:sz w:val="20"/>
                <w:szCs w:val="20"/>
              </w:rPr>
              <w:t>11</w:t>
            </w:r>
          </w:p>
        </w:tc>
        <w:tc>
          <w:tcPr>
            <w:tcW w:w="6760" w:type="dxa"/>
            <w:shd w:val="clear" w:color="auto" w:fill="auto"/>
            <w:noWrap w:val="0"/>
            <w:vAlign w:val="center"/>
          </w:tcPr>
          <w:p w14:paraId="58127B95">
            <w:pPr>
              <w:widowControl/>
              <w:jc w:val="left"/>
              <w:rPr>
                <w:rFonts w:ascii="宋体" w:hAnsi="宋体" w:cs="宋体"/>
                <w:kern w:val="0"/>
                <w:sz w:val="20"/>
                <w:szCs w:val="20"/>
              </w:rPr>
            </w:pPr>
            <w:r>
              <w:rPr>
                <w:rFonts w:hint="eastAsia" w:ascii="宋体" w:hAnsi="宋体" w:cs="宋体"/>
                <w:kern w:val="0"/>
                <w:sz w:val="20"/>
                <w:szCs w:val="20"/>
              </w:rPr>
              <w:t>以前年度结转的可抵扣投资额余额</w:t>
            </w:r>
          </w:p>
        </w:tc>
        <w:tc>
          <w:tcPr>
            <w:tcW w:w="2320" w:type="dxa"/>
            <w:shd w:val="clear" w:color="auto" w:fill="auto"/>
            <w:noWrap w:val="0"/>
            <w:vAlign w:val="center"/>
          </w:tcPr>
          <w:p w14:paraId="79888C8A">
            <w:pPr>
              <w:widowControl/>
              <w:jc w:val="center"/>
              <w:rPr>
                <w:rFonts w:ascii="宋体" w:hAnsi="宋体" w:cs="宋体"/>
                <w:kern w:val="0"/>
                <w:sz w:val="20"/>
                <w:szCs w:val="20"/>
              </w:rPr>
            </w:pPr>
          </w:p>
        </w:tc>
        <w:tc>
          <w:tcPr>
            <w:tcW w:w="2500" w:type="dxa"/>
            <w:shd w:val="clear" w:color="auto" w:fill="auto"/>
            <w:noWrap/>
            <w:vAlign w:val="center"/>
          </w:tcPr>
          <w:p w14:paraId="2C875AA2">
            <w:pPr>
              <w:widowControl/>
              <w:jc w:val="center"/>
              <w:rPr>
                <w:rFonts w:ascii="宋体" w:hAnsi="宋体" w:cs="宋体"/>
                <w:kern w:val="0"/>
                <w:sz w:val="18"/>
                <w:szCs w:val="18"/>
              </w:rPr>
            </w:pPr>
            <w:r>
              <w:rPr>
                <w:rFonts w:hint="eastAsia" w:ascii="宋体" w:hAnsi="宋体" w:cs="宋体"/>
                <w:kern w:val="0"/>
                <w:sz w:val="18"/>
                <w:szCs w:val="18"/>
              </w:rPr>
              <w:t>*</w:t>
            </w:r>
          </w:p>
        </w:tc>
        <w:tc>
          <w:tcPr>
            <w:tcW w:w="2220" w:type="dxa"/>
            <w:shd w:val="clear" w:color="auto" w:fill="auto"/>
            <w:noWrap/>
            <w:vAlign w:val="center"/>
          </w:tcPr>
          <w:p w14:paraId="5AFE9A28">
            <w:pPr>
              <w:widowControl/>
              <w:jc w:val="center"/>
              <w:rPr>
                <w:rFonts w:ascii="宋体" w:hAnsi="宋体" w:cs="宋体"/>
                <w:kern w:val="0"/>
                <w:sz w:val="18"/>
                <w:szCs w:val="18"/>
              </w:rPr>
            </w:pPr>
            <w:r>
              <w:rPr>
                <w:rFonts w:hint="eastAsia" w:ascii="宋体" w:hAnsi="宋体" w:cs="宋体"/>
                <w:kern w:val="0"/>
                <w:sz w:val="18"/>
                <w:szCs w:val="18"/>
              </w:rPr>
              <w:t>*</w:t>
            </w:r>
          </w:p>
        </w:tc>
      </w:tr>
      <w:tr w14:paraId="34009B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shd w:val="clear" w:color="auto" w:fill="auto"/>
            <w:noWrap w:val="0"/>
            <w:vAlign w:val="center"/>
          </w:tcPr>
          <w:p w14:paraId="0A8060D2">
            <w:pPr>
              <w:widowControl/>
              <w:jc w:val="center"/>
              <w:rPr>
                <w:rFonts w:ascii="宋体" w:hAnsi="宋体" w:cs="宋体"/>
                <w:kern w:val="0"/>
                <w:sz w:val="20"/>
                <w:szCs w:val="20"/>
              </w:rPr>
            </w:pPr>
            <w:r>
              <w:rPr>
                <w:rFonts w:hint="eastAsia" w:ascii="宋体" w:hAnsi="宋体" w:cs="宋体"/>
                <w:kern w:val="0"/>
                <w:sz w:val="20"/>
                <w:szCs w:val="20"/>
              </w:rPr>
              <w:t>12</w:t>
            </w:r>
          </w:p>
        </w:tc>
        <w:tc>
          <w:tcPr>
            <w:tcW w:w="6760" w:type="dxa"/>
            <w:shd w:val="clear" w:color="auto" w:fill="auto"/>
            <w:noWrap w:val="0"/>
            <w:vAlign w:val="center"/>
          </w:tcPr>
          <w:p w14:paraId="2C7FC2C9">
            <w:pPr>
              <w:widowControl/>
              <w:jc w:val="left"/>
              <w:rPr>
                <w:rFonts w:ascii="宋体" w:hAnsi="宋体" w:cs="宋体"/>
                <w:kern w:val="0"/>
                <w:sz w:val="20"/>
                <w:szCs w:val="20"/>
              </w:rPr>
            </w:pPr>
            <w:r>
              <w:rPr>
                <w:rFonts w:hint="eastAsia" w:ascii="宋体" w:hAnsi="宋体" w:cs="宋体"/>
                <w:kern w:val="0"/>
                <w:sz w:val="20"/>
                <w:szCs w:val="20"/>
              </w:rPr>
              <w:t>本年可抵扣投资额（10+11）</w:t>
            </w:r>
          </w:p>
        </w:tc>
        <w:tc>
          <w:tcPr>
            <w:tcW w:w="2320" w:type="dxa"/>
            <w:shd w:val="clear" w:color="auto" w:fill="auto"/>
            <w:noWrap w:val="0"/>
            <w:vAlign w:val="center"/>
          </w:tcPr>
          <w:p w14:paraId="28F2D693">
            <w:pPr>
              <w:widowControl/>
              <w:jc w:val="center"/>
              <w:rPr>
                <w:rFonts w:ascii="宋体" w:hAnsi="宋体" w:cs="宋体"/>
                <w:kern w:val="0"/>
                <w:sz w:val="20"/>
                <w:szCs w:val="20"/>
              </w:rPr>
            </w:pPr>
          </w:p>
        </w:tc>
        <w:tc>
          <w:tcPr>
            <w:tcW w:w="2500" w:type="dxa"/>
            <w:shd w:val="clear" w:color="auto" w:fill="auto"/>
            <w:noWrap/>
            <w:vAlign w:val="center"/>
          </w:tcPr>
          <w:p w14:paraId="6D4660B3">
            <w:pPr>
              <w:widowControl/>
              <w:jc w:val="center"/>
              <w:rPr>
                <w:rFonts w:ascii="宋体" w:hAnsi="宋体" w:cs="宋体"/>
                <w:kern w:val="0"/>
                <w:sz w:val="18"/>
                <w:szCs w:val="18"/>
              </w:rPr>
            </w:pPr>
            <w:r>
              <w:rPr>
                <w:rFonts w:hint="eastAsia" w:ascii="宋体" w:hAnsi="宋体" w:cs="宋体"/>
                <w:kern w:val="0"/>
                <w:sz w:val="18"/>
                <w:szCs w:val="18"/>
              </w:rPr>
              <w:t>*</w:t>
            </w:r>
          </w:p>
        </w:tc>
        <w:tc>
          <w:tcPr>
            <w:tcW w:w="2220" w:type="dxa"/>
            <w:shd w:val="clear" w:color="auto" w:fill="auto"/>
            <w:noWrap/>
            <w:vAlign w:val="center"/>
          </w:tcPr>
          <w:p w14:paraId="71FC97C4">
            <w:pPr>
              <w:widowControl/>
              <w:jc w:val="center"/>
              <w:rPr>
                <w:rFonts w:ascii="宋体" w:hAnsi="宋体" w:cs="宋体"/>
                <w:kern w:val="0"/>
                <w:sz w:val="18"/>
                <w:szCs w:val="18"/>
              </w:rPr>
            </w:pPr>
            <w:r>
              <w:rPr>
                <w:rFonts w:hint="eastAsia" w:ascii="宋体" w:hAnsi="宋体" w:cs="宋体"/>
                <w:kern w:val="0"/>
                <w:sz w:val="18"/>
                <w:szCs w:val="18"/>
              </w:rPr>
              <w:t>*</w:t>
            </w:r>
          </w:p>
        </w:tc>
      </w:tr>
      <w:tr w14:paraId="16FD5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shd w:val="clear" w:color="auto" w:fill="auto"/>
            <w:noWrap w:val="0"/>
            <w:vAlign w:val="center"/>
          </w:tcPr>
          <w:p w14:paraId="63487686">
            <w:pPr>
              <w:widowControl/>
              <w:jc w:val="center"/>
              <w:rPr>
                <w:rFonts w:ascii="宋体" w:hAnsi="宋体" w:cs="宋体"/>
                <w:kern w:val="0"/>
                <w:sz w:val="20"/>
                <w:szCs w:val="20"/>
              </w:rPr>
            </w:pPr>
            <w:r>
              <w:rPr>
                <w:rFonts w:hint="eastAsia" w:ascii="宋体" w:hAnsi="宋体" w:cs="宋体"/>
                <w:kern w:val="0"/>
                <w:sz w:val="20"/>
                <w:szCs w:val="20"/>
              </w:rPr>
              <w:t>13</w:t>
            </w:r>
          </w:p>
        </w:tc>
        <w:tc>
          <w:tcPr>
            <w:tcW w:w="6760" w:type="dxa"/>
            <w:shd w:val="clear" w:color="auto" w:fill="auto"/>
            <w:noWrap w:val="0"/>
            <w:vAlign w:val="center"/>
          </w:tcPr>
          <w:p w14:paraId="439FAFD6">
            <w:pPr>
              <w:widowControl/>
              <w:jc w:val="left"/>
              <w:rPr>
                <w:rFonts w:ascii="宋体" w:hAnsi="宋体" w:cs="宋体"/>
                <w:kern w:val="0"/>
                <w:sz w:val="20"/>
                <w:szCs w:val="20"/>
              </w:rPr>
            </w:pPr>
            <w:r>
              <w:rPr>
                <w:rFonts w:hint="eastAsia" w:ascii="宋体" w:hAnsi="宋体" w:cs="宋体"/>
                <w:kern w:val="0"/>
                <w:sz w:val="20"/>
                <w:szCs w:val="20"/>
              </w:rPr>
              <w:t>本年实际抵扣应分得的应纳税所得额</w:t>
            </w:r>
          </w:p>
        </w:tc>
        <w:tc>
          <w:tcPr>
            <w:tcW w:w="2320" w:type="dxa"/>
            <w:shd w:val="clear" w:color="auto" w:fill="auto"/>
            <w:noWrap w:val="0"/>
            <w:vAlign w:val="center"/>
          </w:tcPr>
          <w:p w14:paraId="776F5945">
            <w:pPr>
              <w:widowControl/>
              <w:jc w:val="center"/>
              <w:rPr>
                <w:rFonts w:ascii="宋体" w:hAnsi="宋体" w:cs="宋体"/>
                <w:kern w:val="0"/>
                <w:sz w:val="20"/>
                <w:szCs w:val="20"/>
              </w:rPr>
            </w:pPr>
          </w:p>
        </w:tc>
        <w:tc>
          <w:tcPr>
            <w:tcW w:w="2500" w:type="dxa"/>
            <w:shd w:val="clear" w:color="auto" w:fill="auto"/>
            <w:noWrap w:val="0"/>
            <w:vAlign w:val="center"/>
          </w:tcPr>
          <w:p w14:paraId="73D7C329">
            <w:pPr>
              <w:widowControl/>
              <w:jc w:val="center"/>
              <w:rPr>
                <w:rFonts w:ascii="宋体" w:hAnsi="宋体" w:cs="宋体"/>
                <w:kern w:val="0"/>
                <w:sz w:val="24"/>
              </w:rPr>
            </w:pPr>
          </w:p>
        </w:tc>
        <w:tc>
          <w:tcPr>
            <w:tcW w:w="2220" w:type="dxa"/>
            <w:shd w:val="clear" w:color="auto" w:fill="auto"/>
            <w:noWrap w:val="0"/>
            <w:vAlign w:val="center"/>
          </w:tcPr>
          <w:p w14:paraId="344783CE">
            <w:pPr>
              <w:widowControl/>
              <w:jc w:val="center"/>
              <w:rPr>
                <w:rFonts w:ascii="宋体" w:hAnsi="宋体" w:cs="宋体"/>
                <w:kern w:val="0"/>
                <w:sz w:val="24"/>
              </w:rPr>
            </w:pPr>
          </w:p>
        </w:tc>
      </w:tr>
      <w:tr w14:paraId="45122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shd w:val="clear" w:color="auto" w:fill="auto"/>
            <w:noWrap w:val="0"/>
            <w:vAlign w:val="center"/>
          </w:tcPr>
          <w:p w14:paraId="1400818A">
            <w:pPr>
              <w:widowControl/>
              <w:jc w:val="center"/>
              <w:rPr>
                <w:rFonts w:ascii="宋体" w:hAnsi="宋体" w:cs="宋体"/>
                <w:kern w:val="0"/>
                <w:sz w:val="20"/>
                <w:szCs w:val="20"/>
              </w:rPr>
            </w:pPr>
            <w:r>
              <w:rPr>
                <w:rFonts w:hint="eastAsia" w:ascii="宋体" w:hAnsi="宋体" w:cs="宋体"/>
                <w:kern w:val="0"/>
                <w:sz w:val="20"/>
                <w:szCs w:val="20"/>
              </w:rPr>
              <w:t>14</w:t>
            </w:r>
          </w:p>
        </w:tc>
        <w:tc>
          <w:tcPr>
            <w:tcW w:w="6760" w:type="dxa"/>
            <w:shd w:val="clear" w:color="auto" w:fill="auto"/>
            <w:noWrap w:val="0"/>
            <w:vAlign w:val="center"/>
          </w:tcPr>
          <w:p w14:paraId="24516A9D">
            <w:pPr>
              <w:widowControl/>
              <w:jc w:val="left"/>
              <w:rPr>
                <w:rFonts w:ascii="宋体" w:hAnsi="宋体" w:cs="宋体"/>
                <w:kern w:val="0"/>
                <w:sz w:val="20"/>
                <w:szCs w:val="20"/>
              </w:rPr>
            </w:pPr>
            <w:r>
              <w:rPr>
                <w:rFonts w:hint="eastAsia" w:ascii="宋体" w:hAnsi="宋体" w:cs="宋体"/>
                <w:kern w:val="0"/>
                <w:sz w:val="20"/>
                <w:szCs w:val="20"/>
              </w:rPr>
              <w:t>结转以后年度抵扣的投资额余额</w:t>
            </w:r>
          </w:p>
        </w:tc>
        <w:tc>
          <w:tcPr>
            <w:tcW w:w="2320" w:type="dxa"/>
            <w:shd w:val="clear" w:color="auto" w:fill="auto"/>
            <w:noWrap w:val="0"/>
            <w:vAlign w:val="center"/>
          </w:tcPr>
          <w:p w14:paraId="28F0906B">
            <w:pPr>
              <w:widowControl/>
              <w:jc w:val="center"/>
              <w:rPr>
                <w:rFonts w:ascii="宋体" w:hAnsi="宋体" w:cs="宋体"/>
                <w:kern w:val="0"/>
                <w:sz w:val="20"/>
                <w:szCs w:val="20"/>
              </w:rPr>
            </w:pPr>
          </w:p>
        </w:tc>
        <w:tc>
          <w:tcPr>
            <w:tcW w:w="2500" w:type="dxa"/>
            <w:shd w:val="clear" w:color="auto" w:fill="auto"/>
            <w:noWrap/>
            <w:vAlign w:val="center"/>
          </w:tcPr>
          <w:p w14:paraId="3D03F23F">
            <w:pPr>
              <w:widowControl/>
              <w:jc w:val="center"/>
              <w:rPr>
                <w:rFonts w:ascii="宋体" w:hAnsi="宋体" w:cs="宋体"/>
                <w:kern w:val="0"/>
                <w:sz w:val="18"/>
                <w:szCs w:val="18"/>
              </w:rPr>
            </w:pPr>
            <w:r>
              <w:rPr>
                <w:rFonts w:hint="eastAsia" w:ascii="宋体" w:hAnsi="宋体" w:cs="宋体"/>
                <w:kern w:val="0"/>
                <w:sz w:val="18"/>
                <w:szCs w:val="18"/>
              </w:rPr>
              <w:t>*</w:t>
            </w:r>
          </w:p>
        </w:tc>
        <w:tc>
          <w:tcPr>
            <w:tcW w:w="2220" w:type="dxa"/>
            <w:shd w:val="clear" w:color="auto" w:fill="auto"/>
            <w:noWrap/>
            <w:vAlign w:val="center"/>
          </w:tcPr>
          <w:p w14:paraId="784350FB">
            <w:pPr>
              <w:widowControl/>
              <w:jc w:val="center"/>
              <w:rPr>
                <w:rFonts w:ascii="宋体" w:hAnsi="宋体" w:cs="宋体"/>
                <w:kern w:val="0"/>
                <w:sz w:val="18"/>
                <w:szCs w:val="18"/>
              </w:rPr>
            </w:pPr>
            <w:r>
              <w:rPr>
                <w:rFonts w:hint="eastAsia" w:ascii="宋体" w:hAnsi="宋体" w:cs="宋体"/>
                <w:kern w:val="0"/>
                <w:sz w:val="18"/>
                <w:szCs w:val="18"/>
              </w:rPr>
              <w:t>*</w:t>
            </w:r>
          </w:p>
        </w:tc>
      </w:tr>
      <w:tr w14:paraId="427EB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4440" w:type="dxa"/>
            <w:gridSpan w:val="5"/>
            <w:shd w:val="clear" w:color="auto" w:fill="auto"/>
            <w:noWrap w:val="0"/>
            <w:vAlign w:val="center"/>
          </w:tcPr>
          <w:p w14:paraId="0C36C150">
            <w:pPr>
              <w:widowControl/>
              <w:jc w:val="left"/>
              <w:rPr>
                <w:rFonts w:ascii="宋体" w:hAnsi="宋体" w:cs="宋体"/>
                <w:b/>
                <w:bCs/>
                <w:kern w:val="0"/>
                <w:sz w:val="20"/>
                <w:szCs w:val="20"/>
              </w:rPr>
            </w:pPr>
            <w:r>
              <w:rPr>
                <w:rFonts w:hint="eastAsia" w:ascii="宋体" w:hAnsi="宋体" w:cs="宋体"/>
                <w:b/>
                <w:bCs/>
                <w:kern w:val="0"/>
                <w:sz w:val="20"/>
                <w:szCs w:val="20"/>
              </w:rPr>
              <w:t>三、抵扣应纳税所得额合计</w:t>
            </w:r>
          </w:p>
        </w:tc>
      </w:tr>
      <w:tr w14:paraId="4BD92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shd w:val="clear" w:color="auto" w:fill="auto"/>
            <w:noWrap w:val="0"/>
            <w:vAlign w:val="center"/>
          </w:tcPr>
          <w:p w14:paraId="55B11D21">
            <w:pPr>
              <w:widowControl/>
              <w:jc w:val="center"/>
              <w:rPr>
                <w:rFonts w:ascii="宋体" w:hAnsi="宋体" w:cs="宋体"/>
                <w:kern w:val="0"/>
                <w:sz w:val="20"/>
                <w:szCs w:val="20"/>
              </w:rPr>
            </w:pPr>
            <w:r>
              <w:rPr>
                <w:rFonts w:hint="eastAsia" w:ascii="宋体" w:hAnsi="宋体" w:cs="宋体"/>
                <w:kern w:val="0"/>
                <w:sz w:val="20"/>
                <w:szCs w:val="20"/>
              </w:rPr>
              <w:t>15</w:t>
            </w:r>
          </w:p>
        </w:tc>
        <w:tc>
          <w:tcPr>
            <w:tcW w:w="6760" w:type="dxa"/>
            <w:shd w:val="clear" w:color="auto" w:fill="auto"/>
            <w:noWrap w:val="0"/>
            <w:vAlign w:val="center"/>
          </w:tcPr>
          <w:p w14:paraId="162979D0">
            <w:pPr>
              <w:widowControl/>
              <w:jc w:val="left"/>
              <w:rPr>
                <w:rFonts w:ascii="宋体" w:hAnsi="宋体" w:cs="宋体"/>
                <w:kern w:val="0"/>
                <w:sz w:val="20"/>
                <w:szCs w:val="20"/>
              </w:rPr>
            </w:pPr>
            <w:r>
              <w:rPr>
                <w:rFonts w:hint="eastAsia" w:ascii="宋体" w:hAnsi="宋体" w:cs="宋体"/>
                <w:kern w:val="0"/>
                <w:sz w:val="20"/>
                <w:szCs w:val="20"/>
              </w:rPr>
              <w:t>合计（7+13）</w:t>
            </w:r>
          </w:p>
        </w:tc>
        <w:tc>
          <w:tcPr>
            <w:tcW w:w="2320" w:type="dxa"/>
            <w:shd w:val="clear" w:color="auto" w:fill="auto"/>
            <w:noWrap w:val="0"/>
            <w:vAlign w:val="center"/>
          </w:tcPr>
          <w:p w14:paraId="573FA46F">
            <w:pPr>
              <w:widowControl/>
              <w:jc w:val="center"/>
              <w:rPr>
                <w:rFonts w:ascii="宋体" w:hAnsi="宋体" w:cs="宋体"/>
                <w:kern w:val="0"/>
                <w:sz w:val="20"/>
                <w:szCs w:val="20"/>
              </w:rPr>
            </w:pPr>
          </w:p>
        </w:tc>
        <w:tc>
          <w:tcPr>
            <w:tcW w:w="2500" w:type="dxa"/>
            <w:shd w:val="clear" w:color="auto" w:fill="auto"/>
            <w:noWrap w:val="0"/>
            <w:vAlign w:val="center"/>
          </w:tcPr>
          <w:p w14:paraId="4DB4F65D">
            <w:pPr>
              <w:widowControl/>
              <w:jc w:val="center"/>
              <w:rPr>
                <w:rFonts w:ascii="宋体" w:hAnsi="宋体" w:cs="宋体"/>
                <w:kern w:val="0"/>
                <w:sz w:val="24"/>
              </w:rPr>
            </w:pPr>
          </w:p>
        </w:tc>
        <w:tc>
          <w:tcPr>
            <w:tcW w:w="2220" w:type="dxa"/>
            <w:shd w:val="clear" w:color="auto" w:fill="auto"/>
            <w:noWrap/>
            <w:vAlign w:val="center"/>
          </w:tcPr>
          <w:p w14:paraId="0F5D8F35">
            <w:pPr>
              <w:widowControl/>
              <w:jc w:val="center"/>
              <w:rPr>
                <w:rFonts w:ascii="宋体" w:hAnsi="宋体" w:cs="宋体"/>
                <w:kern w:val="0"/>
                <w:sz w:val="24"/>
              </w:rPr>
            </w:pPr>
          </w:p>
        </w:tc>
      </w:tr>
    </w:tbl>
    <w:p w14:paraId="7AACE999">
      <w:pPr>
        <w:tabs>
          <w:tab w:val="left" w:pos="2190"/>
        </w:tabs>
        <w:sectPr>
          <w:pgSz w:w="16838" w:h="11906" w:orient="landscape"/>
          <w:pgMar w:top="1418" w:right="1985" w:bottom="1418" w:left="1928" w:header="851" w:footer="992" w:gutter="113"/>
          <w:cols w:space="425" w:num="1"/>
          <w:docGrid w:linePitch="312" w:charSpace="0"/>
        </w:sectPr>
      </w:pPr>
      <w:r>
        <w:tab/>
      </w:r>
    </w:p>
    <w:p w14:paraId="3CAA4DAC">
      <w:pPr>
        <w:pStyle w:val="10"/>
        <w:spacing w:before="240" w:after="360"/>
        <w:rPr>
          <w:rFonts w:hint="eastAsia" w:ascii="宋体" w:hAnsi="宋体" w:eastAsia="宋体" w:cs="宋体"/>
          <w:b/>
          <w:bCs/>
          <w:color w:val="000000"/>
          <w:lang w:eastAsia="zh-CN"/>
        </w:rPr>
      </w:pPr>
      <w:bookmarkStart w:id="1" w:name="_Toc499456606"/>
      <w:r>
        <w:rPr>
          <w:rFonts w:hint="eastAsia" w:ascii="宋体" w:hAnsi="宋体" w:eastAsia="宋体" w:cs="宋体"/>
          <w:b/>
          <w:bCs/>
          <w:color w:val="000000"/>
        </w:rPr>
        <w:t>A107030</w:t>
      </w:r>
      <w:r>
        <w:rPr>
          <w:rFonts w:hint="eastAsia" w:ascii="宋体" w:hAnsi="宋体" w:eastAsia="宋体" w:cs="宋体"/>
          <w:b/>
          <w:bCs/>
          <w:color w:val="000000"/>
        </w:rPr>
        <w:tab/>
      </w:r>
      <w:r>
        <w:rPr>
          <w:rFonts w:hint="eastAsia" w:ascii="宋体" w:hAnsi="宋体" w:eastAsia="宋体" w:cs="宋体"/>
          <w:b/>
          <w:bCs/>
          <w:color w:val="000000"/>
        </w:rPr>
        <w:t>《抵扣应纳税所得额明细表》填报说明</w:t>
      </w:r>
      <w:bookmarkEnd w:id="1"/>
      <w:r>
        <w:rPr>
          <w:rFonts w:hint="eastAsia" w:ascii="宋体" w:eastAsia="宋体" w:cs="宋体"/>
          <w:b/>
          <w:bCs/>
          <w:color w:val="000000"/>
          <w:lang w:eastAsia="zh-CN"/>
        </w:rPr>
        <w:t>（</w:t>
      </w:r>
      <w:r>
        <w:rPr>
          <w:rFonts w:hint="eastAsia" w:ascii="宋体" w:eastAsia="宋体" w:cs="宋体"/>
          <w:b/>
          <w:bCs/>
          <w:color w:val="000000"/>
          <w:lang w:val="en-US" w:eastAsia="zh-CN"/>
        </w:rPr>
        <w:t>旧</w:t>
      </w:r>
      <w:r>
        <w:rPr>
          <w:rFonts w:hint="eastAsia" w:ascii="宋体" w:eastAsia="宋体" w:cs="宋体"/>
          <w:b/>
          <w:bCs/>
          <w:color w:val="000000"/>
          <w:lang w:eastAsia="zh-CN"/>
        </w:rPr>
        <w:t>）</w:t>
      </w:r>
    </w:p>
    <w:p w14:paraId="0F1771B3">
      <w:pPr>
        <w:pStyle w:val="9"/>
        <w:rPr>
          <w:color w:val="000000"/>
        </w:rPr>
      </w:pPr>
      <w:r>
        <w:rPr>
          <w:rFonts w:hint="eastAsia"/>
          <w:color w:val="000000"/>
        </w:rPr>
        <w:t>本表适用于享受创业投资企业抵扣应纳税所得额优惠（含结转）的纳税人填报。纳税人根据税法、《国家税务总局关于实施创业投资企业所得税优惠问题的通知》（国税发〔2009〕87号）、《财政部 国家税务总局关于执行企业所得税优惠政策若干问题的通知》（财税〔2009〕69号）、《财政部 国家税务总局关于将国家自主创新示范区有关税收试点政策推广到全国范围实施的通知》（财税〔2015〕116号）、《国家税务总局关于有限合伙制创业投资企业法人合伙人企业所得税有关问题的公告》（国家税务总局公告2015年第81号）、《财政部 税务总局关于创业投资企业和天使投资个人有关税收试点政策的通知》（财税〔2017〕38号）、《国家税务总局关于创业投资企业和天使投资个人税收试点政策有关问题的公告》（国家税务总局公告2017年第20号）等规定，填报本年度发生的创业投资企业抵扣应纳税所得额优惠情况。企业只要本年有新增符合条件的投资额、从</w:t>
      </w:r>
      <w:r>
        <w:rPr>
          <w:rFonts w:hint="eastAsia"/>
        </w:rPr>
        <w:t>有限合伙制创业投资企业分得</w:t>
      </w:r>
      <w:r>
        <w:rPr>
          <w:rFonts w:hint="eastAsia"/>
          <w:color w:val="000000"/>
        </w:rPr>
        <w:t>的应纳税所得额或以前年度结转的尚未抵扣的股权投资余额，无论本年是否抵扣应纳税所得额，均需填报本表。</w:t>
      </w:r>
    </w:p>
    <w:p w14:paraId="2FF21611">
      <w:pPr>
        <w:pStyle w:val="11"/>
        <w:ind w:firstLine="482"/>
      </w:pPr>
      <w:r>
        <w:rPr>
          <w:rFonts w:hint="eastAsia"/>
        </w:rPr>
        <w:t>一、有关项目填报说明</w:t>
      </w:r>
    </w:p>
    <w:p w14:paraId="0EEF8C83">
      <w:pPr>
        <w:pStyle w:val="9"/>
        <w:rPr>
          <w:rFonts w:hint="eastAsia"/>
          <w:color w:val="000000"/>
        </w:rPr>
      </w:pPr>
      <w:r>
        <w:rPr>
          <w:rFonts w:hint="eastAsia"/>
          <w:color w:val="000000"/>
        </w:rPr>
        <w:t>企业同时存在创业投资企业直接投资和</w:t>
      </w:r>
      <w:r>
        <w:rPr>
          <w:rFonts w:hint="eastAsia"/>
        </w:rPr>
        <w:t>通过有限合伙制创业投资企业投资两种情形的</w:t>
      </w:r>
      <w:r>
        <w:rPr>
          <w:rFonts w:hint="eastAsia"/>
          <w:color w:val="000000"/>
        </w:rPr>
        <w:t>，应先填写本表的</w:t>
      </w:r>
      <w:r>
        <w:rPr>
          <w:rFonts w:hint="eastAsia"/>
        </w:rPr>
        <w:t>“二、通过有限合伙制创业投资企业投资按一定比例抵扣分得的应纳税所得额”</w:t>
      </w:r>
      <w:r>
        <w:rPr>
          <w:rFonts w:hint="eastAsia"/>
          <w:color w:val="000000"/>
        </w:rPr>
        <w:t>。</w:t>
      </w:r>
    </w:p>
    <w:p w14:paraId="53E3D001">
      <w:pPr>
        <w:pStyle w:val="9"/>
        <w:rPr>
          <w:color w:val="000000"/>
        </w:rPr>
      </w:pPr>
      <w:r>
        <w:rPr>
          <w:rFonts w:hint="eastAsia"/>
          <w:color w:val="000000"/>
        </w:rPr>
        <w:t>（一）“一、创业投资企业直接投资按投资额一定比例抵扣应纳税所得额”：由创业投资企业（非合伙制）纳税人填报其以股权投资方式直接投资未上市的中小高新技术企业和投资于种子期、初创期科技型企业2年（24个月，下同）以上限额抵免应纳税所得额的金额。对于通过有限合伙制创业投资企业间接投资未上市的中小高新技术企业和投资于种子期、初创期科技型企业享受优惠政策填写本表第9行至第14行。具体行次如下：</w:t>
      </w:r>
    </w:p>
    <w:p w14:paraId="3C5DB35E">
      <w:pPr>
        <w:pStyle w:val="9"/>
        <w:rPr>
          <w:color w:val="000000"/>
        </w:rPr>
      </w:pPr>
      <w:r>
        <w:rPr>
          <w:rFonts w:hint="eastAsia"/>
          <w:color w:val="000000"/>
        </w:rPr>
        <w:t>1.第1行“本年新增的符合条件的股权投资额”：填报创业投资企业采取股权投资方式投资于未上市的中小高新技术企业和投资于种子期、初创期科技型企业满2年的，本年新增的符合条件的股权投资额。本行第1列＝本行第2列+本行第3列。无论企业本年是否盈利，有符合条件的投资额即填报本表，以后年度盈利时填写第4行“以前年度结转的尚未抵扣的股权投资余额”。</w:t>
      </w:r>
    </w:p>
    <w:p w14:paraId="6AF3B304">
      <w:pPr>
        <w:pStyle w:val="9"/>
        <w:rPr>
          <w:color w:val="000000"/>
        </w:rPr>
      </w:pPr>
      <w:r>
        <w:rPr>
          <w:rFonts w:hint="eastAsia"/>
          <w:color w:val="000000"/>
        </w:rPr>
        <w:t>2.第3行“本年新增的可抵扣的股权投资额”：本行填报第1×2行金额。本行第1列＝本行第2列+本行第3列。</w:t>
      </w:r>
    </w:p>
    <w:p w14:paraId="5418E997">
      <w:pPr>
        <w:pStyle w:val="9"/>
        <w:rPr>
          <w:color w:val="000000"/>
        </w:rPr>
      </w:pPr>
      <w:r>
        <w:rPr>
          <w:rFonts w:hint="eastAsia"/>
          <w:color w:val="000000"/>
        </w:rPr>
        <w:t>3.第4行“以前年度结转的尚未抵扣的股权投资余额”：填报以前年度符合条件的尚未抵扣的股权投资余额。</w:t>
      </w:r>
    </w:p>
    <w:p w14:paraId="22453B47">
      <w:pPr>
        <w:pStyle w:val="9"/>
      </w:pPr>
      <w:r>
        <w:rPr>
          <w:rFonts w:hint="eastAsia"/>
        </w:rPr>
        <w:t>4.第5行“本年可抵扣的股权投资额”：本行填报第3+4行的合计金额。</w:t>
      </w:r>
    </w:p>
    <w:p w14:paraId="23CA0395">
      <w:pPr>
        <w:pStyle w:val="9"/>
      </w:pPr>
      <w:r>
        <w:rPr>
          <w:rFonts w:hint="eastAsia"/>
        </w:rPr>
        <w:t>5.第6行“本年可用于抵扣的应纳税所得额合计金额”：本行第1列填报表A100000第19-20-21行-本表第13行第1列“本年实际抵扣应分得的应纳税所得额”的金额，若金额小于零，则填报零。</w:t>
      </w:r>
    </w:p>
    <w:p w14:paraId="3894BE7A">
      <w:pPr>
        <w:pStyle w:val="9"/>
      </w:pPr>
      <w:r>
        <w:rPr>
          <w:rFonts w:hint="eastAsia"/>
        </w:rPr>
        <w:t>6.第7行“本年实际抵扣应纳税所得额”：若第5行第1列≤第6行第1列，则本行第1列＝第5行第1列；若第5行第1列＞第6行第1列，则本行第1列＝第6行第1列。本行第1列＝本行第2列+本行第3列。</w:t>
      </w:r>
    </w:p>
    <w:p w14:paraId="2E81A047">
      <w:pPr>
        <w:pStyle w:val="9"/>
      </w:pPr>
      <w:r>
        <w:rPr>
          <w:rFonts w:hint="eastAsia"/>
        </w:rPr>
        <w:t>7.第8行“结转以后年度抵扣的股权投资余额”：填报本年可抵扣的股权投资额大于本年实际抵扣应纳税所得额时，抵扣后余额部分结转以后年度抵扣的金额。</w:t>
      </w:r>
    </w:p>
    <w:p w14:paraId="48EDD046">
      <w:pPr>
        <w:pStyle w:val="9"/>
      </w:pPr>
      <w:r>
        <w:rPr>
          <w:rFonts w:hint="eastAsia"/>
        </w:rPr>
        <w:t>（二）“二、通过有限合伙制创业投资企业投资按一定比例抵扣分得的应纳税所得额”：企业作为有限合伙制创业投资企业的合伙人，通过合伙企业间接投资未上市中小高新技术企业和种子期、初创期科技型企业，享受有限合伙制创业投资企业法人合伙人按投资额的一定比例抵扣应纳税所得额政策，在本部分填报。</w:t>
      </w:r>
    </w:p>
    <w:p w14:paraId="5C70DDDF">
      <w:pPr>
        <w:pStyle w:val="9"/>
      </w:pPr>
      <w:r>
        <w:rPr>
          <w:rFonts w:hint="eastAsia"/>
        </w:rPr>
        <w:t>1.第9行“本年从有限合伙创投企业应分得的应纳税所得额”：填写企业作为法人合伙人，通过有限合伙制创业投资企业投资未上市的中小高新技术企业或者投资于种子期、初创期科技型企业，无论本年是否盈利、是否抵扣应纳税所得额，只要本年从有限合伙制创业投资企业中分配归属于该法人合伙人的应纳税所得额，需填写本行。本行第1列＝本行第2列+本行第3列。</w:t>
      </w:r>
    </w:p>
    <w:p w14:paraId="534B6762">
      <w:pPr>
        <w:pStyle w:val="9"/>
      </w:pPr>
      <w:r>
        <w:rPr>
          <w:rFonts w:hint="eastAsia"/>
        </w:rPr>
        <w:t>2.第10行“本年新增的可抵扣投资额”：填写企业作为法人合伙人，通过有限合伙制创业投资企业投资未上市中小高新技术企业和种子期、初创期科技型企业，本年投资满2年符合条件的可抵扣投资额中归属于该法人合伙人的本年新增可抵扣投资额。无论本年是否盈利、是否需要抵扣应纳税所得额，均需填写本行。本行第1列＝本行第2列+本行第3列。</w:t>
      </w:r>
    </w:p>
    <w:p w14:paraId="3220CD4F">
      <w:pPr>
        <w:pStyle w:val="9"/>
      </w:pPr>
      <w:r>
        <w:rPr>
          <w:rFonts w:hint="eastAsia"/>
        </w:rPr>
        <w:t>有限合伙制创业投资企业的法人合伙人对未上市中小高新技术企业和种子期、初创期科技型企业的投资额，按照有限合伙制创业投资企业的投资额和合伙协议约定的法人合伙人占有限合伙制创业投资企业的出资比例计算确定。其中，有限合伙制创业投资企业的投资额按实缴投资额计算；法人合伙人占有限合伙制创业投资企业的出资比例按法人合伙人对有限合伙制创业投资企业的实缴出资额占该有限合伙制创业投资企业的全部实缴出资额的比例计算。</w:t>
      </w:r>
    </w:p>
    <w:p w14:paraId="24CCE50A">
      <w:pPr>
        <w:pStyle w:val="9"/>
      </w:pPr>
      <w:r>
        <w:rPr>
          <w:rFonts w:hint="eastAsia"/>
        </w:rPr>
        <w:t>3.第11行“以前年度结转的可抵扣投资额”：填写法人合伙人上年度未抵扣，可以结转到本年及以后年度的抵扣投资额。</w:t>
      </w:r>
    </w:p>
    <w:p w14:paraId="0293C686">
      <w:pPr>
        <w:pStyle w:val="9"/>
      </w:pPr>
      <w:r>
        <w:rPr>
          <w:rFonts w:hint="eastAsia"/>
        </w:rPr>
        <w:t>4.第12行“本年可抵扣投资额”：填写本年法人合伙人可用于抵扣的投资额合计，包括本年新增和以前年度结转两部分，等于第10行+第11行。</w:t>
      </w:r>
    </w:p>
    <w:p w14:paraId="00AA3D35">
      <w:pPr>
        <w:pStyle w:val="9"/>
      </w:pPr>
      <w:r>
        <w:rPr>
          <w:rFonts w:hint="eastAsia"/>
        </w:rPr>
        <w:t>5.第13行“本年实际抵扣应分得的应纳税所得额”：填写本年法人合伙人享受优惠实际抵扣的投资额，本行第1列为第9行第1列“本年从有限合伙创投企业应分得的应纳税所得额”、第12行第1列“本年可抵扣投资额”、主表第19-20-21行的三者孰小值，若金额小于零，则填报零。本行第1列＝第2+3列。</w:t>
      </w:r>
    </w:p>
    <w:p w14:paraId="2A74CFD6">
      <w:pPr>
        <w:pStyle w:val="9"/>
      </w:pPr>
      <w:r>
        <w:rPr>
          <w:rFonts w:hint="eastAsia"/>
        </w:rPr>
        <w:t>6.第14行“结转以后年度抵扣的投资额余额”：本年可抵扣投资额大于应分得的应纳税所得额时，抵扣后余额部分结转以后年度抵扣的金额。</w:t>
      </w:r>
    </w:p>
    <w:p w14:paraId="42C8B2F2">
      <w:pPr>
        <w:pStyle w:val="9"/>
      </w:pPr>
      <w:r>
        <w:rPr>
          <w:rFonts w:hint="eastAsia"/>
        </w:rPr>
        <w:t>（三）“三、抵扣应纳税所得额合计”：上述优惠合计额，带入表A100000表计算应纳税所得额。</w:t>
      </w:r>
    </w:p>
    <w:p w14:paraId="78277865">
      <w:pPr>
        <w:pStyle w:val="9"/>
      </w:pPr>
      <w:r>
        <w:rPr>
          <w:rFonts w:hint="eastAsia"/>
        </w:rPr>
        <w:t>第15行“合计”＝7行+13行。本行第1列＝本行第2列+本行第3列。</w:t>
      </w:r>
    </w:p>
    <w:p w14:paraId="6E0619E6">
      <w:pPr>
        <w:pStyle w:val="9"/>
      </w:pPr>
      <w:r>
        <w:rPr>
          <w:rFonts w:hint="eastAsia"/>
        </w:rPr>
        <w:t>（四）列次填报：第1列填报抵扣应纳税所得额的整体情况，第2列填报投资于未上市中小高新技术企业部分，第3列填报投资于种子期、初创期科技型企业部分。</w:t>
      </w:r>
    </w:p>
    <w:p w14:paraId="561FBED6">
      <w:pPr>
        <w:pStyle w:val="11"/>
        <w:ind w:firstLine="482"/>
      </w:pPr>
      <w:r>
        <w:rPr>
          <w:rFonts w:hint="eastAsia"/>
        </w:rPr>
        <w:t>二、表内、表间关系</w:t>
      </w:r>
    </w:p>
    <w:p w14:paraId="535BC07B">
      <w:pPr>
        <w:pStyle w:val="12"/>
      </w:pPr>
      <w:r>
        <w:rPr>
          <w:rFonts w:hint="eastAsia"/>
        </w:rPr>
        <w:t>（一）表内关系</w:t>
      </w:r>
    </w:p>
    <w:p w14:paraId="3667C978">
      <w:pPr>
        <w:pStyle w:val="9"/>
      </w:pPr>
      <w:r>
        <w:rPr>
          <w:rFonts w:hint="eastAsia"/>
        </w:rPr>
        <w:t>1.第3行＝第1×2行。</w:t>
      </w:r>
    </w:p>
    <w:p w14:paraId="69C0E9E2">
      <w:pPr>
        <w:pStyle w:val="9"/>
      </w:pPr>
      <w:r>
        <w:rPr>
          <w:rFonts w:hint="eastAsia"/>
        </w:rPr>
        <w:t>2.第5行＝第3+4行。</w:t>
      </w:r>
    </w:p>
    <w:p w14:paraId="2ADD89E6">
      <w:pPr>
        <w:pStyle w:val="9"/>
      </w:pPr>
      <w:r>
        <w:rPr>
          <w:rFonts w:hint="eastAsia"/>
        </w:rPr>
        <w:t>3.第7行：若第5行≤第6行，则本行第1列＝第5行；第5行＞第6行，则本行第1列＝第6行。</w:t>
      </w:r>
    </w:p>
    <w:p w14:paraId="0E98D932">
      <w:pPr>
        <w:pStyle w:val="9"/>
      </w:pPr>
      <w:r>
        <w:rPr>
          <w:rFonts w:hint="eastAsia"/>
        </w:rPr>
        <w:t>4.第8行：第5行＞第6行时，本行＝第5-7行；第5行≤第6行时，本行＝0。</w:t>
      </w:r>
    </w:p>
    <w:p w14:paraId="6A473B5F">
      <w:pPr>
        <w:pStyle w:val="9"/>
      </w:pPr>
      <w:r>
        <w:rPr>
          <w:rFonts w:hint="eastAsia"/>
        </w:rPr>
        <w:t>5.第12行＝第10+11行。</w:t>
      </w:r>
    </w:p>
    <w:p w14:paraId="5FB5961A">
      <w:pPr>
        <w:pStyle w:val="9"/>
      </w:pPr>
      <w:r>
        <w:rPr>
          <w:rFonts w:hint="eastAsia"/>
        </w:rPr>
        <w:t>6.第14行＝第12-13行。</w:t>
      </w:r>
    </w:p>
    <w:p w14:paraId="6968FC4F">
      <w:pPr>
        <w:pStyle w:val="9"/>
      </w:pPr>
      <w:r>
        <w:rPr>
          <w:rFonts w:hint="eastAsia"/>
        </w:rPr>
        <w:t>7.第15行＝第7+13行。</w:t>
      </w:r>
    </w:p>
    <w:p w14:paraId="7955F3D4">
      <w:pPr>
        <w:pStyle w:val="9"/>
      </w:pPr>
      <w:r>
        <w:rPr>
          <w:rFonts w:hint="eastAsia"/>
        </w:rPr>
        <w:t>8.第1列＝第2列+第3列。</w:t>
      </w:r>
    </w:p>
    <w:p w14:paraId="26BE3E2B">
      <w:pPr>
        <w:pStyle w:val="12"/>
      </w:pPr>
      <w:r>
        <w:rPr>
          <w:rFonts w:hint="eastAsia"/>
        </w:rPr>
        <w:t>（二）表间关系</w:t>
      </w:r>
    </w:p>
    <w:p w14:paraId="0125FB9E">
      <w:pPr>
        <w:pStyle w:val="9"/>
      </w:pPr>
      <w:r>
        <w:rPr>
          <w:rFonts w:hint="eastAsia"/>
        </w:rPr>
        <w:t>1.第6行第1列＝表A100000第19-20-21行-本表第13行第1列；若表A100000第19-20-21行-本表第13行第1列＜0，第6行第1列＝0。</w:t>
      </w:r>
    </w:p>
    <w:p w14:paraId="12D8CDE0">
      <w:pPr>
        <w:pStyle w:val="9"/>
      </w:pPr>
      <w:r>
        <w:rPr>
          <w:rFonts w:hint="eastAsia"/>
        </w:rPr>
        <w:t>2.第15行第1列＝表A100000第22行。</w:t>
      </w:r>
    </w:p>
    <w:p w14:paraId="238D3CEC">
      <w:pPr>
        <w:pStyle w:val="9"/>
        <w:rPr>
          <w:rFonts w:hint="eastAsia"/>
        </w:rPr>
      </w:pPr>
      <w:r>
        <w:rPr>
          <w:rFonts w:hint="eastAsia"/>
        </w:rPr>
        <w:t>3.第13行第1列＝本表第9行第1列、第12行第1列、表A100000第19-20-21行三者的孰小值；若上述孰小值＜0，第13行第1列＝0。</w:t>
      </w:r>
    </w:p>
    <w:p w14:paraId="0BFD6A10">
      <w:pPr>
        <w:pStyle w:val="9"/>
        <w:rPr>
          <w:rFonts w:hint="eastAsia"/>
        </w:rPr>
      </w:pPr>
    </w:p>
    <w:p w14:paraId="3C5E86A4">
      <w:pPr>
        <w:pStyle w:val="9"/>
        <w:rPr>
          <w:rFonts w:hint="eastAsia"/>
        </w:rPr>
      </w:pPr>
    </w:p>
    <w:p w14:paraId="3FE7A2B6">
      <w:pPr>
        <w:pStyle w:val="13"/>
        <w:tabs>
          <w:tab w:val="clear" w:pos="4200"/>
        </w:tabs>
        <w:spacing w:before="156" w:after="156"/>
        <w:rPr>
          <w:rFonts w:hint="eastAsia" w:ascii="宋体" w:hAnsi="宋体" w:eastAsia="宋体" w:cs="宋体"/>
          <w:color w:val="auto"/>
          <w:lang w:val="zh-CN"/>
        </w:rPr>
      </w:pPr>
      <w:bookmarkStart w:id="2" w:name="_Toc176972067"/>
      <w:bookmarkStart w:id="3" w:name="_Toc1568476699"/>
      <w:bookmarkStart w:id="4" w:name="_Toc611685524"/>
      <w:r>
        <w:rPr>
          <w:rFonts w:hint="eastAsia" w:ascii="宋体" w:hAnsi="宋体" w:eastAsia="宋体" w:cs="宋体"/>
          <w:color w:val="auto"/>
          <w:lang w:val="zh-CN"/>
        </w:rPr>
        <w:t>A107030</w:t>
      </w:r>
      <w:r>
        <w:rPr>
          <w:rFonts w:hint="eastAsia" w:ascii="宋体" w:hAnsi="宋体" w:eastAsia="宋体" w:cs="宋体"/>
          <w:color w:val="auto"/>
          <w:lang w:val="zh-CN"/>
        </w:rPr>
        <w:tab/>
      </w:r>
      <w:r>
        <w:rPr>
          <w:rFonts w:hint="eastAsia" w:ascii="宋体" w:hAnsi="宋体" w:eastAsia="宋体" w:cs="宋体"/>
          <w:color w:val="auto"/>
          <w:lang w:val="zh-CN"/>
        </w:rPr>
        <w:t>《抵扣应纳税所得额明细表》填报说明</w:t>
      </w:r>
      <w:bookmarkEnd w:id="2"/>
      <w:bookmarkEnd w:id="3"/>
      <w:bookmarkEnd w:id="4"/>
      <w:r>
        <w:rPr>
          <w:rFonts w:hint="eastAsia" w:ascii="宋体" w:hAnsi="宋体" w:eastAsia="宋体" w:cs="宋体"/>
          <w:color w:val="auto"/>
          <w:lang w:val="zh-CN"/>
        </w:rPr>
        <w:t>（</w:t>
      </w:r>
      <w:r>
        <w:rPr>
          <w:rFonts w:hint="eastAsia" w:ascii="宋体" w:hAnsi="宋体" w:eastAsia="宋体" w:cs="宋体"/>
          <w:color w:val="auto"/>
          <w:lang w:val="en-US" w:eastAsia="zh-CN"/>
        </w:rPr>
        <w:t>2024新</w:t>
      </w:r>
      <w:bookmarkStart w:id="5" w:name="_GoBack"/>
      <w:bookmarkEnd w:id="5"/>
      <w:r>
        <w:rPr>
          <w:rFonts w:hint="eastAsia" w:ascii="宋体" w:hAnsi="宋体" w:eastAsia="宋体" w:cs="宋体"/>
          <w:color w:val="auto"/>
          <w:lang w:val="zh-CN"/>
        </w:rPr>
        <w:t>）</w:t>
      </w:r>
    </w:p>
    <w:p w14:paraId="32D776F4">
      <w:pPr>
        <w:pStyle w:val="9"/>
        <w:ind w:firstLine="0"/>
        <w:rPr>
          <w:rFonts w:hint="eastAsia"/>
          <w:color w:val="auto"/>
        </w:rPr>
      </w:pPr>
      <w:r>
        <w:rPr>
          <w:rFonts w:hint="eastAsia"/>
          <w:color w:val="auto"/>
        </w:rPr>
        <w:t>本表适用于享受创业投资企业抵扣应纳税所得额优惠（含结转）的纳税人填报。纳税人根据税法、《国家税务总局关于实施创业投资企业所得税优惠问题的通知》（国税发〔2009〕87号）、《财政部 国家税务总局关于执行企业所得税优惠政策若干问题的通知》（财税〔2009〕69号）、《财政部 国家税务总局关于将国家自主创新示范区有关税收试点政策推广到全国范围实施的通知》（财税〔2015〕116号）、《国家税务总局关于有限合伙制创业投资企业法人合伙人企业所得税有关问题的公告》（2015年第81号）、《财政部 税务总局关于创业投资企业和天使投资个人有关税收试点政策的通知》（财税〔2017〕38号）、《国家税务总局关于创业投资企业和天使投资个人税收试点政策有关问题的公告》（2017年第20号）</w:t>
      </w:r>
      <w:r>
        <w:rPr>
          <w:rFonts w:hint="eastAsia"/>
          <w:color w:val="auto"/>
          <w:lang w:eastAsia="zh-CN"/>
        </w:rPr>
        <w:t>、《财政部 税务总局关于创业投资企业和天使投资个人有关税收政策的通知》（财税〔2018〕55号）、《财政部 税务总局关于延续执行创业投资企业和天使投资个人投资初创科技型企业有关政策条件的公告》（2023年第17号）</w:t>
      </w:r>
      <w:r>
        <w:rPr>
          <w:rFonts w:hint="eastAsia"/>
          <w:color w:val="auto"/>
        </w:rPr>
        <w:t>等规定，填报本年度发生的创业投资企业抵扣应纳税所得额优惠情况。企业只要本年有新增符合条件的投资额、从有限合伙制创业投资企业分得的应纳税所得额或以前年度结转的尚未抵扣的股权投资余额，无论本年是否抵扣应纳税所得额，均需填报本表。</w:t>
      </w:r>
    </w:p>
    <w:p w14:paraId="21829469">
      <w:pPr>
        <w:pStyle w:val="11"/>
        <w:ind w:firstLine="482"/>
        <w:rPr>
          <w:rFonts w:hint="eastAsia"/>
          <w:color w:val="auto"/>
        </w:rPr>
      </w:pPr>
      <w:r>
        <w:rPr>
          <w:rFonts w:hint="eastAsia"/>
          <w:color w:val="auto"/>
        </w:rPr>
        <w:t>一、有关项目填报说明</w:t>
      </w:r>
    </w:p>
    <w:p w14:paraId="1AB8726D">
      <w:pPr>
        <w:pStyle w:val="9"/>
        <w:ind w:firstLine="480"/>
        <w:rPr>
          <w:rFonts w:hint="eastAsia"/>
          <w:color w:val="auto"/>
        </w:rPr>
      </w:pPr>
      <w:r>
        <w:rPr>
          <w:rFonts w:hint="eastAsia"/>
          <w:color w:val="auto"/>
        </w:rPr>
        <w:t>企业同时存在创业投资企业直接投资和通过有限合伙制创业投资企业投资两种情形的，应先填写本表的“二、通过有限合伙制创业投资企业投资按一定比例抵扣分得的应纳税所得额”。</w:t>
      </w:r>
    </w:p>
    <w:p w14:paraId="5144F9E1">
      <w:pPr>
        <w:pStyle w:val="9"/>
        <w:ind w:firstLine="480"/>
        <w:rPr>
          <w:rFonts w:hint="eastAsia"/>
          <w:color w:val="auto"/>
        </w:rPr>
      </w:pPr>
      <w:r>
        <w:rPr>
          <w:rFonts w:hint="eastAsia"/>
          <w:color w:val="auto"/>
        </w:rPr>
        <w:t>（一）“创业投资企业直接投资按投资额一定比例抵扣应纳税所得额”：由创业投资企业（非合伙制）纳税人填报其以股权投资方式直接投资未上市的中小高新技术企业和投资于种子期、初创期科技型企业2年（24个月，下同）以上限额抵免应纳税所得额的金额。对于通过有限合伙制创业投资企业间接投资未上市的中小高新技术企业和投资于种子期、初创期科技型企业享受优惠政策填写本表第9行至第14行。具体行次如下：</w:t>
      </w:r>
    </w:p>
    <w:p w14:paraId="2DFC74C8">
      <w:pPr>
        <w:pStyle w:val="9"/>
        <w:ind w:firstLine="480"/>
        <w:rPr>
          <w:rFonts w:hint="eastAsia"/>
          <w:color w:val="auto"/>
        </w:rPr>
      </w:pPr>
      <w:r>
        <w:rPr>
          <w:rFonts w:hint="eastAsia"/>
          <w:color w:val="auto"/>
        </w:rPr>
        <w:t>1.第1行“本年新增的符合条件的股权投资额”：填报创业投资企业采取股权投资方式投资于未上市的中小高新技术企业和投资于种子期、初创期科技型企业满2年的，本年新增的符合条件的股权投资额。本行第1列＝本行第2列＋本行第3列。无论企业本年是否盈利，有符合条件的投资额即填报本表，以后年度盈利时填写第4行“以前年度结转的尚未抵扣的股权投资余额”。</w:t>
      </w:r>
    </w:p>
    <w:p w14:paraId="31781B87">
      <w:pPr>
        <w:pStyle w:val="9"/>
        <w:ind w:firstLine="480"/>
        <w:rPr>
          <w:rFonts w:hint="eastAsia"/>
          <w:color w:val="auto"/>
        </w:rPr>
      </w:pPr>
      <w:r>
        <w:rPr>
          <w:rFonts w:hint="eastAsia"/>
          <w:color w:val="auto"/>
        </w:rPr>
        <w:t>2.第3行“本年新增的可抵扣的股权投资额”：本行填报第1×2行金额。本行第1列＝本行第2列＋本行第3列。</w:t>
      </w:r>
    </w:p>
    <w:p w14:paraId="4BB809C0">
      <w:pPr>
        <w:pStyle w:val="9"/>
        <w:ind w:firstLine="480"/>
        <w:rPr>
          <w:rFonts w:hint="eastAsia"/>
          <w:color w:val="auto"/>
        </w:rPr>
      </w:pPr>
      <w:r>
        <w:rPr>
          <w:rFonts w:hint="eastAsia"/>
          <w:color w:val="auto"/>
        </w:rPr>
        <w:t>3.第4行“以前年度结转的尚未抵扣的股权投资余额”：填报以前年度符合条件的尚未抵扣的股权投资余额。</w:t>
      </w:r>
    </w:p>
    <w:p w14:paraId="29F33EFC">
      <w:pPr>
        <w:pStyle w:val="9"/>
        <w:ind w:firstLine="480"/>
        <w:rPr>
          <w:rFonts w:hint="eastAsia"/>
          <w:color w:val="auto"/>
        </w:rPr>
      </w:pPr>
      <w:r>
        <w:rPr>
          <w:rFonts w:hint="eastAsia"/>
          <w:color w:val="auto"/>
        </w:rPr>
        <w:t>4.第5行“本年可抵扣的股权投资额”：本行填报第3＋4行的合计金额。</w:t>
      </w:r>
    </w:p>
    <w:p w14:paraId="6F9AB8A9">
      <w:pPr>
        <w:pStyle w:val="9"/>
        <w:ind w:firstLine="480"/>
        <w:rPr>
          <w:rFonts w:hint="eastAsia"/>
          <w:color w:val="auto"/>
        </w:rPr>
      </w:pPr>
      <w:r>
        <w:rPr>
          <w:rFonts w:hint="eastAsia"/>
          <w:color w:val="auto"/>
        </w:rPr>
        <w:t>5.第6行“本年可用于抵扣的应纳税所得额合计金额”：本行第1列填报表A100000第</w:t>
      </w:r>
      <w:r>
        <w:rPr>
          <w:rFonts w:hint="eastAsia"/>
          <w:color w:val="auto"/>
          <w:lang w:val="en-US" w:eastAsia="zh-CN"/>
        </w:rPr>
        <w:t>24</w:t>
      </w:r>
      <w:r>
        <w:rPr>
          <w:rFonts w:hint="eastAsia"/>
          <w:color w:val="auto"/>
        </w:rPr>
        <w:t>－</w:t>
      </w:r>
      <w:r>
        <w:rPr>
          <w:rFonts w:hint="eastAsia"/>
          <w:color w:val="auto"/>
          <w:lang w:val="en-US" w:eastAsia="zh-CN"/>
        </w:rPr>
        <w:t>25</w:t>
      </w:r>
      <w:r>
        <w:rPr>
          <w:rFonts w:hint="eastAsia"/>
          <w:color w:val="auto"/>
        </w:rPr>
        <w:t>－</w:t>
      </w:r>
      <w:r>
        <w:rPr>
          <w:rFonts w:hint="eastAsia"/>
          <w:color w:val="auto"/>
          <w:lang w:val="en-US" w:eastAsia="zh-CN"/>
        </w:rPr>
        <w:t>26</w:t>
      </w:r>
      <w:r>
        <w:rPr>
          <w:rFonts w:hint="eastAsia"/>
          <w:color w:val="auto"/>
        </w:rPr>
        <w:t>行－本表第13行第1列“本年实际抵扣应分得的应纳税所得额”的金额，若金额小于零，则填报零。</w:t>
      </w:r>
    </w:p>
    <w:p w14:paraId="348B74F9">
      <w:pPr>
        <w:pStyle w:val="9"/>
        <w:ind w:firstLine="480"/>
        <w:rPr>
          <w:rFonts w:hint="eastAsia"/>
          <w:color w:val="auto"/>
        </w:rPr>
      </w:pPr>
      <w:r>
        <w:rPr>
          <w:rFonts w:hint="eastAsia"/>
          <w:color w:val="auto"/>
        </w:rPr>
        <w:t>6.第7行“本年实际抵扣应纳税所得额”：若第5行第1列≤第6行第1列，则本行第1列＝第5行第1列；若第5行第1列＞第6行第1列，则本行第1列＝第6行第1列。本行第1列＝本行第2列＋本行第3列。</w:t>
      </w:r>
    </w:p>
    <w:p w14:paraId="0CFF907B">
      <w:pPr>
        <w:pStyle w:val="9"/>
        <w:ind w:firstLine="480"/>
        <w:rPr>
          <w:rFonts w:hint="eastAsia"/>
          <w:color w:val="auto"/>
        </w:rPr>
      </w:pPr>
      <w:r>
        <w:rPr>
          <w:rFonts w:hint="eastAsia"/>
          <w:color w:val="auto"/>
        </w:rPr>
        <w:t>7.第8行“结转以后年度抵扣的股权投资余额”：填报本年可抵扣的股权投资额大于本年实际抵扣应纳税所得额时，抵扣后余额部分结转以后年度抵扣的金额。</w:t>
      </w:r>
    </w:p>
    <w:p w14:paraId="1954BEB1">
      <w:pPr>
        <w:pStyle w:val="9"/>
        <w:ind w:firstLine="480"/>
        <w:rPr>
          <w:rFonts w:hint="eastAsia"/>
          <w:color w:val="auto"/>
        </w:rPr>
      </w:pPr>
      <w:r>
        <w:rPr>
          <w:rFonts w:hint="eastAsia"/>
          <w:color w:val="auto"/>
        </w:rPr>
        <w:t>（二）“通过有限合伙制创业投资企业投资按一定比例抵扣分得的应纳税所得额”：企业作为有限合伙制创业投资企业的合伙人，通过合伙企业间接投资未上市中小高新技术企业和种子期、初创期科技型企业，享受有限合伙制创业投资企业法人合伙人按投资额的一定比例抵扣应纳税所得额政策，在本部分填报。</w:t>
      </w:r>
    </w:p>
    <w:p w14:paraId="5264F663">
      <w:pPr>
        <w:pStyle w:val="9"/>
        <w:ind w:firstLine="480"/>
        <w:rPr>
          <w:rFonts w:hint="eastAsia"/>
          <w:color w:val="auto"/>
        </w:rPr>
      </w:pPr>
      <w:r>
        <w:rPr>
          <w:rFonts w:hint="eastAsia"/>
          <w:color w:val="auto"/>
        </w:rPr>
        <w:t>1.第9行“本年从有限合伙创投企业应分得的应纳税所得额”：填写企业作为法人合伙人，通过有限合伙制创业投资企业投资未上市的中小高新技术企业或者投资于种子期、初创期科技型企业，无论本年是否盈利、是否抵扣应纳税所得额，只要本年从有限合伙制创业投资企业中分配归属于该法人合伙人的应纳税所得额，需填写本行。本行第1列＝本行第2列＋本行第3列。</w:t>
      </w:r>
    </w:p>
    <w:p w14:paraId="69A9BCF2">
      <w:pPr>
        <w:pStyle w:val="9"/>
        <w:ind w:firstLine="480"/>
        <w:rPr>
          <w:rFonts w:hint="eastAsia"/>
          <w:color w:val="auto"/>
        </w:rPr>
      </w:pPr>
      <w:r>
        <w:rPr>
          <w:rFonts w:hint="eastAsia"/>
          <w:color w:val="auto"/>
        </w:rPr>
        <w:t>2.第10行“本年新增的可抵扣投资额”：填写企业作为法人合伙人，通过有限合伙制创业投资企业投资未上市中小高新技术企业和种子期、初创期科技型企业，本年投资满2年符合条件的可抵扣投资额中归属于该法人合伙人的本年新增可抵扣投资额。无论本年是否盈利、是否需要抵扣应纳税所得额，均需填写本行。本行第1列＝本行第2列＋本行第3列。</w:t>
      </w:r>
    </w:p>
    <w:p w14:paraId="1AA34617">
      <w:pPr>
        <w:pStyle w:val="9"/>
        <w:ind w:firstLine="480"/>
        <w:rPr>
          <w:rFonts w:hint="eastAsia"/>
          <w:color w:val="auto"/>
        </w:rPr>
      </w:pPr>
      <w:r>
        <w:rPr>
          <w:rFonts w:hint="eastAsia"/>
          <w:color w:val="auto"/>
        </w:rPr>
        <w:t>有限合伙制创业投资企业的法人合伙人对未上市中小高新技术企业和种子期、初创期科技型企业的投资额，按照有限合伙制创业投资企业的投资额和合伙协议约定的法人合伙人占有限合伙制创业投资企业的出资比例计算确定。其中，有限合伙制创业投资企业的投资额按实缴投资额计算；法人合伙人占有限合伙制创业投资企业的出资比例按法人合伙人对有限合伙制创业投资企业的实缴出资额占该有限合伙制创业投资企业的全部实缴出资额的比例计算。</w:t>
      </w:r>
    </w:p>
    <w:p w14:paraId="11272703">
      <w:pPr>
        <w:pStyle w:val="9"/>
        <w:ind w:firstLine="480"/>
        <w:rPr>
          <w:rFonts w:hint="eastAsia"/>
          <w:color w:val="auto"/>
        </w:rPr>
      </w:pPr>
      <w:r>
        <w:rPr>
          <w:rFonts w:hint="eastAsia"/>
          <w:color w:val="auto"/>
        </w:rPr>
        <w:t>3.第11行“以前年度结转的可抵扣投资额”：填写法人合伙人上年度未抵扣，可以结转到本年及以后年度的抵扣投资额。</w:t>
      </w:r>
    </w:p>
    <w:p w14:paraId="3FA1E54F">
      <w:pPr>
        <w:pStyle w:val="9"/>
        <w:ind w:firstLine="480"/>
        <w:rPr>
          <w:rFonts w:hint="eastAsia"/>
          <w:color w:val="auto"/>
        </w:rPr>
      </w:pPr>
      <w:r>
        <w:rPr>
          <w:rFonts w:hint="eastAsia"/>
          <w:color w:val="auto"/>
        </w:rPr>
        <w:t>4.第12行“本年可抵扣投资额”：填写本年法人合伙人可用于抵扣的投资额合计，包括本年新增和以前年度结转两部分</w:t>
      </w:r>
      <w:r>
        <w:rPr>
          <w:rFonts w:hint="eastAsia"/>
          <w:color w:val="auto"/>
          <w:lang w:eastAsia="zh-CN"/>
        </w:rPr>
        <w:t>。本项</w:t>
      </w:r>
      <w:r>
        <w:rPr>
          <w:rFonts w:hint="eastAsia"/>
          <w:color w:val="auto"/>
          <w:lang w:val="en-US" w:eastAsia="zh-CN"/>
        </w:rPr>
        <w:t>=</w:t>
      </w:r>
      <w:r>
        <w:rPr>
          <w:rFonts w:hint="eastAsia"/>
          <w:color w:val="auto"/>
        </w:rPr>
        <w:t>第10行＋第11行。</w:t>
      </w:r>
    </w:p>
    <w:p w14:paraId="0CCFDB09">
      <w:pPr>
        <w:pStyle w:val="9"/>
        <w:ind w:firstLine="480"/>
        <w:rPr>
          <w:rFonts w:hint="eastAsia"/>
          <w:color w:val="auto"/>
        </w:rPr>
      </w:pPr>
      <w:r>
        <w:rPr>
          <w:rFonts w:hint="eastAsia"/>
          <w:color w:val="auto"/>
        </w:rPr>
        <w:t>5.第13行“本年实际抵扣应分得的应纳税所得额”：填写本年法人合伙人享受优惠实际抵扣的投资额，本行第1列为第9行第1列“本年从有限合伙创投企业应分得的应纳税所得额”、第12行第1列“本年可抵扣投资额”、表</w:t>
      </w:r>
      <w:r>
        <w:rPr>
          <w:rFonts w:hint="eastAsia"/>
          <w:color w:val="auto"/>
          <w:lang w:val="en-US" w:eastAsia="zh-CN"/>
        </w:rPr>
        <w:t>A100000</w:t>
      </w:r>
      <w:r>
        <w:rPr>
          <w:rFonts w:hint="eastAsia"/>
          <w:color w:val="auto"/>
        </w:rPr>
        <w:t>第</w:t>
      </w:r>
      <w:r>
        <w:rPr>
          <w:rFonts w:hint="eastAsia"/>
          <w:color w:val="auto"/>
          <w:lang w:val="en-US" w:eastAsia="zh-CN"/>
        </w:rPr>
        <w:t>24</w:t>
      </w:r>
      <w:r>
        <w:rPr>
          <w:rFonts w:hint="eastAsia"/>
          <w:color w:val="auto"/>
        </w:rPr>
        <w:t>－</w:t>
      </w:r>
      <w:r>
        <w:rPr>
          <w:rFonts w:hint="eastAsia"/>
          <w:color w:val="auto"/>
          <w:lang w:val="en-US" w:eastAsia="zh-CN"/>
        </w:rPr>
        <w:t>25</w:t>
      </w:r>
      <w:r>
        <w:rPr>
          <w:rFonts w:hint="eastAsia"/>
          <w:color w:val="auto"/>
        </w:rPr>
        <w:t>－</w:t>
      </w:r>
      <w:r>
        <w:rPr>
          <w:rFonts w:hint="eastAsia"/>
          <w:color w:val="auto"/>
          <w:lang w:val="en-US" w:eastAsia="zh-CN"/>
        </w:rPr>
        <w:t>26</w:t>
      </w:r>
      <w:r>
        <w:rPr>
          <w:rFonts w:hint="eastAsia"/>
          <w:color w:val="auto"/>
        </w:rPr>
        <w:t>行的三者孰小值，若金额小于零，则填报零。本行第1列＝第2＋3列。</w:t>
      </w:r>
    </w:p>
    <w:p w14:paraId="7E6BB3CA">
      <w:pPr>
        <w:pStyle w:val="9"/>
        <w:ind w:firstLine="480"/>
        <w:rPr>
          <w:rFonts w:hint="eastAsia"/>
          <w:color w:val="auto"/>
        </w:rPr>
      </w:pPr>
      <w:r>
        <w:rPr>
          <w:rFonts w:hint="eastAsia"/>
          <w:color w:val="auto"/>
        </w:rPr>
        <w:t>6.第14行“结转以后年度抵扣的投资额余额”：本年可抵扣投资额大于应分得的应纳税所得额时，抵扣后余额部分结转以后年度抵扣的金额。</w:t>
      </w:r>
    </w:p>
    <w:p w14:paraId="54220E42">
      <w:pPr>
        <w:pStyle w:val="9"/>
        <w:ind w:firstLine="480"/>
        <w:rPr>
          <w:rFonts w:hint="eastAsia"/>
          <w:color w:val="auto"/>
        </w:rPr>
      </w:pPr>
      <w:r>
        <w:rPr>
          <w:rFonts w:hint="eastAsia"/>
          <w:color w:val="auto"/>
        </w:rPr>
        <w:t>（三）“抵扣应纳税所得额合计”：上述优惠合计额，带入表A100000计算应纳税所得额。</w:t>
      </w:r>
    </w:p>
    <w:p w14:paraId="29AF1705">
      <w:pPr>
        <w:pStyle w:val="9"/>
        <w:ind w:firstLine="480"/>
        <w:rPr>
          <w:rFonts w:hint="eastAsia"/>
          <w:color w:val="auto"/>
        </w:rPr>
      </w:pPr>
      <w:r>
        <w:rPr>
          <w:rFonts w:hint="eastAsia"/>
          <w:color w:val="auto"/>
        </w:rPr>
        <w:t>第15行“合计”＝</w:t>
      </w:r>
      <w:r>
        <w:rPr>
          <w:rFonts w:hint="eastAsia"/>
          <w:color w:val="auto"/>
          <w:lang w:eastAsia="zh-CN"/>
        </w:rPr>
        <w:t>第</w:t>
      </w:r>
      <w:r>
        <w:rPr>
          <w:rFonts w:hint="eastAsia"/>
          <w:color w:val="auto"/>
        </w:rPr>
        <w:t>7＋13行。本行第1列＝本行第2列＋本行第3列。</w:t>
      </w:r>
    </w:p>
    <w:p w14:paraId="26CDEF51">
      <w:pPr>
        <w:pStyle w:val="9"/>
        <w:ind w:firstLine="480"/>
        <w:rPr>
          <w:rFonts w:hint="eastAsia"/>
          <w:color w:val="auto"/>
        </w:rPr>
      </w:pPr>
      <w:r>
        <w:rPr>
          <w:rFonts w:hint="eastAsia"/>
          <w:color w:val="auto"/>
        </w:rPr>
        <w:t>（四）列次填报：第1列填报抵扣应纳税所得额的整体情况，第2列填报投资于未上市中小高新技术企业部分，第3列填报投资于种子期、初创期科技型企业部分。</w:t>
      </w:r>
    </w:p>
    <w:p w14:paraId="0A2494CC">
      <w:pPr>
        <w:pStyle w:val="11"/>
        <w:ind w:firstLine="482"/>
        <w:rPr>
          <w:rFonts w:hint="eastAsia"/>
          <w:color w:val="auto"/>
        </w:rPr>
      </w:pPr>
      <w:r>
        <w:rPr>
          <w:rFonts w:hint="eastAsia"/>
          <w:color w:val="auto"/>
        </w:rPr>
        <w:t>二、表内、表间关系</w:t>
      </w:r>
    </w:p>
    <w:p w14:paraId="017C57BC">
      <w:pPr>
        <w:pStyle w:val="12"/>
        <w:rPr>
          <w:rFonts w:hint="eastAsia"/>
          <w:color w:val="auto"/>
        </w:rPr>
      </w:pPr>
      <w:r>
        <w:rPr>
          <w:rFonts w:hint="eastAsia"/>
          <w:color w:val="auto"/>
        </w:rPr>
        <w:t>（一）表内关系</w:t>
      </w:r>
    </w:p>
    <w:p w14:paraId="3EB23884">
      <w:pPr>
        <w:pStyle w:val="9"/>
        <w:ind w:firstLine="480"/>
        <w:rPr>
          <w:rFonts w:hint="eastAsia"/>
          <w:color w:val="auto"/>
        </w:rPr>
      </w:pPr>
      <w:r>
        <w:rPr>
          <w:rFonts w:hint="eastAsia"/>
          <w:color w:val="auto"/>
        </w:rPr>
        <w:t>1.第3行＝第1×2行。</w:t>
      </w:r>
    </w:p>
    <w:p w14:paraId="2CEEF39C">
      <w:pPr>
        <w:pStyle w:val="9"/>
        <w:ind w:firstLine="480"/>
        <w:rPr>
          <w:rFonts w:hint="eastAsia"/>
          <w:color w:val="auto"/>
        </w:rPr>
      </w:pPr>
      <w:r>
        <w:rPr>
          <w:rFonts w:hint="eastAsia"/>
          <w:color w:val="auto"/>
        </w:rPr>
        <w:t>2.第5行＝第3＋4行。</w:t>
      </w:r>
    </w:p>
    <w:p w14:paraId="3CCF9339">
      <w:pPr>
        <w:pStyle w:val="9"/>
        <w:ind w:firstLine="480"/>
        <w:rPr>
          <w:rFonts w:hint="eastAsia"/>
          <w:color w:val="auto"/>
        </w:rPr>
      </w:pPr>
      <w:r>
        <w:rPr>
          <w:rFonts w:hint="eastAsia"/>
          <w:color w:val="auto"/>
        </w:rPr>
        <w:t>3.第7行：若第5行≤第6行，则本行第1列＝第5行；第5行＞第6行，则本行第1列＝第6行。</w:t>
      </w:r>
    </w:p>
    <w:p w14:paraId="390FEBCA">
      <w:pPr>
        <w:pStyle w:val="9"/>
        <w:ind w:firstLine="480"/>
        <w:rPr>
          <w:rFonts w:hint="eastAsia"/>
          <w:color w:val="auto"/>
        </w:rPr>
      </w:pPr>
      <w:r>
        <w:rPr>
          <w:rFonts w:hint="eastAsia"/>
          <w:color w:val="auto"/>
        </w:rPr>
        <w:t>4.第8行：第5行＞第6行时，本行＝第5－7行；第5行≤第6行时，本行＝0。</w:t>
      </w:r>
    </w:p>
    <w:p w14:paraId="1581BEA0">
      <w:pPr>
        <w:pStyle w:val="9"/>
        <w:ind w:firstLine="480"/>
        <w:rPr>
          <w:rFonts w:hint="eastAsia"/>
          <w:color w:val="auto"/>
        </w:rPr>
      </w:pPr>
      <w:r>
        <w:rPr>
          <w:rFonts w:hint="eastAsia"/>
          <w:color w:val="auto"/>
        </w:rPr>
        <w:t>5.第12行＝第10＋11行。</w:t>
      </w:r>
    </w:p>
    <w:p w14:paraId="670EAA68">
      <w:pPr>
        <w:pStyle w:val="9"/>
        <w:ind w:firstLine="480"/>
        <w:rPr>
          <w:rFonts w:hint="eastAsia"/>
          <w:color w:val="auto"/>
        </w:rPr>
      </w:pPr>
      <w:r>
        <w:rPr>
          <w:rFonts w:hint="eastAsia"/>
          <w:color w:val="auto"/>
        </w:rPr>
        <w:t>6.第14行＝第12－13行。</w:t>
      </w:r>
    </w:p>
    <w:p w14:paraId="1F4E4BAD">
      <w:pPr>
        <w:pStyle w:val="9"/>
        <w:ind w:firstLine="480"/>
        <w:rPr>
          <w:rFonts w:hint="eastAsia"/>
          <w:color w:val="auto"/>
        </w:rPr>
      </w:pPr>
      <w:r>
        <w:rPr>
          <w:rFonts w:hint="eastAsia"/>
          <w:color w:val="auto"/>
        </w:rPr>
        <w:t>7.第15行＝第7＋13行。</w:t>
      </w:r>
    </w:p>
    <w:p w14:paraId="52FA85FE">
      <w:pPr>
        <w:pStyle w:val="9"/>
        <w:ind w:firstLine="480"/>
        <w:rPr>
          <w:rFonts w:hint="eastAsia"/>
          <w:color w:val="auto"/>
        </w:rPr>
      </w:pPr>
      <w:r>
        <w:rPr>
          <w:rFonts w:hint="eastAsia"/>
          <w:color w:val="auto"/>
        </w:rPr>
        <w:t>8.第1列＝第2＋3列。</w:t>
      </w:r>
    </w:p>
    <w:p w14:paraId="0890F706">
      <w:pPr>
        <w:pStyle w:val="12"/>
        <w:rPr>
          <w:rFonts w:hint="eastAsia"/>
          <w:color w:val="auto"/>
        </w:rPr>
      </w:pPr>
      <w:r>
        <w:rPr>
          <w:rFonts w:hint="eastAsia"/>
          <w:color w:val="auto"/>
        </w:rPr>
        <w:t>（二）表间关系</w:t>
      </w:r>
    </w:p>
    <w:p w14:paraId="0A574779">
      <w:pPr>
        <w:pStyle w:val="9"/>
        <w:ind w:firstLine="480"/>
        <w:rPr>
          <w:rFonts w:hint="eastAsia"/>
          <w:color w:val="auto"/>
        </w:rPr>
      </w:pPr>
      <w:r>
        <w:rPr>
          <w:rFonts w:hint="eastAsia"/>
          <w:color w:val="auto"/>
        </w:rPr>
        <w:t>1.第6行第1列＝表A100000第24－25－26行－本表第13行第1列；若表A100000第24－25－26行－本表第13行第1列＜0，第6行第1列＝0。</w:t>
      </w:r>
    </w:p>
    <w:p w14:paraId="28B202AB">
      <w:pPr>
        <w:pStyle w:val="9"/>
        <w:ind w:firstLine="480"/>
        <w:rPr>
          <w:rFonts w:hint="eastAsia"/>
          <w:color w:val="auto"/>
        </w:rPr>
      </w:pPr>
      <w:r>
        <w:rPr>
          <w:rFonts w:hint="eastAsia"/>
          <w:color w:val="auto"/>
        </w:rPr>
        <w:t>2.第15行第1列＝表A100000第27行。</w:t>
      </w:r>
    </w:p>
    <w:p w14:paraId="19C8BBA0">
      <w:pPr>
        <w:spacing w:line="360" w:lineRule="auto"/>
        <w:ind w:firstLine="480" w:firstLineChars="200"/>
        <w:rPr>
          <w:rFonts w:hint="eastAsia" w:ascii="宋体" w:hAnsi="宋体"/>
          <w:color w:val="auto"/>
          <w:sz w:val="24"/>
        </w:rPr>
      </w:pPr>
      <w:r>
        <w:rPr>
          <w:rFonts w:hint="eastAsia" w:ascii="宋体" w:hAnsi="宋体"/>
          <w:color w:val="auto"/>
          <w:sz w:val="24"/>
        </w:rPr>
        <w:t>3.第13行第1列＝本表第9行第1列、第12行第1列、表A100000第24－25－26行三者的孰小值；若上述孰小值＜0，第13行第1列＝0。</w:t>
      </w:r>
    </w:p>
    <w:p w14:paraId="0D966F9A">
      <w:pPr>
        <w:widowControl/>
        <w:jc w:val="left"/>
        <w:rPr>
          <w:rFonts w:hint="eastAsia" w:ascii="宋体" w:hAnsi="宋体"/>
          <w:color w:val="auto"/>
          <w:sz w:val="24"/>
        </w:rPr>
        <w:sectPr>
          <w:pgSz w:w="11906" w:h="16838"/>
          <w:pgMar w:top="1440" w:right="1800" w:bottom="1440" w:left="1800" w:header="851" w:footer="992" w:gutter="0"/>
          <w:pgNumType w:fmt="decimal"/>
          <w:cols w:space="720" w:num="1"/>
          <w:docGrid w:type="linesAndChars" w:linePitch="312" w:charSpace="0"/>
        </w:sectPr>
      </w:pPr>
    </w:p>
    <w:p w14:paraId="1EDF936B">
      <w:pPr>
        <w:pStyle w:val="9"/>
        <w:rPr>
          <w:rFonts w:hint="eastAsia"/>
        </w:rPr>
      </w:pPr>
    </w:p>
    <w:p w14:paraId="668FD3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03153E88"/>
    <w:rsid w:val="03153E88"/>
    <w:rsid w:val="4CFC467E"/>
    <w:rsid w:val="51B20896"/>
    <w:rsid w:val="673E0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customStyle="1" w:styleId="6">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7">
    <w:name w:val="SBBT2"/>
    <w:basedOn w:val="8"/>
    <w:qFormat/>
    <w:uiPriority w:val="0"/>
    <w:pPr>
      <w:tabs>
        <w:tab w:val="center" w:pos="4678"/>
        <w:tab w:val="center" w:pos="6521"/>
      </w:tabs>
    </w:pPr>
  </w:style>
  <w:style w:type="paragraph" w:customStyle="1" w:styleId="8">
    <w:name w:val="SBBT1"/>
    <w:basedOn w:val="9"/>
    <w:qFormat/>
    <w:uiPriority w:val="0"/>
    <w:pPr>
      <w:tabs>
        <w:tab w:val="center" w:pos="4678"/>
      </w:tabs>
      <w:ind w:firstLine="0" w:firstLineChars="0"/>
      <w:jc w:val="left"/>
      <w:outlineLvl w:val="0"/>
    </w:pPr>
    <w:rPr>
      <w:rFonts w:cs="宋体"/>
      <w:b/>
      <w:bCs/>
      <w:kern w:val="0"/>
      <w:sz w:val="28"/>
      <w:szCs w:val="28"/>
    </w:rPr>
  </w:style>
  <w:style w:type="paragraph" w:customStyle="1" w:styleId="9">
    <w:name w:val="SBBZW"/>
    <w:basedOn w:val="1"/>
    <w:qFormat/>
    <w:uiPriority w:val="0"/>
    <w:pPr>
      <w:spacing w:line="360" w:lineRule="auto"/>
      <w:ind w:firstLine="480" w:firstLineChars="200"/>
    </w:pPr>
    <w:rPr>
      <w:rFonts w:ascii="宋体" w:hAnsi="宋体"/>
      <w:sz w:val="24"/>
    </w:rPr>
  </w:style>
  <w:style w:type="paragraph" w:customStyle="1" w:styleId="10">
    <w:name w:val="SBBL1"/>
    <w:basedOn w:val="3"/>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11">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2">
    <w:name w:val="SBBL3"/>
    <w:basedOn w:val="1"/>
    <w:qFormat/>
    <w:uiPriority w:val="0"/>
    <w:pPr>
      <w:spacing w:line="360" w:lineRule="auto"/>
      <w:ind w:firstLine="480" w:firstLineChars="200"/>
      <w:outlineLvl w:val="2"/>
    </w:pPr>
    <w:rPr>
      <w:rFonts w:ascii="黑体" w:hAnsi="黑体" w:eastAsia="黑体" w:cs="Calibri"/>
      <w:sz w:val="24"/>
    </w:rPr>
  </w:style>
  <w:style w:type="paragraph" w:customStyle="1" w:styleId="13">
    <w:name w:val="说明1级"/>
    <w:basedOn w:val="1"/>
    <w:qFormat/>
    <w:uiPriority w:val="0"/>
    <w:pPr>
      <w:tabs>
        <w:tab w:val="center" w:pos="4200"/>
      </w:tabs>
      <w:spacing w:before="50" w:beforeLines="50" w:after="50" w:afterLines="50" w:line="360" w:lineRule="auto"/>
      <w:jc w:val="center"/>
      <w:outlineLvl w:val="0"/>
    </w:pPr>
    <w:rPr>
      <w:rFonts w:ascii="Times New Roman" w:hAnsi="Times New Roman" w:eastAsia="CESI宋体-GB2312" w:cs="Times New Roman"/>
      <w:b/>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3037</Words>
  <Characters>3237</Characters>
  <Lines>0</Lines>
  <Paragraphs>0</Paragraphs>
  <TotalTime>0</TotalTime>
  <ScaleCrop>false</ScaleCrop>
  <LinksUpToDate>false</LinksUpToDate>
  <CharactersWithSpaces>3271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2024-08-10T15:29:00Z</dcterms:created>
  <dc:creator>www.shuiwu114.com</dc:creator>
  <cp:lastModifiedBy>www.shuiwu114.com</cp:lastModifiedBy>
  <dcterms:modified xsi:type="dcterms:W3CDTF">2025-01-21T15:17:35Z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FA8A79D7334B48718DE9AA9DE3A18855_11</vt:lpwstr>
  </property>
  <property fmtid="{D5CDD505-2E9C-101B-9397-08002B2CF9AE}" pid="4" name="KSOTemplateDocerSaveRecord">
    <vt:lpwstr>eyJoZGlkIjoiMDY0MGNkMTU3OWQzNDA3NjVmODJmMjIxMTIxOTBhNjUiLCJ1c2VySWQiOiIxMDczMTkyOTA3In0=</vt:lpwstr>
  </property>
</Properties>
</file>