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2B733">
      <w:pPr>
        <w:pStyle w:val="8"/>
      </w:pPr>
      <w:bookmarkStart w:id="0" w:name="_Toc499456609"/>
      <w:r>
        <w:rPr>
          <w:rFonts w:hint="eastAsia"/>
        </w:rPr>
        <w:t>A107041</w:t>
      </w:r>
      <w:r>
        <w:tab/>
      </w:r>
      <w:r>
        <w:rPr>
          <w:rFonts w:hint="eastAsia"/>
        </w:rPr>
        <w:t>高新技术企业优惠情况及明细表</w:t>
      </w:r>
      <w:bookmarkEnd w:id="0"/>
    </w:p>
    <w:tbl>
      <w:tblPr>
        <w:tblStyle w:val="5"/>
        <w:tblW w:w="96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6"/>
        <w:gridCol w:w="628"/>
        <w:gridCol w:w="1761"/>
        <w:gridCol w:w="1659"/>
        <w:gridCol w:w="851"/>
        <w:gridCol w:w="1081"/>
        <w:gridCol w:w="717"/>
        <w:gridCol w:w="366"/>
        <w:gridCol w:w="551"/>
        <w:gridCol w:w="530"/>
        <w:gridCol w:w="1091"/>
      </w:tblGrid>
      <w:tr w14:paraId="2C3CE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651" w:type="dxa"/>
            <w:gridSpan w:val="11"/>
            <w:shd w:val="clear" w:color="auto" w:fill="auto"/>
            <w:noWrap w:val="0"/>
            <w:vAlign w:val="center"/>
          </w:tcPr>
          <w:p w14:paraId="17B8D515">
            <w:pPr>
              <w:widowControl/>
              <w:jc w:val="center"/>
              <w:rPr>
                <w:rFonts w:ascii="宋体" w:hAnsi="宋体" w:cs="宋体"/>
                <w:b/>
                <w:kern w:val="0"/>
                <w:sz w:val="20"/>
                <w:szCs w:val="20"/>
              </w:rPr>
            </w:pPr>
            <w:r>
              <w:rPr>
                <w:rFonts w:hint="eastAsia" w:ascii="宋体" w:hAnsi="宋体" w:cs="宋体"/>
                <w:b/>
                <w:kern w:val="0"/>
                <w:sz w:val="20"/>
                <w:szCs w:val="20"/>
              </w:rPr>
              <w:t>基本信息</w:t>
            </w:r>
          </w:p>
        </w:tc>
      </w:tr>
      <w:tr w14:paraId="21A04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shd w:val="clear" w:color="auto" w:fill="auto"/>
            <w:noWrap/>
            <w:vAlign w:val="center"/>
          </w:tcPr>
          <w:p w14:paraId="78841F66">
            <w:pPr>
              <w:widowControl/>
              <w:jc w:val="center"/>
              <w:rPr>
                <w:rFonts w:ascii="宋体" w:hAnsi="宋体" w:cs="宋体"/>
                <w:kern w:val="0"/>
                <w:sz w:val="20"/>
                <w:szCs w:val="20"/>
              </w:rPr>
            </w:pPr>
            <w:r>
              <w:rPr>
                <w:rFonts w:hint="eastAsia" w:ascii="宋体" w:hAnsi="宋体" w:cs="宋体"/>
                <w:kern w:val="0"/>
                <w:sz w:val="20"/>
                <w:szCs w:val="20"/>
              </w:rPr>
              <w:t>1</w:t>
            </w:r>
          </w:p>
        </w:tc>
        <w:tc>
          <w:tcPr>
            <w:tcW w:w="2389" w:type="dxa"/>
            <w:gridSpan w:val="2"/>
            <w:shd w:val="clear" w:color="auto" w:fill="auto"/>
            <w:noWrap w:val="0"/>
            <w:vAlign w:val="center"/>
          </w:tcPr>
          <w:p w14:paraId="25BEA565">
            <w:pPr>
              <w:widowControl/>
              <w:jc w:val="left"/>
              <w:rPr>
                <w:rFonts w:ascii="宋体" w:hAnsi="宋体" w:cs="宋体"/>
                <w:kern w:val="0"/>
                <w:sz w:val="20"/>
                <w:szCs w:val="20"/>
              </w:rPr>
            </w:pPr>
            <w:r>
              <w:rPr>
                <w:rFonts w:hint="eastAsia" w:ascii="宋体" w:hAnsi="宋体" w:cs="宋体"/>
                <w:kern w:val="0"/>
                <w:sz w:val="20"/>
                <w:szCs w:val="20"/>
              </w:rPr>
              <w:t>高新技术企业证书编号</w:t>
            </w:r>
          </w:p>
        </w:tc>
        <w:tc>
          <w:tcPr>
            <w:tcW w:w="1659" w:type="dxa"/>
            <w:shd w:val="clear" w:color="auto" w:fill="auto"/>
            <w:noWrap w:val="0"/>
            <w:vAlign w:val="center"/>
          </w:tcPr>
          <w:p w14:paraId="49172B50">
            <w:pPr>
              <w:widowControl/>
              <w:jc w:val="left"/>
              <w:rPr>
                <w:rFonts w:ascii="宋体" w:hAnsi="宋体" w:cs="宋体"/>
                <w:kern w:val="0"/>
                <w:sz w:val="20"/>
                <w:szCs w:val="20"/>
              </w:rPr>
            </w:pPr>
            <w:r>
              <w:rPr>
                <w:rFonts w:hint="eastAsia" w:ascii="宋体" w:hAnsi="宋体" w:cs="宋体"/>
                <w:kern w:val="0"/>
                <w:sz w:val="20"/>
                <w:szCs w:val="20"/>
              </w:rPr>
              <w:t>　</w:t>
            </w:r>
          </w:p>
        </w:tc>
        <w:tc>
          <w:tcPr>
            <w:tcW w:w="3566" w:type="dxa"/>
            <w:gridSpan w:val="5"/>
            <w:shd w:val="clear" w:color="auto" w:fill="auto"/>
            <w:noWrap w:val="0"/>
            <w:vAlign w:val="center"/>
          </w:tcPr>
          <w:p w14:paraId="6273EB7D">
            <w:pPr>
              <w:widowControl/>
              <w:jc w:val="left"/>
              <w:rPr>
                <w:rFonts w:ascii="宋体" w:hAnsi="宋体" w:cs="宋体"/>
                <w:kern w:val="0"/>
                <w:sz w:val="20"/>
                <w:szCs w:val="20"/>
              </w:rPr>
            </w:pPr>
            <w:r>
              <w:rPr>
                <w:rFonts w:hint="eastAsia" w:ascii="宋体" w:hAnsi="宋体" w:cs="宋体"/>
                <w:kern w:val="0"/>
                <w:sz w:val="20"/>
                <w:szCs w:val="20"/>
              </w:rPr>
              <w:t>高新技术企业证书取得时间</w:t>
            </w:r>
          </w:p>
        </w:tc>
        <w:tc>
          <w:tcPr>
            <w:tcW w:w="1621" w:type="dxa"/>
            <w:gridSpan w:val="2"/>
            <w:shd w:val="clear" w:color="auto" w:fill="auto"/>
            <w:noWrap w:val="0"/>
            <w:vAlign w:val="center"/>
          </w:tcPr>
          <w:p w14:paraId="526C135C">
            <w:pPr>
              <w:widowControl/>
              <w:jc w:val="center"/>
              <w:rPr>
                <w:rFonts w:ascii="宋体" w:hAnsi="宋体" w:cs="宋体"/>
                <w:kern w:val="0"/>
                <w:sz w:val="20"/>
                <w:szCs w:val="20"/>
              </w:rPr>
            </w:pPr>
            <w:r>
              <w:rPr>
                <w:rFonts w:hint="eastAsia" w:ascii="宋体" w:hAnsi="宋体" w:cs="宋体"/>
                <w:kern w:val="0"/>
                <w:sz w:val="20"/>
                <w:szCs w:val="20"/>
              </w:rPr>
              <w:t>　</w:t>
            </w:r>
          </w:p>
        </w:tc>
      </w:tr>
      <w:tr w14:paraId="785A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vMerge w:val="restart"/>
            <w:shd w:val="clear" w:color="auto" w:fill="auto"/>
            <w:noWrap/>
            <w:vAlign w:val="center"/>
          </w:tcPr>
          <w:p w14:paraId="6093A8ED">
            <w:pPr>
              <w:widowControl/>
              <w:jc w:val="center"/>
              <w:rPr>
                <w:rFonts w:ascii="宋体" w:hAnsi="宋体" w:cs="宋体"/>
                <w:kern w:val="0"/>
                <w:sz w:val="20"/>
                <w:szCs w:val="20"/>
              </w:rPr>
            </w:pPr>
            <w:r>
              <w:rPr>
                <w:rFonts w:hint="eastAsia" w:ascii="宋体" w:hAnsi="宋体" w:cs="宋体"/>
                <w:kern w:val="0"/>
                <w:sz w:val="20"/>
                <w:szCs w:val="20"/>
              </w:rPr>
              <w:t>2</w:t>
            </w:r>
          </w:p>
        </w:tc>
        <w:tc>
          <w:tcPr>
            <w:tcW w:w="2389" w:type="dxa"/>
            <w:gridSpan w:val="2"/>
            <w:vMerge w:val="restart"/>
            <w:shd w:val="clear" w:color="auto" w:fill="auto"/>
            <w:noWrap w:val="0"/>
            <w:vAlign w:val="center"/>
          </w:tcPr>
          <w:p w14:paraId="1FC82B91">
            <w:pPr>
              <w:widowControl/>
              <w:jc w:val="left"/>
              <w:rPr>
                <w:rFonts w:ascii="宋体" w:hAnsi="宋体" w:cs="宋体"/>
                <w:kern w:val="0"/>
                <w:sz w:val="20"/>
                <w:szCs w:val="20"/>
              </w:rPr>
            </w:pPr>
            <w:r>
              <w:rPr>
                <w:rFonts w:hint="eastAsia" w:ascii="宋体" w:hAnsi="宋体" w:cs="宋体"/>
                <w:kern w:val="0"/>
                <w:sz w:val="20"/>
                <w:szCs w:val="20"/>
              </w:rPr>
              <w:t>对企业主要产品（服务）发挥核心支持作用的技术所属范围</w:t>
            </w:r>
          </w:p>
        </w:tc>
        <w:tc>
          <w:tcPr>
            <w:tcW w:w="6846" w:type="dxa"/>
            <w:gridSpan w:val="8"/>
            <w:shd w:val="clear" w:color="auto" w:fill="auto"/>
            <w:noWrap w:val="0"/>
            <w:vAlign w:val="center"/>
          </w:tcPr>
          <w:p w14:paraId="179658FE">
            <w:pPr>
              <w:widowControl/>
              <w:jc w:val="center"/>
              <w:rPr>
                <w:rFonts w:ascii="宋体" w:hAnsi="宋体" w:cs="宋体"/>
                <w:kern w:val="0"/>
                <w:sz w:val="20"/>
                <w:szCs w:val="20"/>
              </w:rPr>
            </w:pPr>
            <w:r>
              <w:rPr>
                <w:rFonts w:hint="eastAsia" w:ascii="宋体" w:hAnsi="宋体" w:cs="宋体"/>
                <w:kern w:val="0"/>
                <w:sz w:val="20"/>
                <w:szCs w:val="20"/>
              </w:rPr>
              <w:t>国家重点支持的高新技术领域</w:t>
            </w:r>
          </w:p>
        </w:tc>
      </w:tr>
      <w:tr w14:paraId="62BE6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vMerge w:val="continue"/>
            <w:shd w:val="clear" w:color="auto" w:fill="auto"/>
            <w:noWrap w:val="0"/>
            <w:vAlign w:val="center"/>
          </w:tcPr>
          <w:p w14:paraId="441B0E1A">
            <w:pPr>
              <w:widowControl/>
              <w:jc w:val="left"/>
              <w:rPr>
                <w:rFonts w:ascii="宋体" w:hAnsi="宋体" w:cs="宋体"/>
                <w:kern w:val="0"/>
                <w:sz w:val="20"/>
                <w:szCs w:val="20"/>
              </w:rPr>
            </w:pPr>
          </w:p>
        </w:tc>
        <w:tc>
          <w:tcPr>
            <w:tcW w:w="2389" w:type="dxa"/>
            <w:gridSpan w:val="2"/>
            <w:vMerge w:val="continue"/>
            <w:shd w:val="clear" w:color="auto" w:fill="auto"/>
            <w:noWrap w:val="0"/>
            <w:vAlign w:val="center"/>
          </w:tcPr>
          <w:p w14:paraId="3676DD79">
            <w:pPr>
              <w:widowControl/>
              <w:jc w:val="left"/>
              <w:rPr>
                <w:rFonts w:ascii="宋体" w:hAnsi="宋体" w:cs="宋体"/>
                <w:kern w:val="0"/>
                <w:sz w:val="20"/>
                <w:szCs w:val="20"/>
              </w:rPr>
            </w:pPr>
          </w:p>
        </w:tc>
        <w:tc>
          <w:tcPr>
            <w:tcW w:w="1659" w:type="dxa"/>
            <w:shd w:val="clear" w:color="auto" w:fill="auto"/>
            <w:noWrap w:val="0"/>
            <w:vAlign w:val="center"/>
          </w:tcPr>
          <w:p w14:paraId="1C418004">
            <w:pPr>
              <w:widowControl/>
              <w:jc w:val="center"/>
              <w:rPr>
                <w:rFonts w:ascii="宋体" w:hAnsi="宋体" w:cs="宋体"/>
                <w:kern w:val="0"/>
                <w:sz w:val="20"/>
                <w:szCs w:val="20"/>
              </w:rPr>
            </w:pPr>
            <w:r>
              <w:rPr>
                <w:rFonts w:hint="eastAsia" w:ascii="宋体" w:hAnsi="宋体" w:cs="宋体"/>
                <w:kern w:val="0"/>
                <w:sz w:val="20"/>
                <w:szCs w:val="20"/>
              </w:rPr>
              <w:t>一级领域</w:t>
            </w:r>
          </w:p>
        </w:tc>
        <w:tc>
          <w:tcPr>
            <w:tcW w:w="2649" w:type="dxa"/>
            <w:gridSpan w:val="3"/>
            <w:shd w:val="clear" w:color="auto" w:fill="auto"/>
            <w:noWrap/>
            <w:vAlign w:val="center"/>
          </w:tcPr>
          <w:p w14:paraId="355F25D2">
            <w:pPr>
              <w:widowControl/>
              <w:jc w:val="center"/>
              <w:rPr>
                <w:rFonts w:ascii="宋体" w:hAnsi="宋体" w:cs="宋体"/>
                <w:kern w:val="0"/>
                <w:sz w:val="20"/>
                <w:szCs w:val="20"/>
              </w:rPr>
            </w:pPr>
            <w:r>
              <w:rPr>
                <w:rFonts w:hint="eastAsia" w:ascii="宋体" w:hAnsi="宋体" w:cs="宋体"/>
                <w:kern w:val="0"/>
                <w:sz w:val="20"/>
                <w:szCs w:val="20"/>
              </w:rPr>
              <w:t>二级领域</w:t>
            </w:r>
          </w:p>
        </w:tc>
        <w:tc>
          <w:tcPr>
            <w:tcW w:w="2538" w:type="dxa"/>
            <w:gridSpan w:val="4"/>
            <w:shd w:val="clear" w:color="auto" w:fill="auto"/>
            <w:noWrap/>
            <w:vAlign w:val="center"/>
          </w:tcPr>
          <w:p w14:paraId="3EE3401C">
            <w:pPr>
              <w:widowControl/>
              <w:jc w:val="center"/>
              <w:rPr>
                <w:rFonts w:ascii="宋体" w:hAnsi="宋体" w:cs="宋体"/>
                <w:kern w:val="0"/>
                <w:sz w:val="20"/>
                <w:szCs w:val="20"/>
              </w:rPr>
            </w:pPr>
            <w:r>
              <w:rPr>
                <w:rFonts w:hint="eastAsia" w:ascii="宋体" w:hAnsi="宋体" w:cs="宋体"/>
                <w:kern w:val="0"/>
                <w:sz w:val="20"/>
                <w:szCs w:val="20"/>
              </w:rPr>
              <w:t>三级领域</w:t>
            </w:r>
          </w:p>
        </w:tc>
      </w:tr>
      <w:tr w14:paraId="1453C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vMerge w:val="continue"/>
            <w:tcBorders>
              <w:bottom w:val="single" w:color="auto" w:sz="12" w:space="0"/>
            </w:tcBorders>
            <w:shd w:val="clear" w:color="auto" w:fill="auto"/>
            <w:noWrap w:val="0"/>
            <w:vAlign w:val="center"/>
          </w:tcPr>
          <w:p w14:paraId="7AD8AAFE">
            <w:pPr>
              <w:widowControl/>
              <w:jc w:val="left"/>
              <w:rPr>
                <w:rFonts w:ascii="宋体" w:hAnsi="宋体" w:cs="宋体"/>
                <w:kern w:val="0"/>
                <w:sz w:val="20"/>
                <w:szCs w:val="20"/>
              </w:rPr>
            </w:pPr>
          </w:p>
        </w:tc>
        <w:tc>
          <w:tcPr>
            <w:tcW w:w="2389" w:type="dxa"/>
            <w:gridSpan w:val="2"/>
            <w:vMerge w:val="continue"/>
            <w:tcBorders>
              <w:bottom w:val="single" w:color="auto" w:sz="12" w:space="0"/>
            </w:tcBorders>
            <w:shd w:val="clear" w:color="auto" w:fill="auto"/>
            <w:noWrap w:val="0"/>
            <w:vAlign w:val="center"/>
          </w:tcPr>
          <w:p w14:paraId="0EB4C4AB">
            <w:pPr>
              <w:widowControl/>
              <w:jc w:val="left"/>
              <w:rPr>
                <w:rFonts w:ascii="宋体" w:hAnsi="宋体" w:cs="宋体"/>
                <w:kern w:val="0"/>
                <w:sz w:val="20"/>
                <w:szCs w:val="20"/>
              </w:rPr>
            </w:pPr>
          </w:p>
        </w:tc>
        <w:tc>
          <w:tcPr>
            <w:tcW w:w="1659" w:type="dxa"/>
            <w:tcBorders>
              <w:bottom w:val="single" w:color="auto" w:sz="12" w:space="0"/>
            </w:tcBorders>
            <w:shd w:val="clear" w:color="auto" w:fill="auto"/>
            <w:noWrap w:val="0"/>
            <w:vAlign w:val="center"/>
          </w:tcPr>
          <w:p w14:paraId="1EFFF508">
            <w:pPr>
              <w:widowControl/>
              <w:jc w:val="left"/>
              <w:rPr>
                <w:rFonts w:ascii="宋体" w:hAnsi="宋体" w:cs="宋体"/>
                <w:kern w:val="0"/>
                <w:sz w:val="20"/>
                <w:szCs w:val="20"/>
              </w:rPr>
            </w:pPr>
            <w:r>
              <w:rPr>
                <w:rFonts w:hint="eastAsia" w:ascii="宋体" w:hAnsi="宋体" w:cs="宋体"/>
                <w:kern w:val="0"/>
                <w:sz w:val="20"/>
                <w:szCs w:val="20"/>
              </w:rPr>
              <w:t>　</w:t>
            </w:r>
          </w:p>
        </w:tc>
        <w:tc>
          <w:tcPr>
            <w:tcW w:w="2649" w:type="dxa"/>
            <w:gridSpan w:val="3"/>
            <w:tcBorders>
              <w:bottom w:val="single" w:color="auto" w:sz="12" w:space="0"/>
            </w:tcBorders>
            <w:shd w:val="clear" w:color="auto" w:fill="auto"/>
            <w:noWrap w:val="0"/>
            <w:vAlign w:val="center"/>
          </w:tcPr>
          <w:p w14:paraId="2FC424CE">
            <w:pPr>
              <w:widowControl/>
              <w:jc w:val="center"/>
              <w:rPr>
                <w:rFonts w:ascii="宋体" w:hAnsi="宋体" w:cs="宋体"/>
                <w:kern w:val="0"/>
                <w:sz w:val="20"/>
                <w:szCs w:val="20"/>
              </w:rPr>
            </w:pPr>
            <w:r>
              <w:rPr>
                <w:rFonts w:hint="eastAsia" w:ascii="宋体" w:hAnsi="宋体" w:cs="宋体"/>
                <w:kern w:val="0"/>
                <w:sz w:val="20"/>
                <w:szCs w:val="20"/>
              </w:rPr>
              <w:t>　</w:t>
            </w:r>
          </w:p>
        </w:tc>
        <w:tc>
          <w:tcPr>
            <w:tcW w:w="2538" w:type="dxa"/>
            <w:gridSpan w:val="4"/>
            <w:tcBorders>
              <w:bottom w:val="single" w:color="auto" w:sz="12" w:space="0"/>
            </w:tcBorders>
            <w:shd w:val="clear" w:color="auto" w:fill="auto"/>
            <w:noWrap w:val="0"/>
            <w:vAlign w:val="center"/>
          </w:tcPr>
          <w:p w14:paraId="7FB0E2A3">
            <w:pPr>
              <w:widowControl/>
              <w:jc w:val="center"/>
              <w:rPr>
                <w:rFonts w:ascii="宋体" w:hAnsi="宋体" w:cs="宋体"/>
                <w:kern w:val="0"/>
                <w:sz w:val="20"/>
                <w:szCs w:val="20"/>
              </w:rPr>
            </w:pPr>
            <w:r>
              <w:rPr>
                <w:rFonts w:hint="eastAsia" w:ascii="宋体" w:hAnsi="宋体" w:cs="宋体"/>
                <w:kern w:val="0"/>
                <w:sz w:val="20"/>
                <w:szCs w:val="20"/>
              </w:rPr>
              <w:t>　</w:t>
            </w:r>
          </w:p>
        </w:tc>
      </w:tr>
      <w:tr w14:paraId="30265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12" w:space="0"/>
              <w:bottom w:val="single" w:color="auto" w:sz="6" w:space="0"/>
            </w:tcBorders>
            <w:shd w:val="clear" w:color="auto" w:fill="auto"/>
            <w:noWrap/>
            <w:vAlign w:val="center"/>
          </w:tcPr>
          <w:p w14:paraId="41149468">
            <w:pPr>
              <w:widowControl/>
              <w:jc w:val="center"/>
              <w:rPr>
                <w:rFonts w:ascii="宋体" w:hAnsi="宋体" w:cs="宋体"/>
                <w:kern w:val="0"/>
                <w:sz w:val="20"/>
                <w:szCs w:val="20"/>
              </w:rPr>
            </w:pPr>
            <w:r>
              <w:rPr>
                <w:rFonts w:hint="eastAsia" w:ascii="宋体" w:hAnsi="宋体" w:cs="宋体"/>
                <w:kern w:val="0"/>
                <w:sz w:val="20"/>
                <w:szCs w:val="20"/>
              </w:rPr>
              <w:t>3</w:t>
            </w:r>
          </w:p>
        </w:tc>
        <w:tc>
          <w:tcPr>
            <w:tcW w:w="9235" w:type="dxa"/>
            <w:gridSpan w:val="10"/>
            <w:tcBorders>
              <w:top w:val="single" w:color="auto" w:sz="12" w:space="0"/>
              <w:bottom w:val="single" w:color="auto" w:sz="6" w:space="0"/>
            </w:tcBorders>
            <w:shd w:val="clear" w:color="auto" w:fill="auto"/>
            <w:noWrap w:val="0"/>
            <w:vAlign w:val="center"/>
          </w:tcPr>
          <w:p w14:paraId="190A3925">
            <w:pPr>
              <w:widowControl/>
              <w:jc w:val="center"/>
              <w:rPr>
                <w:rFonts w:ascii="宋体" w:hAnsi="宋体" w:cs="宋体"/>
                <w:b/>
                <w:kern w:val="0"/>
                <w:sz w:val="20"/>
                <w:szCs w:val="20"/>
              </w:rPr>
            </w:pPr>
            <w:r>
              <w:rPr>
                <w:rFonts w:hint="eastAsia" w:ascii="宋体" w:hAnsi="宋体" w:cs="宋体"/>
                <w:b/>
                <w:kern w:val="0"/>
                <w:sz w:val="20"/>
                <w:szCs w:val="20"/>
              </w:rPr>
              <w:t>关键指标情况</w:t>
            </w:r>
          </w:p>
        </w:tc>
      </w:tr>
      <w:tr w14:paraId="11068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3BD35881">
            <w:pPr>
              <w:widowControl/>
              <w:jc w:val="center"/>
              <w:rPr>
                <w:rFonts w:ascii="宋体" w:hAnsi="宋体" w:cs="宋体"/>
                <w:kern w:val="0"/>
                <w:sz w:val="20"/>
                <w:szCs w:val="20"/>
              </w:rPr>
            </w:pPr>
            <w:r>
              <w:rPr>
                <w:rFonts w:hint="eastAsia" w:ascii="宋体" w:hAnsi="宋体" w:cs="宋体"/>
                <w:kern w:val="0"/>
                <w:sz w:val="20"/>
                <w:szCs w:val="20"/>
              </w:rPr>
              <w:t>4</w:t>
            </w:r>
          </w:p>
        </w:tc>
        <w:tc>
          <w:tcPr>
            <w:tcW w:w="628" w:type="dxa"/>
            <w:vMerge w:val="restart"/>
            <w:tcBorders>
              <w:top w:val="single" w:color="auto" w:sz="6" w:space="0"/>
              <w:bottom w:val="single" w:color="auto" w:sz="6" w:space="0"/>
            </w:tcBorders>
            <w:shd w:val="clear" w:color="auto" w:fill="auto"/>
            <w:noWrap w:val="0"/>
            <w:vAlign w:val="center"/>
          </w:tcPr>
          <w:p w14:paraId="6E91D1F5">
            <w:pPr>
              <w:widowControl/>
              <w:jc w:val="center"/>
              <w:rPr>
                <w:rFonts w:ascii="宋体" w:hAnsi="宋体" w:cs="宋体"/>
                <w:kern w:val="0"/>
                <w:sz w:val="20"/>
                <w:szCs w:val="20"/>
              </w:rPr>
            </w:pPr>
            <w:r>
              <w:rPr>
                <w:rFonts w:hint="eastAsia" w:ascii="宋体" w:hAnsi="宋体" w:cs="宋体"/>
                <w:kern w:val="0"/>
                <w:sz w:val="20"/>
                <w:szCs w:val="20"/>
              </w:rPr>
              <w:t>收入指标</w:t>
            </w:r>
          </w:p>
        </w:tc>
        <w:tc>
          <w:tcPr>
            <w:tcW w:w="7516" w:type="dxa"/>
            <w:gridSpan w:val="8"/>
            <w:tcBorders>
              <w:top w:val="single" w:color="auto" w:sz="6" w:space="0"/>
              <w:bottom w:val="single" w:color="auto" w:sz="6" w:space="0"/>
            </w:tcBorders>
            <w:shd w:val="clear" w:color="auto" w:fill="auto"/>
            <w:noWrap/>
            <w:vAlign w:val="center"/>
          </w:tcPr>
          <w:p w14:paraId="4C2FF809">
            <w:pPr>
              <w:widowControl/>
              <w:jc w:val="left"/>
              <w:rPr>
                <w:rFonts w:ascii="宋体" w:hAnsi="宋体" w:cs="宋体"/>
                <w:kern w:val="0"/>
                <w:sz w:val="20"/>
                <w:szCs w:val="20"/>
              </w:rPr>
            </w:pPr>
            <w:r>
              <w:rPr>
                <w:rFonts w:hint="eastAsia" w:ascii="宋体" w:hAnsi="宋体" w:cs="宋体"/>
                <w:kern w:val="0"/>
                <w:sz w:val="20"/>
                <w:szCs w:val="20"/>
              </w:rPr>
              <w:t>一、本年高新技术产品（服务）收入（5+6）</w:t>
            </w:r>
          </w:p>
        </w:tc>
        <w:tc>
          <w:tcPr>
            <w:tcW w:w="1091" w:type="dxa"/>
            <w:tcBorders>
              <w:top w:val="single" w:color="auto" w:sz="6" w:space="0"/>
              <w:bottom w:val="single" w:color="auto" w:sz="6" w:space="0"/>
            </w:tcBorders>
            <w:shd w:val="clear" w:color="auto" w:fill="auto"/>
            <w:noWrap/>
            <w:vAlign w:val="center"/>
          </w:tcPr>
          <w:p w14:paraId="21B57069">
            <w:pPr>
              <w:widowControl/>
              <w:jc w:val="center"/>
              <w:rPr>
                <w:rFonts w:ascii="宋体" w:hAnsi="宋体" w:cs="宋体"/>
                <w:kern w:val="0"/>
                <w:sz w:val="20"/>
                <w:szCs w:val="20"/>
              </w:rPr>
            </w:pPr>
            <w:r>
              <w:rPr>
                <w:rFonts w:hint="eastAsia" w:ascii="宋体" w:hAnsi="宋体" w:cs="宋体"/>
                <w:kern w:val="0"/>
                <w:sz w:val="20"/>
                <w:szCs w:val="20"/>
              </w:rPr>
              <w:t>　</w:t>
            </w:r>
          </w:p>
        </w:tc>
      </w:tr>
      <w:tr w14:paraId="1B20C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7D3E50A9">
            <w:pPr>
              <w:widowControl/>
              <w:jc w:val="center"/>
              <w:rPr>
                <w:rFonts w:ascii="宋体" w:hAnsi="宋体" w:cs="宋体"/>
                <w:kern w:val="0"/>
                <w:sz w:val="20"/>
                <w:szCs w:val="20"/>
              </w:rPr>
            </w:pPr>
            <w:r>
              <w:rPr>
                <w:rFonts w:hint="eastAsia" w:ascii="宋体" w:hAnsi="宋体" w:cs="宋体"/>
                <w:kern w:val="0"/>
                <w:sz w:val="20"/>
                <w:szCs w:val="20"/>
              </w:rPr>
              <w:t>5</w:t>
            </w:r>
          </w:p>
        </w:tc>
        <w:tc>
          <w:tcPr>
            <w:tcW w:w="628" w:type="dxa"/>
            <w:vMerge w:val="continue"/>
            <w:tcBorders>
              <w:top w:val="single" w:color="auto" w:sz="6" w:space="0"/>
              <w:bottom w:val="single" w:color="auto" w:sz="6" w:space="0"/>
            </w:tcBorders>
            <w:shd w:val="clear" w:color="auto" w:fill="auto"/>
            <w:noWrap w:val="0"/>
            <w:vAlign w:val="center"/>
          </w:tcPr>
          <w:p w14:paraId="4489B311">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ign w:val="center"/>
          </w:tcPr>
          <w:p w14:paraId="48B38441">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其中：产品（服务）收入</w:t>
            </w:r>
          </w:p>
        </w:tc>
        <w:tc>
          <w:tcPr>
            <w:tcW w:w="1091" w:type="dxa"/>
            <w:tcBorders>
              <w:top w:val="single" w:color="auto" w:sz="6" w:space="0"/>
              <w:bottom w:val="single" w:color="auto" w:sz="6" w:space="0"/>
            </w:tcBorders>
            <w:shd w:val="clear" w:color="auto" w:fill="auto"/>
            <w:noWrap/>
            <w:vAlign w:val="center"/>
          </w:tcPr>
          <w:p w14:paraId="6AAF9C5E">
            <w:pPr>
              <w:widowControl/>
              <w:jc w:val="center"/>
              <w:rPr>
                <w:rFonts w:ascii="宋体" w:hAnsi="宋体" w:cs="宋体"/>
                <w:kern w:val="0"/>
                <w:sz w:val="20"/>
                <w:szCs w:val="20"/>
              </w:rPr>
            </w:pPr>
            <w:r>
              <w:rPr>
                <w:rFonts w:hint="eastAsia" w:ascii="宋体" w:hAnsi="宋体" w:cs="宋体"/>
                <w:kern w:val="0"/>
                <w:sz w:val="20"/>
                <w:szCs w:val="20"/>
              </w:rPr>
              <w:t>　</w:t>
            </w:r>
          </w:p>
        </w:tc>
      </w:tr>
      <w:tr w14:paraId="7AEE7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29F1C023">
            <w:pPr>
              <w:widowControl/>
              <w:jc w:val="center"/>
              <w:rPr>
                <w:rFonts w:ascii="宋体" w:hAnsi="宋体" w:cs="宋体"/>
                <w:kern w:val="0"/>
                <w:sz w:val="20"/>
                <w:szCs w:val="20"/>
              </w:rPr>
            </w:pPr>
            <w:r>
              <w:rPr>
                <w:rFonts w:hint="eastAsia" w:ascii="宋体" w:hAnsi="宋体" w:cs="宋体"/>
                <w:kern w:val="0"/>
                <w:sz w:val="20"/>
                <w:szCs w:val="20"/>
              </w:rPr>
              <w:t>6</w:t>
            </w:r>
          </w:p>
        </w:tc>
        <w:tc>
          <w:tcPr>
            <w:tcW w:w="628" w:type="dxa"/>
            <w:vMerge w:val="continue"/>
            <w:tcBorders>
              <w:top w:val="single" w:color="auto" w:sz="6" w:space="0"/>
              <w:bottom w:val="single" w:color="auto" w:sz="6" w:space="0"/>
            </w:tcBorders>
            <w:shd w:val="clear" w:color="auto" w:fill="auto"/>
            <w:noWrap w:val="0"/>
            <w:vAlign w:val="center"/>
          </w:tcPr>
          <w:p w14:paraId="5D64B884">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ign w:val="center"/>
          </w:tcPr>
          <w:p w14:paraId="36B95661">
            <w:pPr>
              <w:widowControl/>
              <w:ind w:firstLine="1000" w:firstLineChars="500"/>
              <w:jc w:val="left"/>
              <w:rPr>
                <w:rFonts w:ascii="宋体" w:hAnsi="宋体" w:cs="宋体"/>
                <w:kern w:val="0"/>
                <w:sz w:val="20"/>
                <w:szCs w:val="20"/>
              </w:rPr>
            </w:pPr>
            <w:r>
              <w:rPr>
                <w:rFonts w:hint="eastAsia" w:ascii="宋体" w:hAnsi="宋体" w:cs="宋体"/>
                <w:kern w:val="0"/>
                <w:sz w:val="20"/>
                <w:szCs w:val="20"/>
              </w:rPr>
              <w:t>技术性收入</w:t>
            </w:r>
          </w:p>
        </w:tc>
        <w:tc>
          <w:tcPr>
            <w:tcW w:w="1091" w:type="dxa"/>
            <w:tcBorders>
              <w:top w:val="single" w:color="auto" w:sz="6" w:space="0"/>
              <w:bottom w:val="single" w:color="auto" w:sz="6" w:space="0"/>
            </w:tcBorders>
            <w:shd w:val="clear" w:color="auto" w:fill="auto"/>
            <w:noWrap/>
            <w:vAlign w:val="center"/>
          </w:tcPr>
          <w:p w14:paraId="2B3F4708">
            <w:pPr>
              <w:widowControl/>
              <w:jc w:val="center"/>
              <w:rPr>
                <w:rFonts w:ascii="宋体" w:hAnsi="宋体" w:cs="宋体"/>
                <w:kern w:val="0"/>
                <w:sz w:val="20"/>
                <w:szCs w:val="20"/>
              </w:rPr>
            </w:pPr>
            <w:r>
              <w:rPr>
                <w:rFonts w:hint="eastAsia" w:ascii="宋体" w:hAnsi="宋体" w:cs="宋体"/>
                <w:kern w:val="0"/>
                <w:sz w:val="20"/>
                <w:szCs w:val="20"/>
              </w:rPr>
              <w:t>　</w:t>
            </w:r>
          </w:p>
        </w:tc>
      </w:tr>
      <w:tr w14:paraId="7571C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2E4D2EEE">
            <w:pPr>
              <w:widowControl/>
              <w:jc w:val="center"/>
              <w:rPr>
                <w:rFonts w:ascii="宋体" w:hAnsi="宋体" w:cs="宋体"/>
                <w:kern w:val="0"/>
                <w:sz w:val="20"/>
                <w:szCs w:val="20"/>
              </w:rPr>
            </w:pPr>
            <w:r>
              <w:rPr>
                <w:rFonts w:hint="eastAsia" w:ascii="宋体" w:hAnsi="宋体" w:cs="宋体"/>
                <w:kern w:val="0"/>
                <w:sz w:val="20"/>
                <w:szCs w:val="20"/>
              </w:rPr>
              <w:t>7</w:t>
            </w:r>
          </w:p>
        </w:tc>
        <w:tc>
          <w:tcPr>
            <w:tcW w:w="628" w:type="dxa"/>
            <w:vMerge w:val="continue"/>
            <w:tcBorders>
              <w:top w:val="single" w:color="auto" w:sz="6" w:space="0"/>
              <w:bottom w:val="single" w:color="auto" w:sz="6" w:space="0"/>
            </w:tcBorders>
            <w:shd w:val="clear" w:color="auto" w:fill="auto"/>
            <w:noWrap w:val="0"/>
            <w:vAlign w:val="center"/>
          </w:tcPr>
          <w:p w14:paraId="7E2BCCEB">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ign w:val="center"/>
          </w:tcPr>
          <w:p w14:paraId="55502CF5">
            <w:pPr>
              <w:widowControl/>
              <w:jc w:val="left"/>
              <w:rPr>
                <w:rFonts w:ascii="宋体" w:hAnsi="宋体" w:cs="宋体"/>
                <w:kern w:val="0"/>
                <w:sz w:val="20"/>
                <w:szCs w:val="20"/>
              </w:rPr>
            </w:pPr>
            <w:r>
              <w:rPr>
                <w:rFonts w:hint="eastAsia" w:ascii="宋体" w:hAnsi="宋体" w:cs="宋体"/>
                <w:kern w:val="0"/>
                <w:sz w:val="20"/>
                <w:szCs w:val="20"/>
              </w:rPr>
              <w:t>二、本年企业总收入(8-9)</w:t>
            </w:r>
          </w:p>
        </w:tc>
        <w:tc>
          <w:tcPr>
            <w:tcW w:w="1091" w:type="dxa"/>
            <w:tcBorders>
              <w:top w:val="single" w:color="auto" w:sz="6" w:space="0"/>
              <w:bottom w:val="single" w:color="auto" w:sz="6" w:space="0"/>
            </w:tcBorders>
            <w:shd w:val="clear" w:color="auto" w:fill="auto"/>
            <w:noWrap/>
            <w:vAlign w:val="center"/>
          </w:tcPr>
          <w:p w14:paraId="15094DA1">
            <w:pPr>
              <w:widowControl/>
              <w:jc w:val="center"/>
              <w:rPr>
                <w:rFonts w:ascii="宋体" w:hAnsi="宋体" w:cs="宋体"/>
                <w:kern w:val="0"/>
                <w:sz w:val="20"/>
                <w:szCs w:val="20"/>
              </w:rPr>
            </w:pPr>
            <w:r>
              <w:rPr>
                <w:rFonts w:hint="eastAsia" w:ascii="宋体" w:hAnsi="宋体" w:cs="宋体"/>
                <w:kern w:val="0"/>
                <w:sz w:val="20"/>
                <w:szCs w:val="20"/>
              </w:rPr>
              <w:t>　</w:t>
            </w:r>
          </w:p>
        </w:tc>
      </w:tr>
      <w:tr w14:paraId="259B0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6B7CA823">
            <w:pPr>
              <w:widowControl/>
              <w:jc w:val="center"/>
              <w:rPr>
                <w:rFonts w:ascii="宋体" w:hAnsi="宋体" w:cs="宋体"/>
                <w:kern w:val="0"/>
                <w:sz w:val="20"/>
                <w:szCs w:val="20"/>
              </w:rPr>
            </w:pPr>
            <w:r>
              <w:rPr>
                <w:rFonts w:hint="eastAsia" w:ascii="宋体" w:hAnsi="宋体" w:cs="宋体"/>
                <w:kern w:val="0"/>
                <w:sz w:val="20"/>
                <w:szCs w:val="20"/>
              </w:rPr>
              <w:t>8</w:t>
            </w:r>
          </w:p>
        </w:tc>
        <w:tc>
          <w:tcPr>
            <w:tcW w:w="628" w:type="dxa"/>
            <w:vMerge w:val="continue"/>
            <w:tcBorders>
              <w:top w:val="single" w:color="auto" w:sz="6" w:space="0"/>
              <w:bottom w:val="single" w:color="auto" w:sz="6" w:space="0"/>
            </w:tcBorders>
            <w:shd w:val="clear" w:color="auto" w:fill="auto"/>
            <w:noWrap w:val="0"/>
            <w:vAlign w:val="center"/>
          </w:tcPr>
          <w:p w14:paraId="3C12F354">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ign w:val="center"/>
          </w:tcPr>
          <w:p w14:paraId="45C05B63">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其中：收入总额</w:t>
            </w:r>
          </w:p>
        </w:tc>
        <w:tc>
          <w:tcPr>
            <w:tcW w:w="1091" w:type="dxa"/>
            <w:tcBorders>
              <w:top w:val="single" w:color="auto" w:sz="6" w:space="0"/>
              <w:bottom w:val="single" w:color="auto" w:sz="6" w:space="0"/>
            </w:tcBorders>
            <w:shd w:val="clear" w:color="auto" w:fill="auto"/>
            <w:noWrap/>
            <w:vAlign w:val="center"/>
          </w:tcPr>
          <w:p w14:paraId="36099817">
            <w:pPr>
              <w:widowControl/>
              <w:jc w:val="center"/>
              <w:rPr>
                <w:rFonts w:ascii="宋体" w:hAnsi="宋体" w:cs="宋体"/>
                <w:kern w:val="0"/>
                <w:sz w:val="20"/>
                <w:szCs w:val="20"/>
              </w:rPr>
            </w:pPr>
            <w:r>
              <w:rPr>
                <w:rFonts w:hint="eastAsia" w:ascii="宋体" w:hAnsi="宋体" w:cs="宋体"/>
                <w:kern w:val="0"/>
                <w:sz w:val="20"/>
                <w:szCs w:val="20"/>
              </w:rPr>
              <w:t>　</w:t>
            </w:r>
          </w:p>
        </w:tc>
      </w:tr>
      <w:tr w14:paraId="35144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49352896">
            <w:pPr>
              <w:widowControl/>
              <w:jc w:val="center"/>
              <w:rPr>
                <w:rFonts w:ascii="宋体" w:hAnsi="宋体" w:cs="宋体"/>
                <w:kern w:val="0"/>
                <w:sz w:val="20"/>
                <w:szCs w:val="20"/>
              </w:rPr>
            </w:pPr>
            <w:r>
              <w:rPr>
                <w:rFonts w:hint="eastAsia" w:ascii="宋体" w:hAnsi="宋体" w:cs="宋体"/>
                <w:kern w:val="0"/>
                <w:sz w:val="20"/>
                <w:szCs w:val="20"/>
              </w:rPr>
              <w:t>9</w:t>
            </w:r>
          </w:p>
        </w:tc>
        <w:tc>
          <w:tcPr>
            <w:tcW w:w="628" w:type="dxa"/>
            <w:vMerge w:val="continue"/>
            <w:tcBorders>
              <w:top w:val="single" w:color="auto" w:sz="6" w:space="0"/>
              <w:bottom w:val="single" w:color="auto" w:sz="6" w:space="0"/>
            </w:tcBorders>
            <w:shd w:val="clear" w:color="auto" w:fill="auto"/>
            <w:noWrap w:val="0"/>
            <w:vAlign w:val="center"/>
          </w:tcPr>
          <w:p w14:paraId="2936C37F">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ign w:val="center"/>
          </w:tcPr>
          <w:p w14:paraId="53E9D895">
            <w:pPr>
              <w:widowControl/>
              <w:ind w:firstLine="1000" w:firstLineChars="500"/>
              <w:jc w:val="left"/>
              <w:rPr>
                <w:rFonts w:ascii="宋体" w:hAnsi="宋体" w:cs="宋体"/>
                <w:kern w:val="0"/>
                <w:sz w:val="20"/>
                <w:szCs w:val="20"/>
              </w:rPr>
            </w:pPr>
            <w:r>
              <w:rPr>
                <w:rFonts w:hint="eastAsia" w:ascii="宋体" w:hAnsi="宋体" w:cs="宋体"/>
                <w:kern w:val="0"/>
                <w:sz w:val="20"/>
                <w:szCs w:val="20"/>
              </w:rPr>
              <w:t>不征税收入</w:t>
            </w:r>
          </w:p>
        </w:tc>
        <w:tc>
          <w:tcPr>
            <w:tcW w:w="1091" w:type="dxa"/>
            <w:tcBorders>
              <w:top w:val="single" w:color="auto" w:sz="6" w:space="0"/>
              <w:bottom w:val="single" w:color="auto" w:sz="6" w:space="0"/>
            </w:tcBorders>
            <w:shd w:val="clear" w:color="auto" w:fill="auto"/>
            <w:noWrap/>
            <w:vAlign w:val="center"/>
          </w:tcPr>
          <w:p w14:paraId="3084B97C">
            <w:pPr>
              <w:widowControl/>
              <w:jc w:val="center"/>
              <w:rPr>
                <w:rFonts w:ascii="宋体" w:hAnsi="宋体" w:cs="宋体"/>
                <w:kern w:val="0"/>
                <w:sz w:val="20"/>
                <w:szCs w:val="20"/>
              </w:rPr>
            </w:pPr>
            <w:r>
              <w:rPr>
                <w:rFonts w:hint="eastAsia" w:ascii="宋体" w:hAnsi="宋体" w:cs="宋体"/>
                <w:kern w:val="0"/>
                <w:sz w:val="20"/>
                <w:szCs w:val="20"/>
              </w:rPr>
              <w:t>　</w:t>
            </w:r>
          </w:p>
        </w:tc>
      </w:tr>
      <w:tr w14:paraId="6D62D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172A5024">
            <w:pPr>
              <w:widowControl/>
              <w:jc w:val="center"/>
              <w:rPr>
                <w:rFonts w:ascii="宋体" w:hAnsi="宋体" w:cs="宋体"/>
                <w:kern w:val="0"/>
                <w:sz w:val="20"/>
                <w:szCs w:val="20"/>
              </w:rPr>
            </w:pPr>
            <w:r>
              <w:rPr>
                <w:rFonts w:hint="eastAsia" w:ascii="宋体" w:hAnsi="宋体" w:cs="宋体"/>
                <w:kern w:val="0"/>
                <w:sz w:val="20"/>
                <w:szCs w:val="20"/>
              </w:rPr>
              <w:t>10</w:t>
            </w:r>
          </w:p>
        </w:tc>
        <w:tc>
          <w:tcPr>
            <w:tcW w:w="628" w:type="dxa"/>
            <w:vMerge w:val="continue"/>
            <w:tcBorders>
              <w:top w:val="single" w:color="auto" w:sz="6" w:space="0"/>
              <w:bottom w:val="single" w:color="auto" w:sz="6" w:space="0"/>
            </w:tcBorders>
            <w:shd w:val="clear" w:color="auto" w:fill="auto"/>
            <w:noWrap w:val="0"/>
            <w:vAlign w:val="center"/>
          </w:tcPr>
          <w:p w14:paraId="07468255">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0"/>
            <w:vAlign w:val="center"/>
          </w:tcPr>
          <w:p w14:paraId="1FD0E49C">
            <w:pPr>
              <w:widowControl/>
              <w:jc w:val="left"/>
              <w:rPr>
                <w:rFonts w:ascii="宋体" w:hAnsi="宋体" w:cs="宋体"/>
                <w:kern w:val="0"/>
                <w:sz w:val="20"/>
                <w:szCs w:val="20"/>
              </w:rPr>
            </w:pPr>
            <w:r>
              <w:rPr>
                <w:rFonts w:hint="eastAsia" w:ascii="宋体" w:hAnsi="宋体" w:cs="宋体"/>
                <w:kern w:val="0"/>
                <w:sz w:val="20"/>
                <w:szCs w:val="20"/>
              </w:rPr>
              <w:t>三、本年高新技术产品（服务）收入占企业总收入的比例（4÷7）</w:t>
            </w:r>
          </w:p>
        </w:tc>
        <w:tc>
          <w:tcPr>
            <w:tcW w:w="1091" w:type="dxa"/>
            <w:tcBorders>
              <w:top w:val="single" w:color="auto" w:sz="6" w:space="0"/>
              <w:bottom w:val="single" w:color="auto" w:sz="6" w:space="0"/>
            </w:tcBorders>
            <w:shd w:val="clear" w:color="auto" w:fill="auto"/>
            <w:noWrap/>
            <w:vAlign w:val="center"/>
          </w:tcPr>
          <w:p w14:paraId="21777696">
            <w:pPr>
              <w:widowControl/>
              <w:jc w:val="center"/>
              <w:rPr>
                <w:rFonts w:ascii="宋体" w:hAnsi="宋体" w:cs="宋体"/>
                <w:kern w:val="0"/>
                <w:sz w:val="20"/>
                <w:szCs w:val="20"/>
              </w:rPr>
            </w:pPr>
            <w:r>
              <w:rPr>
                <w:rFonts w:hint="eastAsia" w:ascii="宋体" w:hAnsi="宋体" w:cs="宋体"/>
                <w:kern w:val="0"/>
                <w:sz w:val="20"/>
                <w:szCs w:val="20"/>
              </w:rPr>
              <w:t>　</w:t>
            </w:r>
          </w:p>
        </w:tc>
      </w:tr>
      <w:tr w14:paraId="6A62D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709708C4">
            <w:pPr>
              <w:widowControl/>
              <w:jc w:val="center"/>
              <w:rPr>
                <w:rFonts w:ascii="宋体" w:hAnsi="宋体" w:cs="宋体"/>
                <w:kern w:val="0"/>
                <w:sz w:val="20"/>
                <w:szCs w:val="20"/>
              </w:rPr>
            </w:pPr>
            <w:r>
              <w:rPr>
                <w:rFonts w:hint="eastAsia" w:ascii="宋体" w:hAnsi="宋体" w:cs="宋体"/>
                <w:kern w:val="0"/>
                <w:sz w:val="20"/>
                <w:szCs w:val="20"/>
              </w:rPr>
              <w:t>11</w:t>
            </w:r>
          </w:p>
        </w:tc>
        <w:tc>
          <w:tcPr>
            <w:tcW w:w="628" w:type="dxa"/>
            <w:vMerge w:val="restart"/>
            <w:tcBorders>
              <w:top w:val="single" w:color="auto" w:sz="6" w:space="0"/>
              <w:bottom w:val="single" w:color="auto" w:sz="6" w:space="0"/>
            </w:tcBorders>
            <w:shd w:val="clear" w:color="auto" w:fill="auto"/>
            <w:noWrap w:val="0"/>
            <w:vAlign w:val="center"/>
          </w:tcPr>
          <w:p w14:paraId="5894A32D">
            <w:pPr>
              <w:widowControl/>
              <w:jc w:val="center"/>
              <w:rPr>
                <w:rFonts w:ascii="宋体" w:hAnsi="宋体" w:cs="宋体"/>
                <w:kern w:val="0"/>
                <w:sz w:val="20"/>
                <w:szCs w:val="20"/>
              </w:rPr>
            </w:pPr>
            <w:r>
              <w:rPr>
                <w:rFonts w:hint="eastAsia" w:ascii="宋体" w:hAnsi="宋体" w:cs="宋体"/>
                <w:kern w:val="0"/>
                <w:sz w:val="20"/>
                <w:szCs w:val="20"/>
              </w:rPr>
              <w:t>人员指标</w:t>
            </w:r>
          </w:p>
        </w:tc>
        <w:tc>
          <w:tcPr>
            <w:tcW w:w="7516" w:type="dxa"/>
            <w:gridSpan w:val="8"/>
            <w:tcBorders>
              <w:top w:val="single" w:color="auto" w:sz="6" w:space="0"/>
              <w:bottom w:val="single" w:color="auto" w:sz="6" w:space="0"/>
            </w:tcBorders>
            <w:shd w:val="clear" w:color="auto" w:fill="auto"/>
            <w:noWrap w:val="0"/>
            <w:vAlign w:val="center"/>
          </w:tcPr>
          <w:p w14:paraId="62DA800C">
            <w:pPr>
              <w:widowControl/>
              <w:jc w:val="left"/>
              <w:rPr>
                <w:rFonts w:ascii="宋体" w:hAnsi="宋体" w:cs="宋体"/>
                <w:kern w:val="0"/>
                <w:sz w:val="20"/>
                <w:szCs w:val="20"/>
              </w:rPr>
            </w:pPr>
            <w:r>
              <w:rPr>
                <w:rFonts w:hint="eastAsia" w:ascii="宋体" w:hAnsi="宋体" w:cs="宋体"/>
                <w:kern w:val="0"/>
                <w:sz w:val="20"/>
                <w:szCs w:val="20"/>
              </w:rPr>
              <w:t>四、本年科技人员数</w:t>
            </w:r>
          </w:p>
        </w:tc>
        <w:tc>
          <w:tcPr>
            <w:tcW w:w="1091" w:type="dxa"/>
            <w:tcBorders>
              <w:top w:val="single" w:color="auto" w:sz="6" w:space="0"/>
              <w:bottom w:val="single" w:color="auto" w:sz="6" w:space="0"/>
            </w:tcBorders>
            <w:shd w:val="clear" w:color="auto" w:fill="auto"/>
            <w:noWrap/>
            <w:vAlign w:val="center"/>
          </w:tcPr>
          <w:p w14:paraId="28590F71">
            <w:pPr>
              <w:widowControl/>
              <w:jc w:val="center"/>
              <w:rPr>
                <w:rFonts w:ascii="宋体" w:hAnsi="宋体" w:cs="宋体"/>
                <w:kern w:val="0"/>
                <w:sz w:val="20"/>
                <w:szCs w:val="20"/>
              </w:rPr>
            </w:pPr>
            <w:r>
              <w:rPr>
                <w:rFonts w:hint="eastAsia" w:ascii="宋体" w:hAnsi="宋体" w:cs="宋体"/>
                <w:kern w:val="0"/>
                <w:sz w:val="20"/>
                <w:szCs w:val="20"/>
              </w:rPr>
              <w:t>　</w:t>
            </w:r>
          </w:p>
        </w:tc>
      </w:tr>
      <w:tr w14:paraId="13318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709524C3">
            <w:pPr>
              <w:widowControl/>
              <w:jc w:val="center"/>
              <w:rPr>
                <w:rFonts w:ascii="宋体" w:hAnsi="宋体" w:cs="宋体"/>
                <w:kern w:val="0"/>
                <w:sz w:val="20"/>
                <w:szCs w:val="20"/>
              </w:rPr>
            </w:pPr>
            <w:r>
              <w:rPr>
                <w:rFonts w:hint="eastAsia" w:ascii="宋体" w:hAnsi="宋体" w:cs="宋体"/>
                <w:kern w:val="0"/>
                <w:sz w:val="20"/>
                <w:szCs w:val="20"/>
              </w:rPr>
              <w:t>12</w:t>
            </w:r>
          </w:p>
        </w:tc>
        <w:tc>
          <w:tcPr>
            <w:tcW w:w="628" w:type="dxa"/>
            <w:vMerge w:val="continue"/>
            <w:tcBorders>
              <w:top w:val="single" w:color="auto" w:sz="6" w:space="0"/>
              <w:bottom w:val="single" w:color="auto" w:sz="6" w:space="0"/>
            </w:tcBorders>
            <w:shd w:val="clear" w:color="auto" w:fill="auto"/>
            <w:noWrap w:val="0"/>
            <w:vAlign w:val="center"/>
          </w:tcPr>
          <w:p w14:paraId="401F7B73">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ign w:val="center"/>
          </w:tcPr>
          <w:p w14:paraId="7BFD42B6">
            <w:pPr>
              <w:widowControl/>
              <w:jc w:val="left"/>
              <w:rPr>
                <w:rFonts w:ascii="宋体" w:hAnsi="宋体" w:cs="宋体"/>
                <w:kern w:val="0"/>
                <w:sz w:val="20"/>
                <w:szCs w:val="20"/>
              </w:rPr>
            </w:pPr>
            <w:r>
              <w:rPr>
                <w:rFonts w:hint="eastAsia" w:ascii="宋体" w:hAnsi="宋体" w:cs="宋体"/>
                <w:kern w:val="0"/>
                <w:sz w:val="20"/>
                <w:szCs w:val="20"/>
              </w:rPr>
              <w:t>五、本年职工总数</w:t>
            </w:r>
          </w:p>
        </w:tc>
        <w:tc>
          <w:tcPr>
            <w:tcW w:w="1091" w:type="dxa"/>
            <w:tcBorders>
              <w:top w:val="single" w:color="auto" w:sz="6" w:space="0"/>
              <w:bottom w:val="single" w:color="auto" w:sz="6" w:space="0"/>
            </w:tcBorders>
            <w:shd w:val="clear" w:color="auto" w:fill="auto"/>
            <w:noWrap/>
            <w:vAlign w:val="center"/>
          </w:tcPr>
          <w:p w14:paraId="667EB141">
            <w:pPr>
              <w:widowControl/>
              <w:jc w:val="center"/>
              <w:rPr>
                <w:rFonts w:ascii="宋体" w:hAnsi="宋体" w:cs="宋体"/>
                <w:kern w:val="0"/>
                <w:sz w:val="20"/>
                <w:szCs w:val="20"/>
              </w:rPr>
            </w:pPr>
            <w:r>
              <w:rPr>
                <w:rFonts w:hint="eastAsia" w:ascii="宋体" w:hAnsi="宋体" w:cs="宋体"/>
                <w:kern w:val="0"/>
                <w:sz w:val="20"/>
                <w:szCs w:val="20"/>
              </w:rPr>
              <w:t>　</w:t>
            </w:r>
          </w:p>
        </w:tc>
      </w:tr>
      <w:tr w14:paraId="04FA2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2B2DD8D1">
            <w:pPr>
              <w:widowControl/>
              <w:jc w:val="center"/>
              <w:rPr>
                <w:rFonts w:ascii="宋体" w:hAnsi="宋体" w:cs="宋体"/>
                <w:kern w:val="0"/>
                <w:sz w:val="20"/>
                <w:szCs w:val="20"/>
              </w:rPr>
            </w:pPr>
            <w:r>
              <w:rPr>
                <w:rFonts w:hint="eastAsia" w:ascii="宋体" w:hAnsi="宋体" w:cs="宋体"/>
                <w:kern w:val="0"/>
                <w:sz w:val="20"/>
                <w:szCs w:val="20"/>
              </w:rPr>
              <w:t>13</w:t>
            </w:r>
          </w:p>
        </w:tc>
        <w:tc>
          <w:tcPr>
            <w:tcW w:w="628" w:type="dxa"/>
            <w:vMerge w:val="continue"/>
            <w:tcBorders>
              <w:top w:val="single" w:color="auto" w:sz="6" w:space="0"/>
              <w:bottom w:val="single" w:color="auto" w:sz="6" w:space="0"/>
            </w:tcBorders>
            <w:shd w:val="clear" w:color="auto" w:fill="auto"/>
            <w:noWrap w:val="0"/>
            <w:vAlign w:val="center"/>
          </w:tcPr>
          <w:p w14:paraId="01BAC5EF">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0"/>
            <w:vAlign w:val="center"/>
          </w:tcPr>
          <w:p w14:paraId="1A5790C7">
            <w:pPr>
              <w:widowControl/>
              <w:jc w:val="left"/>
              <w:rPr>
                <w:rFonts w:ascii="宋体" w:hAnsi="宋体" w:cs="宋体"/>
                <w:kern w:val="0"/>
                <w:sz w:val="20"/>
                <w:szCs w:val="20"/>
              </w:rPr>
            </w:pPr>
            <w:r>
              <w:rPr>
                <w:rFonts w:hint="eastAsia" w:ascii="宋体" w:hAnsi="宋体" w:cs="宋体"/>
                <w:kern w:val="0"/>
                <w:sz w:val="20"/>
                <w:szCs w:val="20"/>
              </w:rPr>
              <w:t>六、本年科技人员占企业当年职工总数的比例（11÷12）</w:t>
            </w:r>
          </w:p>
        </w:tc>
        <w:tc>
          <w:tcPr>
            <w:tcW w:w="1091" w:type="dxa"/>
            <w:tcBorders>
              <w:top w:val="single" w:color="auto" w:sz="6" w:space="0"/>
              <w:bottom w:val="single" w:color="auto" w:sz="6" w:space="0"/>
            </w:tcBorders>
            <w:shd w:val="clear" w:color="auto" w:fill="auto"/>
            <w:noWrap/>
            <w:vAlign w:val="center"/>
          </w:tcPr>
          <w:p w14:paraId="7B9A853F">
            <w:pPr>
              <w:widowControl/>
              <w:jc w:val="center"/>
              <w:rPr>
                <w:rFonts w:ascii="宋体" w:hAnsi="宋体" w:cs="宋体"/>
                <w:kern w:val="0"/>
                <w:sz w:val="20"/>
                <w:szCs w:val="20"/>
              </w:rPr>
            </w:pPr>
            <w:r>
              <w:rPr>
                <w:rFonts w:hint="eastAsia" w:ascii="宋体" w:hAnsi="宋体" w:cs="宋体"/>
                <w:kern w:val="0"/>
                <w:sz w:val="20"/>
                <w:szCs w:val="20"/>
              </w:rPr>
              <w:t>　</w:t>
            </w:r>
          </w:p>
        </w:tc>
      </w:tr>
      <w:tr w14:paraId="3DA01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vMerge w:val="restart"/>
            <w:tcBorders>
              <w:top w:val="single" w:color="auto" w:sz="6" w:space="0"/>
              <w:bottom w:val="single" w:color="auto" w:sz="6" w:space="0"/>
            </w:tcBorders>
            <w:shd w:val="clear" w:color="auto" w:fill="auto"/>
            <w:noWrap/>
            <w:vAlign w:val="center"/>
          </w:tcPr>
          <w:p w14:paraId="31DE7000">
            <w:pPr>
              <w:widowControl/>
              <w:jc w:val="center"/>
              <w:rPr>
                <w:rFonts w:ascii="宋体" w:hAnsi="宋体" w:cs="宋体"/>
                <w:kern w:val="0"/>
                <w:sz w:val="20"/>
                <w:szCs w:val="20"/>
              </w:rPr>
            </w:pPr>
            <w:r>
              <w:rPr>
                <w:rFonts w:hint="eastAsia" w:ascii="宋体" w:hAnsi="宋体" w:cs="宋体"/>
                <w:kern w:val="0"/>
                <w:sz w:val="20"/>
                <w:szCs w:val="20"/>
              </w:rPr>
              <w:t>14</w:t>
            </w:r>
          </w:p>
        </w:tc>
        <w:tc>
          <w:tcPr>
            <w:tcW w:w="628" w:type="dxa"/>
            <w:vMerge w:val="restart"/>
            <w:tcBorders>
              <w:top w:val="single" w:color="auto" w:sz="6" w:space="0"/>
              <w:bottom w:val="single" w:color="auto" w:sz="6" w:space="0"/>
            </w:tcBorders>
            <w:shd w:val="clear" w:color="auto" w:fill="auto"/>
            <w:noWrap w:val="0"/>
            <w:vAlign w:val="center"/>
          </w:tcPr>
          <w:p w14:paraId="703C25D9">
            <w:pPr>
              <w:widowControl/>
              <w:jc w:val="center"/>
              <w:rPr>
                <w:rFonts w:ascii="宋体" w:hAnsi="宋体" w:cs="宋体"/>
                <w:kern w:val="0"/>
                <w:sz w:val="20"/>
                <w:szCs w:val="20"/>
              </w:rPr>
            </w:pPr>
            <w:r>
              <w:rPr>
                <w:rFonts w:hint="eastAsia" w:ascii="宋体" w:hAnsi="宋体" w:cs="宋体"/>
                <w:kern w:val="0"/>
                <w:sz w:val="20"/>
                <w:szCs w:val="20"/>
              </w:rPr>
              <w:t>研发费用指标</w:t>
            </w:r>
          </w:p>
        </w:tc>
        <w:tc>
          <w:tcPr>
            <w:tcW w:w="4271" w:type="dxa"/>
            <w:gridSpan w:val="3"/>
            <w:vMerge w:val="restart"/>
            <w:tcBorders>
              <w:top w:val="single" w:color="auto" w:sz="6" w:space="0"/>
              <w:bottom w:val="single" w:color="auto" w:sz="6" w:space="0"/>
            </w:tcBorders>
            <w:shd w:val="clear" w:color="auto" w:fill="auto"/>
            <w:noWrap w:val="0"/>
            <w:vAlign w:val="center"/>
          </w:tcPr>
          <w:p w14:paraId="2826D32E">
            <w:pPr>
              <w:widowControl/>
              <w:jc w:val="center"/>
              <w:rPr>
                <w:rFonts w:ascii="宋体" w:hAnsi="宋体" w:cs="宋体"/>
                <w:kern w:val="0"/>
                <w:sz w:val="20"/>
                <w:szCs w:val="20"/>
              </w:rPr>
            </w:pPr>
            <w:r>
              <w:rPr>
                <w:rFonts w:hint="eastAsia" w:ascii="宋体" w:hAnsi="宋体" w:cs="宋体"/>
                <w:kern w:val="0"/>
                <w:sz w:val="20"/>
                <w:szCs w:val="20"/>
              </w:rPr>
              <w:t>高新研发费用归集年度</w:t>
            </w:r>
          </w:p>
        </w:tc>
        <w:tc>
          <w:tcPr>
            <w:tcW w:w="1081" w:type="dxa"/>
            <w:tcBorders>
              <w:top w:val="single" w:color="auto" w:sz="6" w:space="0"/>
              <w:bottom w:val="single" w:color="auto" w:sz="6" w:space="0"/>
            </w:tcBorders>
            <w:shd w:val="clear" w:color="auto" w:fill="auto"/>
            <w:noWrap w:val="0"/>
            <w:vAlign w:val="center"/>
          </w:tcPr>
          <w:p w14:paraId="42D1A9A1">
            <w:pPr>
              <w:widowControl/>
              <w:jc w:val="center"/>
              <w:rPr>
                <w:rFonts w:ascii="宋体" w:hAnsi="宋体" w:cs="宋体"/>
                <w:kern w:val="0"/>
                <w:sz w:val="20"/>
                <w:szCs w:val="20"/>
              </w:rPr>
            </w:pPr>
            <w:r>
              <w:rPr>
                <w:rFonts w:hint="eastAsia" w:ascii="宋体" w:hAnsi="宋体" w:cs="宋体"/>
                <w:kern w:val="0"/>
                <w:sz w:val="20"/>
                <w:szCs w:val="20"/>
              </w:rPr>
              <w:t>本年度</w:t>
            </w:r>
          </w:p>
        </w:tc>
        <w:tc>
          <w:tcPr>
            <w:tcW w:w="1083" w:type="dxa"/>
            <w:gridSpan w:val="2"/>
            <w:tcBorders>
              <w:top w:val="single" w:color="auto" w:sz="6" w:space="0"/>
              <w:bottom w:val="single" w:color="auto" w:sz="6" w:space="0"/>
            </w:tcBorders>
            <w:shd w:val="clear" w:color="auto" w:fill="auto"/>
            <w:noWrap w:val="0"/>
            <w:vAlign w:val="center"/>
          </w:tcPr>
          <w:p w14:paraId="69334979">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1081" w:type="dxa"/>
            <w:gridSpan w:val="2"/>
            <w:tcBorders>
              <w:top w:val="single" w:color="auto" w:sz="6" w:space="0"/>
              <w:bottom w:val="single" w:color="auto" w:sz="6" w:space="0"/>
            </w:tcBorders>
            <w:shd w:val="clear" w:color="auto" w:fill="auto"/>
            <w:noWrap/>
            <w:vAlign w:val="center"/>
          </w:tcPr>
          <w:p w14:paraId="24F1918C">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1091" w:type="dxa"/>
            <w:tcBorders>
              <w:top w:val="single" w:color="auto" w:sz="6" w:space="0"/>
              <w:bottom w:val="single" w:color="auto" w:sz="6" w:space="0"/>
            </w:tcBorders>
            <w:shd w:val="clear" w:color="auto" w:fill="auto"/>
            <w:noWrap/>
            <w:vAlign w:val="center"/>
          </w:tcPr>
          <w:p w14:paraId="584FB209">
            <w:pPr>
              <w:widowControl/>
              <w:jc w:val="center"/>
              <w:rPr>
                <w:rFonts w:ascii="宋体" w:hAnsi="宋体" w:cs="宋体"/>
                <w:kern w:val="0"/>
                <w:sz w:val="20"/>
                <w:szCs w:val="20"/>
              </w:rPr>
            </w:pPr>
            <w:r>
              <w:rPr>
                <w:rFonts w:hint="eastAsia" w:ascii="宋体" w:hAnsi="宋体" w:cs="宋体"/>
                <w:kern w:val="0"/>
                <w:sz w:val="20"/>
                <w:szCs w:val="20"/>
              </w:rPr>
              <w:t>合计</w:t>
            </w:r>
          </w:p>
        </w:tc>
      </w:tr>
      <w:tr w14:paraId="413C3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vMerge w:val="continue"/>
            <w:tcBorders>
              <w:top w:val="single" w:color="auto" w:sz="6" w:space="0"/>
              <w:bottom w:val="single" w:color="auto" w:sz="6" w:space="0"/>
            </w:tcBorders>
            <w:shd w:val="clear" w:color="auto" w:fill="auto"/>
            <w:noWrap w:val="0"/>
            <w:vAlign w:val="center"/>
          </w:tcPr>
          <w:p w14:paraId="3A181375">
            <w:pPr>
              <w:widowControl/>
              <w:jc w:val="left"/>
              <w:rPr>
                <w:rFonts w:ascii="宋体" w:hAnsi="宋体" w:cs="宋体"/>
                <w:kern w:val="0"/>
                <w:sz w:val="20"/>
                <w:szCs w:val="20"/>
              </w:rPr>
            </w:pPr>
          </w:p>
        </w:tc>
        <w:tc>
          <w:tcPr>
            <w:tcW w:w="628" w:type="dxa"/>
            <w:vMerge w:val="continue"/>
            <w:tcBorders>
              <w:top w:val="single" w:color="auto" w:sz="6" w:space="0"/>
              <w:bottom w:val="single" w:color="auto" w:sz="6" w:space="0"/>
            </w:tcBorders>
            <w:shd w:val="clear" w:color="auto" w:fill="auto"/>
            <w:noWrap w:val="0"/>
            <w:vAlign w:val="center"/>
          </w:tcPr>
          <w:p w14:paraId="7275E73E">
            <w:pPr>
              <w:widowControl/>
              <w:jc w:val="left"/>
              <w:rPr>
                <w:rFonts w:ascii="宋体" w:hAnsi="宋体" w:cs="宋体"/>
                <w:kern w:val="0"/>
                <w:sz w:val="20"/>
                <w:szCs w:val="20"/>
              </w:rPr>
            </w:pPr>
          </w:p>
        </w:tc>
        <w:tc>
          <w:tcPr>
            <w:tcW w:w="4271" w:type="dxa"/>
            <w:gridSpan w:val="3"/>
            <w:vMerge w:val="continue"/>
            <w:tcBorders>
              <w:top w:val="single" w:color="auto" w:sz="6" w:space="0"/>
              <w:bottom w:val="single" w:color="auto" w:sz="6" w:space="0"/>
            </w:tcBorders>
            <w:shd w:val="clear" w:color="auto" w:fill="auto"/>
            <w:noWrap w:val="0"/>
            <w:vAlign w:val="center"/>
          </w:tcPr>
          <w:p w14:paraId="126ABDB5">
            <w:pPr>
              <w:widowControl/>
              <w:jc w:val="left"/>
              <w:rPr>
                <w:rFonts w:ascii="宋体" w:hAnsi="宋体" w:cs="宋体"/>
                <w:kern w:val="0"/>
                <w:sz w:val="20"/>
                <w:szCs w:val="20"/>
              </w:rPr>
            </w:pPr>
          </w:p>
        </w:tc>
        <w:tc>
          <w:tcPr>
            <w:tcW w:w="1081" w:type="dxa"/>
            <w:tcBorders>
              <w:top w:val="single" w:color="auto" w:sz="6" w:space="0"/>
              <w:bottom w:val="single" w:color="auto" w:sz="6" w:space="0"/>
            </w:tcBorders>
            <w:shd w:val="clear" w:color="auto" w:fill="auto"/>
            <w:noWrap w:val="0"/>
            <w:vAlign w:val="center"/>
          </w:tcPr>
          <w:p w14:paraId="164EBB51">
            <w:pPr>
              <w:widowControl/>
              <w:jc w:val="center"/>
              <w:rPr>
                <w:rFonts w:ascii="宋体" w:hAnsi="宋体" w:cs="宋体"/>
                <w:kern w:val="0"/>
                <w:sz w:val="20"/>
                <w:szCs w:val="20"/>
              </w:rPr>
            </w:pPr>
            <w:r>
              <w:rPr>
                <w:rFonts w:hint="eastAsia" w:ascii="宋体" w:hAnsi="宋体" w:cs="宋体"/>
                <w:kern w:val="0"/>
                <w:sz w:val="20"/>
                <w:szCs w:val="20"/>
              </w:rPr>
              <w:t>1</w:t>
            </w:r>
          </w:p>
        </w:tc>
        <w:tc>
          <w:tcPr>
            <w:tcW w:w="1083" w:type="dxa"/>
            <w:gridSpan w:val="2"/>
            <w:tcBorders>
              <w:top w:val="single" w:color="auto" w:sz="6" w:space="0"/>
              <w:bottom w:val="single" w:color="auto" w:sz="6" w:space="0"/>
            </w:tcBorders>
            <w:shd w:val="clear" w:color="auto" w:fill="auto"/>
            <w:noWrap w:val="0"/>
            <w:vAlign w:val="center"/>
          </w:tcPr>
          <w:p w14:paraId="43FA0E0F">
            <w:pPr>
              <w:widowControl/>
              <w:jc w:val="center"/>
              <w:rPr>
                <w:rFonts w:ascii="宋体" w:hAnsi="宋体" w:cs="宋体"/>
                <w:kern w:val="0"/>
                <w:sz w:val="20"/>
                <w:szCs w:val="20"/>
              </w:rPr>
            </w:pPr>
            <w:r>
              <w:rPr>
                <w:rFonts w:hint="eastAsia" w:ascii="宋体" w:hAnsi="宋体" w:cs="宋体"/>
                <w:kern w:val="0"/>
                <w:sz w:val="20"/>
                <w:szCs w:val="20"/>
              </w:rPr>
              <w:t>2</w:t>
            </w:r>
          </w:p>
        </w:tc>
        <w:tc>
          <w:tcPr>
            <w:tcW w:w="1081" w:type="dxa"/>
            <w:gridSpan w:val="2"/>
            <w:tcBorders>
              <w:top w:val="single" w:color="auto" w:sz="6" w:space="0"/>
              <w:bottom w:val="single" w:color="auto" w:sz="6" w:space="0"/>
            </w:tcBorders>
            <w:shd w:val="clear" w:color="auto" w:fill="auto"/>
            <w:noWrap/>
            <w:vAlign w:val="center"/>
          </w:tcPr>
          <w:p w14:paraId="71FBF492">
            <w:pPr>
              <w:widowControl/>
              <w:jc w:val="center"/>
              <w:rPr>
                <w:rFonts w:ascii="宋体" w:hAnsi="宋体" w:cs="宋体"/>
                <w:kern w:val="0"/>
                <w:sz w:val="20"/>
                <w:szCs w:val="20"/>
              </w:rPr>
            </w:pPr>
            <w:r>
              <w:rPr>
                <w:rFonts w:hint="eastAsia" w:ascii="宋体" w:hAnsi="宋体" w:cs="宋体"/>
                <w:kern w:val="0"/>
                <w:sz w:val="20"/>
                <w:szCs w:val="20"/>
              </w:rPr>
              <w:t>3</w:t>
            </w:r>
          </w:p>
        </w:tc>
        <w:tc>
          <w:tcPr>
            <w:tcW w:w="1091" w:type="dxa"/>
            <w:tcBorders>
              <w:top w:val="single" w:color="auto" w:sz="6" w:space="0"/>
              <w:bottom w:val="single" w:color="auto" w:sz="6" w:space="0"/>
            </w:tcBorders>
            <w:shd w:val="clear" w:color="auto" w:fill="auto"/>
            <w:noWrap/>
            <w:vAlign w:val="center"/>
          </w:tcPr>
          <w:p w14:paraId="23C8335F">
            <w:pPr>
              <w:widowControl/>
              <w:jc w:val="center"/>
              <w:rPr>
                <w:rFonts w:ascii="宋体" w:hAnsi="宋体" w:cs="宋体"/>
                <w:kern w:val="0"/>
                <w:sz w:val="20"/>
                <w:szCs w:val="20"/>
              </w:rPr>
            </w:pPr>
            <w:r>
              <w:rPr>
                <w:rFonts w:hint="eastAsia" w:ascii="宋体" w:hAnsi="宋体" w:cs="宋体"/>
                <w:kern w:val="0"/>
                <w:sz w:val="20"/>
                <w:szCs w:val="20"/>
              </w:rPr>
              <w:t>4</w:t>
            </w:r>
          </w:p>
        </w:tc>
      </w:tr>
      <w:tr w14:paraId="4149A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61B8B1DE">
            <w:pPr>
              <w:widowControl/>
              <w:jc w:val="center"/>
              <w:rPr>
                <w:rFonts w:ascii="宋体" w:hAnsi="宋体" w:cs="宋体"/>
                <w:kern w:val="0"/>
                <w:sz w:val="20"/>
                <w:szCs w:val="20"/>
              </w:rPr>
            </w:pPr>
            <w:r>
              <w:rPr>
                <w:rFonts w:hint="eastAsia" w:ascii="宋体" w:hAnsi="宋体" w:cs="宋体"/>
                <w:kern w:val="0"/>
                <w:sz w:val="20"/>
                <w:szCs w:val="20"/>
              </w:rPr>
              <w:t>15</w:t>
            </w:r>
          </w:p>
        </w:tc>
        <w:tc>
          <w:tcPr>
            <w:tcW w:w="628" w:type="dxa"/>
            <w:vMerge w:val="continue"/>
            <w:tcBorders>
              <w:top w:val="single" w:color="auto" w:sz="6" w:space="0"/>
              <w:bottom w:val="single" w:color="auto" w:sz="6" w:space="0"/>
            </w:tcBorders>
            <w:shd w:val="clear" w:color="auto" w:fill="auto"/>
            <w:noWrap w:val="0"/>
            <w:vAlign w:val="center"/>
          </w:tcPr>
          <w:p w14:paraId="516892EE">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4FA2AD3F">
            <w:pPr>
              <w:widowControl/>
              <w:jc w:val="left"/>
              <w:rPr>
                <w:rFonts w:ascii="宋体" w:hAnsi="宋体" w:cs="宋体"/>
                <w:kern w:val="0"/>
                <w:sz w:val="20"/>
                <w:szCs w:val="20"/>
              </w:rPr>
            </w:pPr>
            <w:r>
              <w:rPr>
                <w:rFonts w:hint="eastAsia" w:ascii="宋体" w:hAnsi="宋体" w:cs="宋体"/>
                <w:kern w:val="0"/>
                <w:sz w:val="20"/>
                <w:szCs w:val="20"/>
              </w:rPr>
              <w:t>七、归集的高新研发费用金额（16+25）</w:t>
            </w:r>
          </w:p>
        </w:tc>
        <w:tc>
          <w:tcPr>
            <w:tcW w:w="1081" w:type="dxa"/>
            <w:tcBorders>
              <w:top w:val="single" w:color="auto" w:sz="6" w:space="0"/>
              <w:bottom w:val="single" w:color="auto" w:sz="6" w:space="0"/>
            </w:tcBorders>
            <w:shd w:val="clear" w:color="auto" w:fill="auto"/>
            <w:noWrap/>
            <w:vAlign w:val="center"/>
          </w:tcPr>
          <w:p w14:paraId="7F4A72ED">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765DB343">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788768C2">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47373D7F">
            <w:pPr>
              <w:widowControl/>
              <w:jc w:val="right"/>
              <w:rPr>
                <w:rFonts w:ascii="宋体" w:hAnsi="宋体" w:cs="宋体"/>
                <w:kern w:val="0"/>
                <w:sz w:val="20"/>
                <w:szCs w:val="20"/>
              </w:rPr>
            </w:pPr>
            <w:r>
              <w:rPr>
                <w:rFonts w:hint="eastAsia" w:ascii="宋体" w:hAnsi="宋体" w:cs="宋体"/>
                <w:kern w:val="0"/>
                <w:sz w:val="20"/>
                <w:szCs w:val="20"/>
              </w:rPr>
              <w:t>　</w:t>
            </w:r>
          </w:p>
        </w:tc>
      </w:tr>
      <w:tr w14:paraId="02404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07DEDEEC">
            <w:pPr>
              <w:widowControl/>
              <w:jc w:val="center"/>
              <w:rPr>
                <w:rFonts w:ascii="宋体" w:hAnsi="宋体" w:cs="宋体"/>
                <w:kern w:val="0"/>
                <w:sz w:val="20"/>
                <w:szCs w:val="20"/>
              </w:rPr>
            </w:pPr>
            <w:r>
              <w:rPr>
                <w:rFonts w:hint="eastAsia" w:ascii="宋体" w:hAnsi="宋体" w:cs="宋体"/>
                <w:kern w:val="0"/>
                <w:sz w:val="20"/>
                <w:szCs w:val="20"/>
              </w:rPr>
              <w:t>16</w:t>
            </w:r>
          </w:p>
        </w:tc>
        <w:tc>
          <w:tcPr>
            <w:tcW w:w="628" w:type="dxa"/>
            <w:vMerge w:val="continue"/>
            <w:tcBorders>
              <w:top w:val="single" w:color="auto" w:sz="6" w:space="0"/>
              <w:bottom w:val="single" w:color="auto" w:sz="6" w:space="0"/>
            </w:tcBorders>
            <w:shd w:val="clear" w:color="auto" w:fill="auto"/>
            <w:noWrap w:val="0"/>
            <w:vAlign w:val="center"/>
          </w:tcPr>
          <w:p w14:paraId="2998D17B">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7E86CEBA">
            <w:pPr>
              <w:widowControl/>
              <w:ind w:firstLine="400" w:firstLineChars="200"/>
              <w:jc w:val="left"/>
              <w:rPr>
                <w:rFonts w:ascii="宋体" w:hAnsi="宋体" w:cs="宋体"/>
                <w:kern w:val="0"/>
                <w:sz w:val="20"/>
                <w:szCs w:val="20"/>
              </w:rPr>
            </w:pPr>
            <w:r>
              <w:rPr>
                <w:rFonts w:hint="eastAsia" w:ascii="宋体" w:hAnsi="宋体" w:cs="宋体"/>
                <w:kern w:val="0"/>
                <w:sz w:val="20"/>
                <w:szCs w:val="20"/>
              </w:rPr>
              <w:t>（一）内部研究开发投入(17+</w:t>
            </w:r>
            <w:r>
              <w:rPr>
                <w:rFonts w:ascii="宋体" w:hAnsi="宋体" w:cs="宋体"/>
                <w:kern w:val="0"/>
                <w:sz w:val="20"/>
                <w:szCs w:val="20"/>
              </w:rPr>
              <w:t>…</w:t>
            </w:r>
            <w:r>
              <w:rPr>
                <w:rFonts w:hint="eastAsia" w:ascii="宋体" w:hAnsi="宋体" w:cs="宋体"/>
                <w:kern w:val="0"/>
                <w:sz w:val="20"/>
                <w:szCs w:val="20"/>
              </w:rPr>
              <w:t>+22+24)</w:t>
            </w:r>
          </w:p>
        </w:tc>
        <w:tc>
          <w:tcPr>
            <w:tcW w:w="1081" w:type="dxa"/>
            <w:tcBorders>
              <w:top w:val="single" w:color="auto" w:sz="6" w:space="0"/>
              <w:bottom w:val="single" w:color="auto" w:sz="6" w:space="0"/>
            </w:tcBorders>
            <w:shd w:val="clear" w:color="auto" w:fill="auto"/>
            <w:noWrap/>
            <w:vAlign w:val="center"/>
          </w:tcPr>
          <w:p w14:paraId="78623BD0">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4DC89A87">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4CB37D5D">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4D4106F2">
            <w:pPr>
              <w:widowControl/>
              <w:jc w:val="right"/>
              <w:rPr>
                <w:rFonts w:ascii="宋体" w:hAnsi="宋体" w:cs="宋体"/>
                <w:kern w:val="0"/>
                <w:sz w:val="20"/>
                <w:szCs w:val="20"/>
              </w:rPr>
            </w:pPr>
            <w:r>
              <w:rPr>
                <w:rFonts w:hint="eastAsia" w:ascii="宋体" w:hAnsi="宋体" w:cs="宋体"/>
                <w:kern w:val="0"/>
                <w:sz w:val="20"/>
                <w:szCs w:val="20"/>
              </w:rPr>
              <w:t>　</w:t>
            </w:r>
          </w:p>
        </w:tc>
      </w:tr>
      <w:tr w14:paraId="7AB6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08E10212">
            <w:pPr>
              <w:widowControl/>
              <w:jc w:val="center"/>
              <w:rPr>
                <w:rFonts w:ascii="宋体" w:hAnsi="宋体" w:cs="宋体"/>
                <w:kern w:val="0"/>
                <w:sz w:val="20"/>
                <w:szCs w:val="20"/>
              </w:rPr>
            </w:pPr>
            <w:r>
              <w:rPr>
                <w:rFonts w:hint="eastAsia" w:ascii="宋体" w:hAnsi="宋体" w:cs="宋体"/>
                <w:kern w:val="0"/>
                <w:sz w:val="20"/>
                <w:szCs w:val="20"/>
              </w:rPr>
              <w:t>17</w:t>
            </w:r>
          </w:p>
        </w:tc>
        <w:tc>
          <w:tcPr>
            <w:tcW w:w="628" w:type="dxa"/>
            <w:vMerge w:val="continue"/>
            <w:tcBorders>
              <w:top w:val="single" w:color="auto" w:sz="6" w:space="0"/>
              <w:bottom w:val="single" w:color="auto" w:sz="6" w:space="0"/>
            </w:tcBorders>
            <w:shd w:val="clear" w:color="auto" w:fill="auto"/>
            <w:noWrap w:val="0"/>
            <w:vAlign w:val="center"/>
          </w:tcPr>
          <w:p w14:paraId="779F916F">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6FCBAAE3">
            <w:pPr>
              <w:widowControl/>
              <w:ind w:firstLine="800" w:firstLineChars="400"/>
              <w:jc w:val="left"/>
              <w:rPr>
                <w:rFonts w:ascii="宋体" w:hAnsi="宋体" w:cs="宋体"/>
                <w:kern w:val="0"/>
                <w:sz w:val="20"/>
                <w:szCs w:val="20"/>
              </w:rPr>
            </w:pPr>
            <w:r>
              <w:rPr>
                <w:rFonts w:hint="eastAsia" w:ascii="宋体" w:hAnsi="宋体" w:cs="宋体"/>
                <w:kern w:val="0"/>
                <w:sz w:val="20"/>
                <w:szCs w:val="20"/>
              </w:rPr>
              <w:t>1.人员人工费用</w:t>
            </w:r>
          </w:p>
        </w:tc>
        <w:tc>
          <w:tcPr>
            <w:tcW w:w="1081" w:type="dxa"/>
            <w:tcBorders>
              <w:top w:val="single" w:color="auto" w:sz="6" w:space="0"/>
              <w:bottom w:val="single" w:color="auto" w:sz="6" w:space="0"/>
            </w:tcBorders>
            <w:shd w:val="clear" w:color="auto" w:fill="auto"/>
            <w:noWrap/>
            <w:vAlign w:val="center"/>
          </w:tcPr>
          <w:p w14:paraId="23CA2E8A">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5C223DAF">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19C6CDCC">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0F2B8F03">
            <w:pPr>
              <w:widowControl/>
              <w:jc w:val="right"/>
              <w:rPr>
                <w:rFonts w:ascii="宋体" w:hAnsi="宋体" w:cs="宋体"/>
                <w:kern w:val="0"/>
                <w:sz w:val="20"/>
                <w:szCs w:val="20"/>
              </w:rPr>
            </w:pPr>
            <w:r>
              <w:rPr>
                <w:rFonts w:hint="eastAsia" w:ascii="宋体" w:hAnsi="宋体" w:cs="宋体"/>
                <w:kern w:val="0"/>
                <w:sz w:val="20"/>
                <w:szCs w:val="20"/>
              </w:rPr>
              <w:t>　</w:t>
            </w:r>
          </w:p>
        </w:tc>
      </w:tr>
      <w:tr w14:paraId="69586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20B9550E">
            <w:pPr>
              <w:widowControl/>
              <w:jc w:val="center"/>
              <w:rPr>
                <w:rFonts w:ascii="宋体" w:hAnsi="宋体" w:cs="宋体"/>
                <w:kern w:val="0"/>
                <w:sz w:val="20"/>
                <w:szCs w:val="20"/>
              </w:rPr>
            </w:pPr>
            <w:r>
              <w:rPr>
                <w:rFonts w:hint="eastAsia" w:ascii="宋体" w:hAnsi="宋体" w:cs="宋体"/>
                <w:kern w:val="0"/>
                <w:sz w:val="20"/>
                <w:szCs w:val="20"/>
              </w:rPr>
              <w:t>18</w:t>
            </w:r>
          </w:p>
        </w:tc>
        <w:tc>
          <w:tcPr>
            <w:tcW w:w="628" w:type="dxa"/>
            <w:vMerge w:val="continue"/>
            <w:tcBorders>
              <w:top w:val="single" w:color="auto" w:sz="6" w:space="0"/>
              <w:bottom w:val="single" w:color="auto" w:sz="6" w:space="0"/>
            </w:tcBorders>
            <w:shd w:val="clear" w:color="auto" w:fill="auto"/>
            <w:noWrap w:val="0"/>
            <w:vAlign w:val="center"/>
          </w:tcPr>
          <w:p w14:paraId="4CD7A48F">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6CB4BEE7">
            <w:pPr>
              <w:widowControl/>
              <w:ind w:firstLine="800" w:firstLineChars="400"/>
              <w:jc w:val="left"/>
              <w:rPr>
                <w:rFonts w:ascii="宋体" w:hAnsi="宋体" w:cs="宋体"/>
                <w:kern w:val="0"/>
                <w:sz w:val="20"/>
                <w:szCs w:val="20"/>
              </w:rPr>
            </w:pPr>
            <w:r>
              <w:rPr>
                <w:rFonts w:hint="eastAsia" w:ascii="宋体" w:hAnsi="宋体" w:cs="宋体"/>
                <w:kern w:val="0"/>
                <w:sz w:val="20"/>
                <w:szCs w:val="20"/>
              </w:rPr>
              <w:t>2.直接投入费用</w:t>
            </w:r>
          </w:p>
        </w:tc>
        <w:tc>
          <w:tcPr>
            <w:tcW w:w="1081" w:type="dxa"/>
            <w:tcBorders>
              <w:top w:val="single" w:color="auto" w:sz="6" w:space="0"/>
              <w:bottom w:val="single" w:color="auto" w:sz="6" w:space="0"/>
            </w:tcBorders>
            <w:shd w:val="clear" w:color="auto" w:fill="auto"/>
            <w:noWrap/>
            <w:vAlign w:val="center"/>
          </w:tcPr>
          <w:p w14:paraId="35100189">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23168875">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600FC206">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033236A4">
            <w:pPr>
              <w:widowControl/>
              <w:jc w:val="right"/>
              <w:rPr>
                <w:rFonts w:ascii="宋体" w:hAnsi="宋体" w:cs="宋体"/>
                <w:kern w:val="0"/>
                <w:sz w:val="20"/>
                <w:szCs w:val="20"/>
              </w:rPr>
            </w:pPr>
            <w:r>
              <w:rPr>
                <w:rFonts w:hint="eastAsia" w:ascii="宋体" w:hAnsi="宋体" w:cs="宋体"/>
                <w:kern w:val="0"/>
                <w:sz w:val="20"/>
                <w:szCs w:val="20"/>
              </w:rPr>
              <w:t>　</w:t>
            </w:r>
          </w:p>
        </w:tc>
      </w:tr>
      <w:tr w14:paraId="407D5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5B2D1B24">
            <w:pPr>
              <w:widowControl/>
              <w:jc w:val="center"/>
              <w:rPr>
                <w:rFonts w:ascii="宋体" w:hAnsi="宋体" w:cs="宋体"/>
                <w:kern w:val="0"/>
                <w:sz w:val="20"/>
                <w:szCs w:val="20"/>
              </w:rPr>
            </w:pPr>
            <w:r>
              <w:rPr>
                <w:rFonts w:hint="eastAsia" w:ascii="宋体" w:hAnsi="宋体" w:cs="宋体"/>
                <w:kern w:val="0"/>
                <w:sz w:val="20"/>
                <w:szCs w:val="20"/>
              </w:rPr>
              <w:t>19</w:t>
            </w:r>
          </w:p>
        </w:tc>
        <w:tc>
          <w:tcPr>
            <w:tcW w:w="628" w:type="dxa"/>
            <w:vMerge w:val="continue"/>
            <w:tcBorders>
              <w:top w:val="single" w:color="auto" w:sz="6" w:space="0"/>
              <w:bottom w:val="single" w:color="auto" w:sz="6" w:space="0"/>
            </w:tcBorders>
            <w:shd w:val="clear" w:color="auto" w:fill="auto"/>
            <w:noWrap w:val="0"/>
            <w:vAlign w:val="center"/>
          </w:tcPr>
          <w:p w14:paraId="4C7CC9E6">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56D7429B">
            <w:pPr>
              <w:widowControl/>
              <w:ind w:firstLine="800" w:firstLineChars="400"/>
              <w:jc w:val="left"/>
              <w:rPr>
                <w:rFonts w:ascii="宋体" w:hAnsi="宋体" w:cs="宋体"/>
                <w:kern w:val="0"/>
                <w:sz w:val="20"/>
                <w:szCs w:val="20"/>
              </w:rPr>
            </w:pPr>
            <w:r>
              <w:rPr>
                <w:rFonts w:hint="eastAsia" w:ascii="宋体" w:hAnsi="宋体" w:cs="宋体"/>
                <w:kern w:val="0"/>
                <w:sz w:val="20"/>
                <w:szCs w:val="20"/>
              </w:rPr>
              <w:t>3.折旧费用与长期待摊费用</w:t>
            </w:r>
          </w:p>
        </w:tc>
        <w:tc>
          <w:tcPr>
            <w:tcW w:w="1081" w:type="dxa"/>
            <w:tcBorders>
              <w:top w:val="single" w:color="auto" w:sz="6" w:space="0"/>
              <w:bottom w:val="single" w:color="auto" w:sz="6" w:space="0"/>
            </w:tcBorders>
            <w:shd w:val="clear" w:color="auto" w:fill="auto"/>
            <w:noWrap/>
            <w:vAlign w:val="center"/>
          </w:tcPr>
          <w:p w14:paraId="6CEEBF76">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1B85705B">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4FFC5590">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11B1C7AE">
            <w:pPr>
              <w:widowControl/>
              <w:jc w:val="right"/>
              <w:rPr>
                <w:rFonts w:ascii="宋体" w:hAnsi="宋体" w:cs="宋体"/>
                <w:kern w:val="0"/>
                <w:sz w:val="20"/>
                <w:szCs w:val="20"/>
              </w:rPr>
            </w:pPr>
            <w:r>
              <w:rPr>
                <w:rFonts w:hint="eastAsia" w:ascii="宋体" w:hAnsi="宋体" w:cs="宋体"/>
                <w:kern w:val="0"/>
                <w:sz w:val="20"/>
                <w:szCs w:val="20"/>
              </w:rPr>
              <w:t>　</w:t>
            </w:r>
          </w:p>
        </w:tc>
      </w:tr>
      <w:tr w14:paraId="7A141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50F8C092">
            <w:pPr>
              <w:widowControl/>
              <w:jc w:val="center"/>
              <w:rPr>
                <w:rFonts w:ascii="宋体" w:hAnsi="宋体" w:cs="宋体"/>
                <w:kern w:val="0"/>
                <w:sz w:val="20"/>
                <w:szCs w:val="20"/>
              </w:rPr>
            </w:pPr>
            <w:r>
              <w:rPr>
                <w:rFonts w:hint="eastAsia" w:ascii="宋体" w:hAnsi="宋体" w:cs="宋体"/>
                <w:kern w:val="0"/>
                <w:sz w:val="20"/>
                <w:szCs w:val="20"/>
              </w:rPr>
              <w:t>20</w:t>
            </w:r>
          </w:p>
        </w:tc>
        <w:tc>
          <w:tcPr>
            <w:tcW w:w="628" w:type="dxa"/>
            <w:vMerge w:val="continue"/>
            <w:tcBorders>
              <w:top w:val="single" w:color="auto" w:sz="6" w:space="0"/>
              <w:bottom w:val="single" w:color="auto" w:sz="6" w:space="0"/>
            </w:tcBorders>
            <w:shd w:val="clear" w:color="auto" w:fill="auto"/>
            <w:noWrap w:val="0"/>
            <w:vAlign w:val="center"/>
          </w:tcPr>
          <w:p w14:paraId="71A5BC4D">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3ADDBA71">
            <w:pPr>
              <w:widowControl/>
              <w:ind w:firstLine="800" w:firstLineChars="400"/>
              <w:jc w:val="left"/>
              <w:rPr>
                <w:rFonts w:ascii="宋体" w:hAnsi="宋体" w:cs="宋体"/>
                <w:kern w:val="0"/>
                <w:sz w:val="20"/>
                <w:szCs w:val="20"/>
              </w:rPr>
            </w:pPr>
            <w:r>
              <w:rPr>
                <w:rFonts w:hint="eastAsia" w:ascii="宋体" w:hAnsi="宋体" w:cs="宋体"/>
                <w:kern w:val="0"/>
                <w:sz w:val="20"/>
                <w:szCs w:val="20"/>
              </w:rPr>
              <w:t>4.无形资产摊销费用</w:t>
            </w:r>
          </w:p>
        </w:tc>
        <w:tc>
          <w:tcPr>
            <w:tcW w:w="1081" w:type="dxa"/>
            <w:tcBorders>
              <w:top w:val="single" w:color="auto" w:sz="6" w:space="0"/>
              <w:bottom w:val="single" w:color="auto" w:sz="6" w:space="0"/>
            </w:tcBorders>
            <w:shd w:val="clear" w:color="auto" w:fill="auto"/>
            <w:noWrap/>
            <w:vAlign w:val="center"/>
          </w:tcPr>
          <w:p w14:paraId="724DE926">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20C576C2">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43CCF7AE">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4DC33D5D">
            <w:pPr>
              <w:widowControl/>
              <w:jc w:val="right"/>
              <w:rPr>
                <w:rFonts w:ascii="宋体" w:hAnsi="宋体" w:cs="宋体"/>
                <w:kern w:val="0"/>
                <w:sz w:val="20"/>
                <w:szCs w:val="20"/>
              </w:rPr>
            </w:pPr>
            <w:r>
              <w:rPr>
                <w:rFonts w:hint="eastAsia" w:ascii="宋体" w:hAnsi="宋体" w:cs="宋体"/>
                <w:kern w:val="0"/>
                <w:sz w:val="20"/>
                <w:szCs w:val="20"/>
              </w:rPr>
              <w:t>　</w:t>
            </w:r>
          </w:p>
        </w:tc>
      </w:tr>
      <w:tr w14:paraId="20B1B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67F31B39">
            <w:pPr>
              <w:widowControl/>
              <w:jc w:val="center"/>
              <w:rPr>
                <w:rFonts w:ascii="宋体" w:hAnsi="宋体" w:cs="宋体"/>
                <w:kern w:val="0"/>
                <w:sz w:val="20"/>
                <w:szCs w:val="20"/>
              </w:rPr>
            </w:pPr>
            <w:r>
              <w:rPr>
                <w:rFonts w:hint="eastAsia" w:ascii="宋体" w:hAnsi="宋体" w:cs="宋体"/>
                <w:kern w:val="0"/>
                <w:sz w:val="20"/>
                <w:szCs w:val="20"/>
              </w:rPr>
              <w:t>21</w:t>
            </w:r>
          </w:p>
        </w:tc>
        <w:tc>
          <w:tcPr>
            <w:tcW w:w="628" w:type="dxa"/>
            <w:vMerge w:val="continue"/>
            <w:tcBorders>
              <w:top w:val="single" w:color="auto" w:sz="6" w:space="0"/>
              <w:bottom w:val="single" w:color="auto" w:sz="6" w:space="0"/>
            </w:tcBorders>
            <w:shd w:val="clear" w:color="auto" w:fill="auto"/>
            <w:noWrap w:val="0"/>
            <w:vAlign w:val="center"/>
          </w:tcPr>
          <w:p w14:paraId="11DDEAE3">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3F2AEE0C">
            <w:pPr>
              <w:widowControl/>
              <w:ind w:firstLine="800" w:firstLineChars="400"/>
              <w:jc w:val="left"/>
              <w:rPr>
                <w:rFonts w:ascii="宋体" w:hAnsi="宋体" w:cs="宋体"/>
                <w:kern w:val="0"/>
                <w:sz w:val="20"/>
                <w:szCs w:val="20"/>
              </w:rPr>
            </w:pPr>
            <w:r>
              <w:rPr>
                <w:rFonts w:hint="eastAsia" w:ascii="宋体" w:hAnsi="宋体" w:cs="宋体"/>
                <w:kern w:val="0"/>
                <w:sz w:val="20"/>
                <w:szCs w:val="20"/>
              </w:rPr>
              <w:t>5.设计费用</w:t>
            </w:r>
          </w:p>
        </w:tc>
        <w:tc>
          <w:tcPr>
            <w:tcW w:w="1081" w:type="dxa"/>
            <w:tcBorders>
              <w:top w:val="single" w:color="auto" w:sz="6" w:space="0"/>
              <w:bottom w:val="single" w:color="auto" w:sz="6" w:space="0"/>
            </w:tcBorders>
            <w:shd w:val="clear" w:color="auto" w:fill="auto"/>
            <w:noWrap/>
            <w:vAlign w:val="center"/>
          </w:tcPr>
          <w:p w14:paraId="7F882C99">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3779384C">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08752E5E">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1F1F10F5">
            <w:pPr>
              <w:widowControl/>
              <w:jc w:val="right"/>
              <w:rPr>
                <w:rFonts w:ascii="宋体" w:hAnsi="宋体" w:cs="宋体"/>
                <w:kern w:val="0"/>
                <w:sz w:val="20"/>
                <w:szCs w:val="20"/>
              </w:rPr>
            </w:pPr>
            <w:r>
              <w:rPr>
                <w:rFonts w:hint="eastAsia" w:ascii="宋体" w:hAnsi="宋体" w:cs="宋体"/>
                <w:kern w:val="0"/>
                <w:sz w:val="20"/>
                <w:szCs w:val="20"/>
              </w:rPr>
              <w:t>　</w:t>
            </w:r>
          </w:p>
        </w:tc>
      </w:tr>
      <w:tr w14:paraId="2EE7A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54C929AB">
            <w:pPr>
              <w:widowControl/>
              <w:jc w:val="center"/>
              <w:rPr>
                <w:rFonts w:ascii="宋体" w:hAnsi="宋体" w:cs="宋体"/>
                <w:kern w:val="0"/>
                <w:sz w:val="20"/>
                <w:szCs w:val="20"/>
              </w:rPr>
            </w:pPr>
            <w:r>
              <w:rPr>
                <w:rFonts w:hint="eastAsia" w:ascii="宋体" w:hAnsi="宋体" w:cs="宋体"/>
                <w:kern w:val="0"/>
                <w:sz w:val="20"/>
                <w:szCs w:val="20"/>
              </w:rPr>
              <w:t>22</w:t>
            </w:r>
          </w:p>
        </w:tc>
        <w:tc>
          <w:tcPr>
            <w:tcW w:w="628" w:type="dxa"/>
            <w:vMerge w:val="continue"/>
            <w:tcBorders>
              <w:top w:val="single" w:color="auto" w:sz="6" w:space="0"/>
              <w:bottom w:val="single" w:color="auto" w:sz="6" w:space="0"/>
            </w:tcBorders>
            <w:shd w:val="clear" w:color="auto" w:fill="auto"/>
            <w:noWrap w:val="0"/>
            <w:vAlign w:val="center"/>
          </w:tcPr>
          <w:p w14:paraId="3856ACAE">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7471BBF9">
            <w:pPr>
              <w:widowControl/>
              <w:ind w:firstLine="800" w:firstLineChars="400"/>
              <w:jc w:val="left"/>
              <w:rPr>
                <w:rFonts w:ascii="宋体" w:hAnsi="宋体" w:cs="宋体"/>
                <w:kern w:val="0"/>
                <w:sz w:val="20"/>
                <w:szCs w:val="20"/>
              </w:rPr>
            </w:pPr>
            <w:r>
              <w:rPr>
                <w:rFonts w:hint="eastAsia" w:ascii="宋体" w:hAnsi="宋体" w:cs="宋体"/>
                <w:kern w:val="0"/>
                <w:sz w:val="20"/>
                <w:szCs w:val="20"/>
              </w:rPr>
              <w:t>6.装备调试费与实验费用</w:t>
            </w:r>
          </w:p>
        </w:tc>
        <w:tc>
          <w:tcPr>
            <w:tcW w:w="1081" w:type="dxa"/>
            <w:tcBorders>
              <w:top w:val="single" w:color="auto" w:sz="6" w:space="0"/>
              <w:bottom w:val="single" w:color="auto" w:sz="6" w:space="0"/>
            </w:tcBorders>
            <w:shd w:val="clear" w:color="auto" w:fill="auto"/>
            <w:noWrap/>
            <w:vAlign w:val="center"/>
          </w:tcPr>
          <w:p w14:paraId="480C579D">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784C1720">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03AA2C22">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79A9A0D8">
            <w:pPr>
              <w:widowControl/>
              <w:jc w:val="right"/>
              <w:rPr>
                <w:rFonts w:ascii="宋体" w:hAnsi="宋体" w:cs="宋体"/>
                <w:kern w:val="0"/>
                <w:sz w:val="20"/>
                <w:szCs w:val="20"/>
              </w:rPr>
            </w:pPr>
            <w:r>
              <w:rPr>
                <w:rFonts w:hint="eastAsia" w:ascii="宋体" w:hAnsi="宋体" w:cs="宋体"/>
                <w:kern w:val="0"/>
                <w:sz w:val="20"/>
                <w:szCs w:val="20"/>
              </w:rPr>
              <w:t>　</w:t>
            </w:r>
          </w:p>
        </w:tc>
      </w:tr>
      <w:tr w14:paraId="73341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2C23BDD0">
            <w:pPr>
              <w:widowControl/>
              <w:jc w:val="center"/>
              <w:rPr>
                <w:rFonts w:ascii="宋体" w:hAnsi="宋体" w:cs="宋体"/>
                <w:kern w:val="0"/>
                <w:sz w:val="20"/>
                <w:szCs w:val="20"/>
              </w:rPr>
            </w:pPr>
            <w:r>
              <w:rPr>
                <w:rFonts w:hint="eastAsia" w:ascii="宋体" w:hAnsi="宋体" w:cs="宋体"/>
                <w:kern w:val="0"/>
                <w:sz w:val="20"/>
                <w:szCs w:val="20"/>
              </w:rPr>
              <w:t>23</w:t>
            </w:r>
          </w:p>
        </w:tc>
        <w:tc>
          <w:tcPr>
            <w:tcW w:w="628" w:type="dxa"/>
            <w:vMerge w:val="continue"/>
            <w:tcBorders>
              <w:top w:val="single" w:color="auto" w:sz="6" w:space="0"/>
              <w:bottom w:val="single" w:color="auto" w:sz="6" w:space="0"/>
            </w:tcBorders>
            <w:shd w:val="clear" w:color="auto" w:fill="auto"/>
            <w:noWrap w:val="0"/>
            <w:vAlign w:val="center"/>
          </w:tcPr>
          <w:p w14:paraId="14288C79">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2101A4A5">
            <w:pPr>
              <w:widowControl/>
              <w:ind w:firstLine="800" w:firstLineChars="400"/>
              <w:jc w:val="left"/>
              <w:rPr>
                <w:rFonts w:ascii="宋体" w:hAnsi="宋体" w:cs="宋体"/>
                <w:kern w:val="0"/>
                <w:sz w:val="20"/>
                <w:szCs w:val="20"/>
              </w:rPr>
            </w:pPr>
            <w:r>
              <w:rPr>
                <w:rFonts w:hint="eastAsia" w:ascii="宋体" w:hAnsi="宋体" w:cs="宋体"/>
                <w:kern w:val="0"/>
                <w:sz w:val="20"/>
                <w:szCs w:val="20"/>
              </w:rPr>
              <w:t>7.其他费用</w:t>
            </w:r>
          </w:p>
        </w:tc>
        <w:tc>
          <w:tcPr>
            <w:tcW w:w="1081" w:type="dxa"/>
            <w:tcBorders>
              <w:top w:val="single" w:color="auto" w:sz="6" w:space="0"/>
              <w:bottom w:val="single" w:color="auto" w:sz="6" w:space="0"/>
            </w:tcBorders>
            <w:shd w:val="clear" w:color="auto" w:fill="auto"/>
            <w:noWrap/>
            <w:vAlign w:val="center"/>
          </w:tcPr>
          <w:p w14:paraId="32216848">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3FA9E791">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6919858D">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5F0DC5E9">
            <w:pPr>
              <w:widowControl/>
              <w:jc w:val="right"/>
              <w:rPr>
                <w:rFonts w:ascii="宋体" w:hAnsi="宋体" w:cs="宋体"/>
                <w:kern w:val="0"/>
                <w:sz w:val="20"/>
                <w:szCs w:val="20"/>
              </w:rPr>
            </w:pPr>
            <w:r>
              <w:rPr>
                <w:rFonts w:hint="eastAsia" w:ascii="宋体" w:hAnsi="宋体" w:cs="宋体"/>
                <w:kern w:val="0"/>
                <w:sz w:val="20"/>
                <w:szCs w:val="20"/>
              </w:rPr>
              <w:t>　</w:t>
            </w:r>
          </w:p>
        </w:tc>
      </w:tr>
      <w:tr w14:paraId="753D8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10A48873">
            <w:pPr>
              <w:widowControl/>
              <w:jc w:val="center"/>
              <w:rPr>
                <w:rFonts w:ascii="宋体" w:hAnsi="宋体" w:cs="宋体"/>
                <w:kern w:val="0"/>
                <w:sz w:val="20"/>
                <w:szCs w:val="20"/>
              </w:rPr>
            </w:pPr>
            <w:r>
              <w:rPr>
                <w:rFonts w:hint="eastAsia" w:ascii="宋体" w:hAnsi="宋体" w:cs="宋体"/>
                <w:kern w:val="0"/>
                <w:sz w:val="20"/>
                <w:szCs w:val="20"/>
              </w:rPr>
              <w:t>24</w:t>
            </w:r>
          </w:p>
        </w:tc>
        <w:tc>
          <w:tcPr>
            <w:tcW w:w="628" w:type="dxa"/>
            <w:vMerge w:val="continue"/>
            <w:tcBorders>
              <w:top w:val="single" w:color="auto" w:sz="6" w:space="0"/>
              <w:bottom w:val="single" w:color="auto" w:sz="6" w:space="0"/>
            </w:tcBorders>
            <w:shd w:val="clear" w:color="auto" w:fill="auto"/>
            <w:noWrap w:val="0"/>
            <w:vAlign w:val="center"/>
          </w:tcPr>
          <w:p w14:paraId="5AEE466C">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160340AE">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其中：可计入研发费用的其他费用</w:t>
            </w:r>
          </w:p>
        </w:tc>
        <w:tc>
          <w:tcPr>
            <w:tcW w:w="1081" w:type="dxa"/>
            <w:tcBorders>
              <w:top w:val="single" w:color="auto" w:sz="6" w:space="0"/>
              <w:bottom w:val="single" w:color="auto" w:sz="6" w:space="0"/>
            </w:tcBorders>
            <w:shd w:val="clear" w:color="auto" w:fill="auto"/>
            <w:noWrap/>
            <w:vAlign w:val="center"/>
          </w:tcPr>
          <w:p w14:paraId="7D9C807A">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2233F7C5">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7D0FDB92">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03235DA9">
            <w:pPr>
              <w:widowControl/>
              <w:jc w:val="right"/>
              <w:rPr>
                <w:rFonts w:ascii="宋体" w:hAnsi="宋体" w:cs="宋体"/>
                <w:kern w:val="0"/>
                <w:sz w:val="20"/>
                <w:szCs w:val="20"/>
              </w:rPr>
            </w:pPr>
            <w:r>
              <w:rPr>
                <w:rFonts w:hint="eastAsia" w:ascii="宋体" w:hAnsi="宋体" w:cs="宋体"/>
                <w:kern w:val="0"/>
                <w:sz w:val="20"/>
                <w:szCs w:val="20"/>
              </w:rPr>
              <w:t>　</w:t>
            </w:r>
          </w:p>
        </w:tc>
      </w:tr>
      <w:tr w14:paraId="1CD90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4B016200">
            <w:pPr>
              <w:widowControl/>
              <w:jc w:val="center"/>
              <w:rPr>
                <w:rFonts w:ascii="宋体" w:hAnsi="宋体" w:cs="宋体"/>
                <w:kern w:val="0"/>
                <w:sz w:val="20"/>
                <w:szCs w:val="20"/>
              </w:rPr>
            </w:pPr>
            <w:r>
              <w:rPr>
                <w:rFonts w:hint="eastAsia" w:ascii="宋体" w:hAnsi="宋体" w:cs="宋体"/>
                <w:kern w:val="0"/>
                <w:sz w:val="20"/>
                <w:szCs w:val="20"/>
              </w:rPr>
              <w:t>25</w:t>
            </w:r>
          </w:p>
        </w:tc>
        <w:tc>
          <w:tcPr>
            <w:tcW w:w="628" w:type="dxa"/>
            <w:vMerge w:val="continue"/>
            <w:tcBorders>
              <w:top w:val="single" w:color="auto" w:sz="6" w:space="0"/>
              <w:bottom w:val="single" w:color="auto" w:sz="6" w:space="0"/>
            </w:tcBorders>
            <w:shd w:val="clear" w:color="auto" w:fill="auto"/>
            <w:noWrap w:val="0"/>
            <w:vAlign w:val="center"/>
          </w:tcPr>
          <w:p w14:paraId="197EDCA2">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4672605B">
            <w:pPr>
              <w:widowControl/>
              <w:ind w:firstLine="400" w:firstLineChars="200"/>
              <w:jc w:val="left"/>
              <w:rPr>
                <w:rFonts w:ascii="宋体" w:hAnsi="宋体" w:cs="宋体"/>
                <w:kern w:val="0"/>
                <w:sz w:val="20"/>
                <w:szCs w:val="20"/>
              </w:rPr>
            </w:pPr>
            <w:r>
              <w:rPr>
                <w:rFonts w:hint="eastAsia" w:ascii="宋体" w:hAnsi="宋体" w:cs="宋体"/>
                <w:kern w:val="0"/>
                <w:sz w:val="20"/>
                <w:szCs w:val="20"/>
              </w:rPr>
              <w:t>（二）委托外部研发费用[(26+28)×80%]</w:t>
            </w:r>
          </w:p>
        </w:tc>
        <w:tc>
          <w:tcPr>
            <w:tcW w:w="1081" w:type="dxa"/>
            <w:tcBorders>
              <w:top w:val="single" w:color="auto" w:sz="6" w:space="0"/>
              <w:bottom w:val="single" w:color="auto" w:sz="6" w:space="0"/>
            </w:tcBorders>
            <w:shd w:val="clear" w:color="auto" w:fill="auto"/>
            <w:noWrap/>
            <w:vAlign w:val="center"/>
          </w:tcPr>
          <w:p w14:paraId="5C24550C">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55EDB85C">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538D1B3B">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1E6DFDEA">
            <w:pPr>
              <w:widowControl/>
              <w:jc w:val="right"/>
              <w:rPr>
                <w:rFonts w:ascii="宋体" w:hAnsi="宋体" w:cs="宋体"/>
                <w:kern w:val="0"/>
                <w:sz w:val="20"/>
                <w:szCs w:val="20"/>
              </w:rPr>
            </w:pPr>
            <w:r>
              <w:rPr>
                <w:rFonts w:hint="eastAsia" w:ascii="宋体" w:hAnsi="宋体" w:cs="宋体"/>
                <w:kern w:val="0"/>
                <w:sz w:val="20"/>
                <w:szCs w:val="20"/>
              </w:rPr>
              <w:t>　</w:t>
            </w:r>
          </w:p>
        </w:tc>
      </w:tr>
      <w:tr w14:paraId="312D4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369CC70A">
            <w:pPr>
              <w:widowControl/>
              <w:jc w:val="center"/>
              <w:rPr>
                <w:rFonts w:ascii="宋体" w:hAnsi="宋体" w:cs="宋体"/>
                <w:kern w:val="0"/>
                <w:sz w:val="20"/>
                <w:szCs w:val="20"/>
              </w:rPr>
            </w:pPr>
            <w:r>
              <w:rPr>
                <w:rFonts w:hint="eastAsia" w:ascii="宋体" w:hAnsi="宋体" w:cs="宋体"/>
                <w:kern w:val="0"/>
                <w:sz w:val="20"/>
                <w:szCs w:val="20"/>
              </w:rPr>
              <w:t>26</w:t>
            </w:r>
          </w:p>
        </w:tc>
        <w:tc>
          <w:tcPr>
            <w:tcW w:w="628" w:type="dxa"/>
            <w:vMerge w:val="continue"/>
            <w:tcBorders>
              <w:top w:val="single" w:color="auto" w:sz="6" w:space="0"/>
              <w:bottom w:val="single" w:color="auto" w:sz="6" w:space="0"/>
            </w:tcBorders>
            <w:shd w:val="clear" w:color="auto" w:fill="auto"/>
            <w:noWrap w:val="0"/>
            <w:vAlign w:val="center"/>
          </w:tcPr>
          <w:p w14:paraId="16A44E90">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6DAE3A34">
            <w:pPr>
              <w:widowControl/>
              <w:ind w:firstLine="800" w:firstLineChars="400"/>
              <w:jc w:val="left"/>
              <w:rPr>
                <w:rFonts w:ascii="宋体" w:hAnsi="宋体" w:cs="宋体"/>
                <w:kern w:val="0"/>
                <w:sz w:val="20"/>
                <w:szCs w:val="20"/>
              </w:rPr>
            </w:pPr>
            <w:r>
              <w:rPr>
                <w:rFonts w:hint="eastAsia" w:ascii="宋体" w:hAnsi="宋体" w:cs="宋体"/>
                <w:kern w:val="0"/>
                <w:sz w:val="20"/>
                <w:szCs w:val="20"/>
              </w:rPr>
              <w:t>1.境内的外部研发费</w:t>
            </w:r>
          </w:p>
        </w:tc>
        <w:tc>
          <w:tcPr>
            <w:tcW w:w="1081" w:type="dxa"/>
            <w:tcBorders>
              <w:top w:val="single" w:color="auto" w:sz="6" w:space="0"/>
              <w:bottom w:val="single" w:color="auto" w:sz="6" w:space="0"/>
            </w:tcBorders>
            <w:shd w:val="clear" w:color="auto" w:fill="auto"/>
            <w:noWrap/>
            <w:vAlign w:val="center"/>
          </w:tcPr>
          <w:p w14:paraId="4A537248">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6E369600">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45FED225">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0A1D1DBC">
            <w:pPr>
              <w:widowControl/>
              <w:jc w:val="right"/>
              <w:rPr>
                <w:rFonts w:ascii="宋体" w:hAnsi="宋体" w:cs="宋体"/>
                <w:kern w:val="0"/>
                <w:sz w:val="20"/>
                <w:szCs w:val="20"/>
              </w:rPr>
            </w:pPr>
            <w:r>
              <w:rPr>
                <w:rFonts w:hint="eastAsia" w:ascii="宋体" w:hAnsi="宋体" w:cs="宋体"/>
                <w:kern w:val="0"/>
                <w:sz w:val="20"/>
                <w:szCs w:val="20"/>
              </w:rPr>
              <w:t>　</w:t>
            </w:r>
          </w:p>
        </w:tc>
      </w:tr>
      <w:tr w14:paraId="3F4BB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0F52A2A8">
            <w:pPr>
              <w:widowControl/>
              <w:jc w:val="center"/>
              <w:rPr>
                <w:rFonts w:ascii="宋体" w:hAnsi="宋体" w:cs="宋体"/>
                <w:kern w:val="0"/>
                <w:sz w:val="20"/>
                <w:szCs w:val="20"/>
              </w:rPr>
            </w:pPr>
            <w:r>
              <w:rPr>
                <w:rFonts w:hint="eastAsia" w:ascii="宋体" w:hAnsi="宋体" w:cs="宋体"/>
                <w:kern w:val="0"/>
                <w:sz w:val="20"/>
                <w:szCs w:val="20"/>
              </w:rPr>
              <w:t>27</w:t>
            </w:r>
          </w:p>
        </w:tc>
        <w:tc>
          <w:tcPr>
            <w:tcW w:w="628" w:type="dxa"/>
            <w:vMerge w:val="continue"/>
            <w:tcBorders>
              <w:top w:val="single" w:color="auto" w:sz="6" w:space="0"/>
              <w:bottom w:val="single" w:color="auto" w:sz="6" w:space="0"/>
            </w:tcBorders>
            <w:shd w:val="clear" w:color="auto" w:fill="auto"/>
            <w:noWrap w:val="0"/>
            <w:vAlign w:val="center"/>
          </w:tcPr>
          <w:p w14:paraId="2608085D">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115967CF">
            <w:pPr>
              <w:widowControl/>
              <w:ind w:firstLine="800" w:firstLineChars="400"/>
              <w:jc w:val="left"/>
              <w:rPr>
                <w:rFonts w:ascii="宋体" w:hAnsi="宋体" w:cs="宋体"/>
                <w:kern w:val="0"/>
                <w:sz w:val="20"/>
                <w:szCs w:val="20"/>
              </w:rPr>
            </w:pPr>
            <w:r>
              <w:rPr>
                <w:rFonts w:hint="eastAsia" w:ascii="宋体" w:hAnsi="宋体" w:cs="宋体"/>
                <w:kern w:val="0"/>
                <w:sz w:val="20"/>
                <w:szCs w:val="20"/>
              </w:rPr>
              <w:t>2.境外的外部研发费</w:t>
            </w:r>
          </w:p>
        </w:tc>
        <w:tc>
          <w:tcPr>
            <w:tcW w:w="1081" w:type="dxa"/>
            <w:tcBorders>
              <w:top w:val="single" w:color="auto" w:sz="6" w:space="0"/>
              <w:bottom w:val="single" w:color="auto" w:sz="6" w:space="0"/>
            </w:tcBorders>
            <w:shd w:val="clear" w:color="auto" w:fill="auto"/>
            <w:noWrap/>
            <w:vAlign w:val="center"/>
          </w:tcPr>
          <w:p w14:paraId="0113C252">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2025B23C">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5DB29755">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5F72CA75">
            <w:pPr>
              <w:widowControl/>
              <w:jc w:val="right"/>
              <w:rPr>
                <w:rFonts w:ascii="宋体" w:hAnsi="宋体" w:cs="宋体"/>
                <w:kern w:val="0"/>
                <w:sz w:val="20"/>
                <w:szCs w:val="20"/>
              </w:rPr>
            </w:pPr>
            <w:r>
              <w:rPr>
                <w:rFonts w:hint="eastAsia" w:ascii="宋体" w:hAnsi="宋体" w:cs="宋体"/>
                <w:kern w:val="0"/>
                <w:sz w:val="20"/>
                <w:szCs w:val="20"/>
              </w:rPr>
              <w:t>　</w:t>
            </w:r>
          </w:p>
        </w:tc>
      </w:tr>
      <w:tr w14:paraId="2DEDE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6F55CD2C">
            <w:pPr>
              <w:widowControl/>
              <w:jc w:val="center"/>
              <w:rPr>
                <w:rFonts w:ascii="宋体" w:hAnsi="宋体" w:cs="宋体"/>
                <w:kern w:val="0"/>
                <w:sz w:val="20"/>
                <w:szCs w:val="20"/>
              </w:rPr>
            </w:pPr>
            <w:r>
              <w:rPr>
                <w:rFonts w:hint="eastAsia" w:ascii="宋体" w:hAnsi="宋体" w:cs="宋体"/>
                <w:kern w:val="0"/>
                <w:sz w:val="20"/>
                <w:szCs w:val="20"/>
              </w:rPr>
              <w:t>28</w:t>
            </w:r>
          </w:p>
        </w:tc>
        <w:tc>
          <w:tcPr>
            <w:tcW w:w="628" w:type="dxa"/>
            <w:vMerge w:val="continue"/>
            <w:tcBorders>
              <w:top w:val="single" w:color="auto" w:sz="6" w:space="0"/>
              <w:bottom w:val="single" w:color="auto" w:sz="6" w:space="0"/>
            </w:tcBorders>
            <w:shd w:val="clear" w:color="auto" w:fill="auto"/>
            <w:noWrap w:val="0"/>
            <w:vAlign w:val="center"/>
          </w:tcPr>
          <w:p w14:paraId="037EA086">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0728ABEF">
            <w:pPr>
              <w:widowControl/>
              <w:ind w:left="1050" w:leftChars="500"/>
              <w:jc w:val="left"/>
              <w:rPr>
                <w:rFonts w:ascii="宋体" w:hAnsi="宋体" w:cs="宋体"/>
                <w:kern w:val="0"/>
                <w:sz w:val="20"/>
                <w:szCs w:val="20"/>
              </w:rPr>
            </w:pPr>
            <w:r>
              <w:rPr>
                <w:rFonts w:hint="eastAsia" w:ascii="宋体" w:hAnsi="宋体" w:cs="宋体"/>
                <w:kern w:val="0"/>
                <w:sz w:val="20"/>
                <w:szCs w:val="20"/>
              </w:rPr>
              <w:t>其中：可计入研发费用的境外的外部研发费</w:t>
            </w:r>
          </w:p>
        </w:tc>
        <w:tc>
          <w:tcPr>
            <w:tcW w:w="1081" w:type="dxa"/>
            <w:tcBorders>
              <w:top w:val="single" w:color="auto" w:sz="6" w:space="0"/>
              <w:bottom w:val="single" w:color="auto" w:sz="6" w:space="0"/>
            </w:tcBorders>
            <w:shd w:val="clear" w:color="auto" w:fill="auto"/>
            <w:noWrap/>
            <w:vAlign w:val="center"/>
          </w:tcPr>
          <w:p w14:paraId="309E3420">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1AF2FADC">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5350A670">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45F36344">
            <w:pPr>
              <w:widowControl/>
              <w:jc w:val="right"/>
              <w:rPr>
                <w:rFonts w:ascii="宋体" w:hAnsi="宋体" w:cs="宋体"/>
                <w:kern w:val="0"/>
                <w:sz w:val="20"/>
                <w:szCs w:val="20"/>
              </w:rPr>
            </w:pPr>
            <w:r>
              <w:rPr>
                <w:rFonts w:hint="eastAsia" w:ascii="宋体" w:hAnsi="宋体" w:cs="宋体"/>
                <w:kern w:val="0"/>
                <w:sz w:val="20"/>
                <w:szCs w:val="20"/>
              </w:rPr>
              <w:t>　</w:t>
            </w:r>
          </w:p>
        </w:tc>
      </w:tr>
      <w:tr w14:paraId="2F262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41760BFC">
            <w:pPr>
              <w:widowControl/>
              <w:jc w:val="center"/>
              <w:rPr>
                <w:rFonts w:ascii="宋体" w:hAnsi="宋体" w:cs="宋体"/>
                <w:kern w:val="0"/>
                <w:sz w:val="20"/>
                <w:szCs w:val="20"/>
              </w:rPr>
            </w:pPr>
            <w:r>
              <w:rPr>
                <w:rFonts w:hint="eastAsia" w:ascii="宋体" w:hAnsi="宋体" w:cs="宋体"/>
                <w:kern w:val="0"/>
                <w:sz w:val="20"/>
                <w:szCs w:val="20"/>
              </w:rPr>
              <w:t>29</w:t>
            </w:r>
          </w:p>
        </w:tc>
        <w:tc>
          <w:tcPr>
            <w:tcW w:w="628" w:type="dxa"/>
            <w:vMerge w:val="continue"/>
            <w:tcBorders>
              <w:top w:val="single" w:color="auto" w:sz="6" w:space="0"/>
              <w:bottom w:val="single" w:color="auto" w:sz="6" w:space="0"/>
            </w:tcBorders>
            <w:shd w:val="clear" w:color="auto" w:fill="auto"/>
            <w:noWrap w:val="0"/>
            <w:vAlign w:val="center"/>
          </w:tcPr>
          <w:p w14:paraId="25579362">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noWrap w:val="0"/>
            <w:vAlign w:val="center"/>
          </w:tcPr>
          <w:p w14:paraId="4F07EE31">
            <w:pPr>
              <w:widowControl/>
              <w:jc w:val="left"/>
              <w:rPr>
                <w:rFonts w:ascii="宋体" w:hAnsi="宋体" w:cs="宋体"/>
                <w:kern w:val="0"/>
                <w:sz w:val="20"/>
                <w:szCs w:val="20"/>
              </w:rPr>
            </w:pPr>
            <w:r>
              <w:rPr>
                <w:rFonts w:hint="eastAsia" w:ascii="宋体" w:hAnsi="宋体" w:cs="宋体"/>
                <w:kern w:val="0"/>
                <w:sz w:val="20"/>
                <w:szCs w:val="20"/>
              </w:rPr>
              <w:t>八、销售（营业）收入</w:t>
            </w:r>
          </w:p>
        </w:tc>
        <w:tc>
          <w:tcPr>
            <w:tcW w:w="1081" w:type="dxa"/>
            <w:tcBorders>
              <w:top w:val="single" w:color="auto" w:sz="6" w:space="0"/>
              <w:bottom w:val="single" w:color="auto" w:sz="6" w:space="0"/>
            </w:tcBorders>
            <w:shd w:val="clear" w:color="auto" w:fill="auto"/>
            <w:noWrap/>
            <w:vAlign w:val="center"/>
          </w:tcPr>
          <w:p w14:paraId="4CA35920">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noWrap/>
            <w:vAlign w:val="center"/>
          </w:tcPr>
          <w:p w14:paraId="347FAE3A">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noWrap/>
            <w:vAlign w:val="center"/>
          </w:tcPr>
          <w:p w14:paraId="351EA658">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noWrap/>
            <w:vAlign w:val="center"/>
          </w:tcPr>
          <w:p w14:paraId="651C25C4">
            <w:pPr>
              <w:widowControl/>
              <w:jc w:val="right"/>
              <w:rPr>
                <w:rFonts w:ascii="宋体" w:hAnsi="宋体" w:cs="宋体"/>
                <w:kern w:val="0"/>
                <w:sz w:val="20"/>
                <w:szCs w:val="20"/>
              </w:rPr>
            </w:pPr>
            <w:r>
              <w:rPr>
                <w:rFonts w:hint="eastAsia" w:ascii="宋体" w:hAnsi="宋体" w:cs="宋体"/>
                <w:kern w:val="0"/>
                <w:sz w:val="20"/>
                <w:szCs w:val="20"/>
              </w:rPr>
              <w:t>　</w:t>
            </w:r>
          </w:p>
        </w:tc>
      </w:tr>
      <w:tr w14:paraId="101AD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3C7D1997">
            <w:pPr>
              <w:widowControl/>
              <w:jc w:val="center"/>
              <w:rPr>
                <w:rFonts w:ascii="宋体" w:hAnsi="宋体" w:cs="宋体"/>
                <w:kern w:val="0"/>
                <w:sz w:val="20"/>
                <w:szCs w:val="20"/>
              </w:rPr>
            </w:pPr>
            <w:r>
              <w:rPr>
                <w:rFonts w:hint="eastAsia" w:ascii="宋体" w:hAnsi="宋体" w:cs="宋体"/>
                <w:kern w:val="0"/>
                <w:sz w:val="20"/>
                <w:szCs w:val="20"/>
              </w:rPr>
              <w:t>30</w:t>
            </w:r>
          </w:p>
        </w:tc>
        <w:tc>
          <w:tcPr>
            <w:tcW w:w="628" w:type="dxa"/>
            <w:vMerge w:val="continue"/>
            <w:tcBorders>
              <w:top w:val="single" w:color="auto" w:sz="6" w:space="0"/>
              <w:bottom w:val="single" w:color="auto" w:sz="6" w:space="0"/>
            </w:tcBorders>
            <w:shd w:val="clear" w:color="auto" w:fill="auto"/>
            <w:noWrap w:val="0"/>
            <w:vAlign w:val="center"/>
          </w:tcPr>
          <w:p w14:paraId="285B457D">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noWrap w:val="0"/>
            <w:vAlign w:val="center"/>
          </w:tcPr>
          <w:p w14:paraId="297D6F1E">
            <w:pPr>
              <w:widowControl/>
              <w:jc w:val="left"/>
              <w:rPr>
                <w:rFonts w:ascii="宋体" w:hAnsi="宋体" w:cs="宋体"/>
                <w:kern w:val="0"/>
                <w:sz w:val="20"/>
                <w:szCs w:val="20"/>
              </w:rPr>
            </w:pPr>
            <w:r>
              <w:rPr>
                <w:rFonts w:hint="eastAsia" w:ascii="宋体" w:hAnsi="宋体" w:cs="宋体"/>
                <w:kern w:val="0"/>
                <w:sz w:val="20"/>
                <w:szCs w:val="20"/>
              </w:rPr>
              <w:t>九、三年研发费用占销售（营业）收入的比例（15行4列÷29行4列）</w:t>
            </w:r>
          </w:p>
        </w:tc>
        <w:tc>
          <w:tcPr>
            <w:tcW w:w="1091" w:type="dxa"/>
            <w:tcBorders>
              <w:top w:val="single" w:color="auto" w:sz="6" w:space="0"/>
              <w:bottom w:val="single" w:color="auto" w:sz="6" w:space="0"/>
            </w:tcBorders>
            <w:shd w:val="clear" w:color="auto" w:fill="auto"/>
            <w:noWrap/>
            <w:vAlign w:val="center"/>
          </w:tcPr>
          <w:p w14:paraId="0835BCA0">
            <w:pPr>
              <w:widowControl/>
              <w:jc w:val="right"/>
              <w:rPr>
                <w:rFonts w:ascii="宋体" w:hAnsi="宋体" w:cs="宋体"/>
                <w:kern w:val="0"/>
                <w:sz w:val="20"/>
                <w:szCs w:val="20"/>
              </w:rPr>
            </w:pPr>
            <w:r>
              <w:rPr>
                <w:rFonts w:hint="eastAsia" w:ascii="宋体" w:hAnsi="宋体" w:cs="宋体"/>
                <w:kern w:val="0"/>
                <w:sz w:val="20"/>
                <w:szCs w:val="20"/>
              </w:rPr>
              <w:t>　</w:t>
            </w:r>
          </w:p>
        </w:tc>
      </w:tr>
      <w:tr w14:paraId="6D6D1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noWrap/>
            <w:vAlign w:val="center"/>
          </w:tcPr>
          <w:p w14:paraId="3B6810F2">
            <w:pPr>
              <w:widowControl/>
              <w:jc w:val="center"/>
              <w:rPr>
                <w:rFonts w:ascii="宋体" w:hAnsi="宋体" w:cs="宋体"/>
                <w:kern w:val="0"/>
                <w:sz w:val="20"/>
                <w:szCs w:val="20"/>
              </w:rPr>
            </w:pPr>
            <w:r>
              <w:rPr>
                <w:rFonts w:hint="eastAsia" w:ascii="宋体" w:hAnsi="宋体" w:cs="宋体"/>
                <w:kern w:val="0"/>
                <w:sz w:val="20"/>
                <w:szCs w:val="20"/>
              </w:rPr>
              <w:t>31</w:t>
            </w:r>
          </w:p>
        </w:tc>
        <w:tc>
          <w:tcPr>
            <w:tcW w:w="628" w:type="dxa"/>
            <w:vMerge w:val="restart"/>
            <w:tcBorders>
              <w:top w:val="single" w:color="auto" w:sz="6" w:space="0"/>
              <w:bottom w:val="single" w:color="auto" w:sz="6" w:space="0"/>
            </w:tcBorders>
            <w:shd w:val="clear" w:color="auto" w:fill="auto"/>
            <w:noWrap w:val="0"/>
            <w:vAlign w:val="center"/>
          </w:tcPr>
          <w:p w14:paraId="5444359A">
            <w:pPr>
              <w:widowControl/>
              <w:jc w:val="center"/>
              <w:rPr>
                <w:rFonts w:ascii="宋体" w:hAnsi="宋体" w:cs="宋体"/>
                <w:kern w:val="0"/>
                <w:sz w:val="20"/>
                <w:szCs w:val="20"/>
              </w:rPr>
            </w:pPr>
            <w:r>
              <w:rPr>
                <w:rFonts w:hint="eastAsia" w:ascii="宋体" w:hAnsi="宋体" w:cs="宋体"/>
                <w:kern w:val="0"/>
                <w:sz w:val="20"/>
                <w:szCs w:val="20"/>
              </w:rPr>
              <w:t>减免税额</w:t>
            </w:r>
          </w:p>
        </w:tc>
        <w:tc>
          <w:tcPr>
            <w:tcW w:w="7516" w:type="dxa"/>
            <w:gridSpan w:val="8"/>
            <w:tcBorders>
              <w:top w:val="single" w:color="auto" w:sz="6" w:space="0"/>
              <w:bottom w:val="single" w:color="auto" w:sz="6" w:space="0"/>
            </w:tcBorders>
            <w:shd w:val="clear" w:color="auto" w:fill="auto"/>
            <w:noWrap/>
            <w:vAlign w:val="center"/>
          </w:tcPr>
          <w:p w14:paraId="1BBAA724">
            <w:pPr>
              <w:widowControl/>
              <w:jc w:val="left"/>
              <w:rPr>
                <w:rFonts w:ascii="宋体" w:hAnsi="宋体" w:cs="宋体"/>
                <w:kern w:val="0"/>
                <w:sz w:val="20"/>
                <w:szCs w:val="20"/>
              </w:rPr>
            </w:pPr>
            <w:r>
              <w:rPr>
                <w:rFonts w:hint="eastAsia" w:ascii="宋体" w:hAnsi="宋体" w:cs="宋体"/>
                <w:kern w:val="0"/>
                <w:sz w:val="20"/>
                <w:szCs w:val="20"/>
              </w:rPr>
              <w:t>十、国家需要重点扶持的高新技术企业减征企业所得税</w:t>
            </w:r>
          </w:p>
        </w:tc>
        <w:tc>
          <w:tcPr>
            <w:tcW w:w="1091" w:type="dxa"/>
            <w:tcBorders>
              <w:top w:val="single" w:color="auto" w:sz="6" w:space="0"/>
              <w:bottom w:val="single" w:color="auto" w:sz="6" w:space="0"/>
            </w:tcBorders>
            <w:shd w:val="clear" w:color="auto" w:fill="auto"/>
            <w:noWrap/>
            <w:vAlign w:val="center"/>
          </w:tcPr>
          <w:p w14:paraId="0C832E4E">
            <w:pPr>
              <w:widowControl/>
              <w:jc w:val="right"/>
              <w:rPr>
                <w:rFonts w:ascii="宋体" w:hAnsi="宋体" w:cs="宋体"/>
                <w:kern w:val="0"/>
                <w:sz w:val="20"/>
                <w:szCs w:val="20"/>
              </w:rPr>
            </w:pPr>
            <w:r>
              <w:rPr>
                <w:rFonts w:hint="eastAsia" w:ascii="宋体" w:hAnsi="宋体" w:cs="宋体"/>
                <w:kern w:val="0"/>
                <w:sz w:val="20"/>
                <w:szCs w:val="20"/>
              </w:rPr>
              <w:t>　</w:t>
            </w:r>
          </w:p>
        </w:tc>
      </w:tr>
      <w:tr w14:paraId="70FB8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12" w:space="0"/>
            </w:tcBorders>
            <w:shd w:val="clear" w:color="auto" w:fill="auto"/>
            <w:noWrap/>
            <w:vAlign w:val="center"/>
          </w:tcPr>
          <w:p w14:paraId="25C2FECC">
            <w:pPr>
              <w:widowControl/>
              <w:jc w:val="center"/>
              <w:rPr>
                <w:rFonts w:ascii="宋体" w:hAnsi="宋体" w:cs="宋体"/>
                <w:kern w:val="0"/>
                <w:sz w:val="20"/>
                <w:szCs w:val="20"/>
              </w:rPr>
            </w:pPr>
            <w:r>
              <w:rPr>
                <w:rFonts w:hint="eastAsia" w:ascii="宋体" w:hAnsi="宋体" w:cs="宋体"/>
                <w:kern w:val="0"/>
                <w:sz w:val="20"/>
                <w:szCs w:val="20"/>
              </w:rPr>
              <w:t>32</w:t>
            </w:r>
          </w:p>
        </w:tc>
        <w:tc>
          <w:tcPr>
            <w:tcW w:w="628" w:type="dxa"/>
            <w:vMerge w:val="continue"/>
            <w:tcBorders>
              <w:top w:val="single" w:color="auto" w:sz="6" w:space="0"/>
              <w:bottom w:val="single" w:color="auto" w:sz="12" w:space="0"/>
            </w:tcBorders>
            <w:shd w:val="clear" w:color="auto" w:fill="auto"/>
            <w:noWrap w:val="0"/>
            <w:vAlign w:val="center"/>
          </w:tcPr>
          <w:p w14:paraId="08A678A3">
            <w:pPr>
              <w:widowControl/>
              <w:jc w:val="left"/>
              <w:rPr>
                <w:rFonts w:ascii="宋体" w:hAnsi="宋体" w:cs="宋体"/>
                <w:kern w:val="0"/>
                <w:sz w:val="20"/>
                <w:szCs w:val="20"/>
              </w:rPr>
            </w:pPr>
          </w:p>
        </w:tc>
        <w:tc>
          <w:tcPr>
            <w:tcW w:w="7516" w:type="dxa"/>
            <w:gridSpan w:val="8"/>
            <w:tcBorders>
              <w:top w:val="single" w:color="auto" w:sz="6" w:space="0"/>
              <w:bottom w:val="single" w:color="auto" w:sz="12" w:space="0"/>
            </w:tcBorders>
            <w:shd w:val="clear" w:color="auto" w:fill="auto"/>
            <w:noWrap w:val="0"/>
            <w:vAlign w:val="center"/>
          </w:tcPr>
          <w:p w14:paraId="70DE0314">
            <w:pPr>
              <w:widowControl/>
              <w:jc w:val="left"/>
              <w:rPr>
                <w:rFonts w:ascii="宋体" w:hAnsi="宋体" w:cs="宋体"/>
                <w:kern w:val="0"/>
                <w:sz w:val="20"/>
                <w:szCs w:val="20"/>
              </w:rPr>
            </w:pPr>
            <w:r>
              <w:rPr>
                <w:rFonts w:hint="eastAsia" w:ascii="宋体" w:hAnsi="宋体" w:cs="宋体"/>
                <w:kern w:val="0"/>
                <w:sz w:val="20"/>
                <w:szCs w:val="20"/>
              </w:rPr>
              <w:t>十一、经济特区和上海浦东新区新设立的高新技术企业定期减免税额</w:t>
            </w:r>
          </w:p>
        </w:tc>
        <w:tc>
          <w:tcPr>
            <w:tcW w:w="1091" w:type="dxa"/>
            <w:tcBorders>
              <w:top w:val="single" w:color="auto" w:sz="6" w:space="0"/>
              <w:bottom w:val="single" w:color="auto" w:sz="12" w:space="0"/>
            </w:tcBorders>
            <w:shd w:val="clear" w:color="auto" w:fill="auto"/>
            <w:noWrap/>
            <w:vAlign w:val="center"/>
          </w:tcPr>
          <w:p w14:paraId="0158E8EC">
            <w:pPr>
              <w:widowControl/>
              <w:jc w:val="right"/>
              <w:rPr>
                <w:rFonts w:ascii="宋体" w:hAnsi="宋体" w:cs="宋体"/>
                <w:kern w:val="0"/>
                <w:sz w:val="20"/>
                <w:szCs w:val="20"/>
              </w:rPr>
            </w:pPr>
          </w:p>
        </w:tc>
      </w:tr>
    </w:tbl>
    <w:p w14:paraId="6B5C1467">
      <w:pPr>
        <w:pStyle w:val="9"/>
        <w:ind w:firstLine="40"/>
        <w:rPr>
          <w:sz w:val="2"/>
        </w:rPr>
      </w:pPr>
    </w:p>
    <w:p w14:paraId="52473466">
      <w:pPr>
        <w:tabs>
          <w:tab w:val="left" w:pos="2625"/>
        </w:tabs>
        <w:sectPr>
          <w:pgSz w:w="11906" w:h="16838"/>
          <w:pgMar w:top="1985" w:right="1418" w:bottom="1928" w:left="1418" w:header="851" w:footer="992" w:gutter="113"/>
          <w:cols w:space="425" w:num="1"/>
          <w:docGrid w:linePitch="312" w:charSpace="0"/>
        </w:sectPr>
      </w:pPr>
    </w:p>
    <w:p w14:paraId="04CAE5BF">
      <w:pPr>
        <w:pStyle w:val="10"/>
        <w:spacing w:before="240" w:after="360"/>
        <w:rPr>
          <w:rFonts w:hint="eastAsia" w:asciiTheme="majorEastAsia" w:hAnsiTheme="majorEastAsia" w:eastAsiaTheme="majorEastAsia" w:cstheme="majorEastAsia"/>
          <w:b/>
          <w:bCs/>
          <w:color w:val="000000"/>
          <w:sz w:val="28"/>
          <w:szCs w:val="28"/>
          <w:lang w:eastAsia="zh-CN"/>
        </w:rPr>
      </w:pPr>
      <w:bookmarkStart w:id="1" w:name="_Toc499456610"/>
      <w:bookmarkStart w:id="2" w:name="_Toc393471149"/>
      <w:r>
        <w:rPr>
          <w:rFonts w:hint="eastAsia" w:asciiTheme="majorEastAsia" w:hAnsiTheme="majorEastAsia" w:eastAsiaTheme="majorEastAsia" w:cstheme="majorEastAsia"/>
          <w:b/>
          <w:bCs/>
          <w:color w:val="000000"/>
          <w:sz w:val="28"/>
          <w:szCs w:val="28"/>
        </w:rPr>
        <w:t>A107041</w:t>
      </w:r>
      <w:r>
        <w:rPr>
          <w:rFonts w:hint="eastAsia" w:asciiTheme="majorEastAsia" w:hAnsiTheme="majorEastAsia" w:eastAsiaTheme="majorEastAsia" w:cstheme="majorEastAsia"/>
          <w:b/>
          <w:bCs/>
          <w:color w:val="000000"/>
          <w:sz w:val="28"/>
          <w:szCs w:val="28"/>
        </w:rPr>
        <w:tab/>
      </w:r>
      <w:r>
        <w:rPr>
          <w:rFonts w:hint="eastAsia" w:asciiTheme="majorEastAsia" w:hAnsiTheme="majorEastAsia" w:eastAsiaTheme="majorEastAsia" w:cstheme="majorEastAsia"/>
          <w:b/>
          <w:bCs/>
          <w:color w:val="000000"/>
          <w:sz w:val="28"/>
          <w:szCs w:val="28"/>
        </w:rPr>
        <w:t>《高新技术企业优惠情况及明细表》填报说明</w:t>
      </w:r>
      <w:bookmarkEnd w:id="1"/>
      <w:bookmarkEnd w:id="2"/>
      <w:r>
        <w:rPr>
          <w:rFonts w:hint="eastAsia" w:asciiTheme="majorEastAsia" w:hAnsiTheme="majorEastAsia" w:eastAsiaTheme="majorEastAsia" w:cstheme="majorEastAsia"/>
          <w:b/>
          <w:bCs/>
          <w:color w:val="000000"/>
          <w:sz w:val="28"/>
          <w:szCs w:val="28"/>
          <w:lang w:eastAsia="zh-CN"/>
        </w:rPr>
        <w:t>（</w:t>
      </w:r>
      <w:r>
        <w:rPr>
          <w:rFonts w:hint="eastAsia" w:asciiTheme="majorEastAsia" w:hAnsiTheme="majorEastAsia" w:eastAsiaTheme="majorEastAsia" w:cstheme="majorEastAsia"/>
          <w:b/>
          <w:bCs/>
          <w:color w:val="000000"/>
          <w:sz w:val="28"/>
          <w:szCs w:val="28"/>
          <w:lang w:val="en-US" w:eastAsia="zh-CN"/>
        </w:rPr>
        <w:t>旧</w:t>
      </w:r>
      <w:r>
        <w:rPr>
          <w:rFonts w:hint="eastAsia" w:asciiTheme="majorEastAsia" w:hAnsiTheme="majorEastAsia" w:eastAsiaTheme="majorEastAsia" w:cstheme="majorEastAsia"/>
          <w:b/>
          <w:bCs/>
          <w:color w:val="000000"/>
          <w:sz w:val="28"/>
          <w:szCs w:val="28"/>
          <w:lang w:eastAsia="zh-CN"/>
        </w:rPr>
        <w:t>）</w:t>
      </w:r>
    </w:p>
    <w:p w14:paraId="20DEA792">
      <w:pPr>
        <w:spacing w:line="360" w:lineRule="auto"/>
        <w:ind w:firstLine="523" w:firstLineChars="218"/>
        <w:rPr>
          <w:rFonts w:ascii="宋体" w:hAnsi="宋体"/>
          <w:sz w:val="24"/>
        </w:rPr>
      </w:pPr>
      <w:r>
        <w:rPr>
          <w:rFonts w:hint="eastAsia" w:ascii="宋体" w:hAnsi="宋体"/>
          <w:sz w:val="24"/>
        </w:rPr>
        <w:t>高新技术企业资格的纳税人均需填报本表。纳税人根据税法、</w:t>
      </w:r>
      <w:r>
        <w:rPr>
          <w:rFonts w:ascii="宋体" w:hAnsi="宋体"/>
          <w:sz w:val="24"/>
        </w:rPr>
        <w:t>《科技部 财政部 国家税务总局关于</w:t>
      </w:r>
      <w:r>
        <w:rPr>
          <w:rFonts w:hint="eastAsia" w:ascii="宋体" w:hAnsi="宋体"/>
          <w:sz w:val="24"/>
        </w:rPr>
        <w:t>修订印发</w:t>
      </w:r>
      <w:r>
        <w:rPr>
          <w:rFonts w:ascii="宋体" w:hAnsi="宋体"/>
          <w:sz w:val="24"/>
        </w:rPr>
        <w:t>〈高新技术企业认定管理办法〉的通知》（国科发火〔20</w:t>
      </w:r>
      <w:r>
        <w:rPr>
          <w:rFonts w:hint="eastAsia" w:ascii="宋体" w:hAnsi="宋体"/>
          <w:sz w:val="24"/>
        </w:rPr>
        <w:t>16</w:t>
      </w:r>
      <w:r>
        <w:rPr>
          <w:rFonts w:ascii="宋体" w:hAnsi="宋体"/>
          <w:sz w:val="24"/>
        </w:rPr>
        <w:t>〕</w:t>
      </w:r>
      <w:r>
        <w:rPr>
          <w:rFonts w:hint="eastAsia" w:ascii="宋体" w:hAnsi="宋体"/>
          <w:sz w:val="24"/>
        </w:rPr>
        <w:t>32</w:t>
      </w:r>
      <w:r>
        <w:rPr>
          <w:rFonts w:ascii="宋体" w:hAnsi="宋体"/>
          <w:sz w:val="24"/>
        </w:rPr>
        <w:t>号）</w:t>
      </w:r>
      <w:r>
        <w:rPr>
          <w:rFonts w:hint="eastAsia" w:ascii="宋体" w:hAnsi="宋体"/>
          <w:sz w:val="24"/>
        </w:rPr>
        <w:t>、</w:t>
      </w:r>
      <w:r>
        <w:rPr>
          <w:rFonts w:ascii="宋体" w:hAnsi="宋体"/>
          <w:sz w:val="24"/>
        </w:rPr>
        <w:t>《科学技术部 财政部 国家税务总局关于</w:t>
      </w:r>
      <w:r>
        <w:rPr>
          <w:rFonts w:hint="eastAsia" w:ascii="宋体" w:hAnsi="宋体"/>
          <w:sz w:val="24"/>
        </w:rPr>
        <w:t>修订</w:t>
      </w:r>
      <w:r>
        <w:rPr>
          <w:rFonts w:ascii="宋体" w:hAnsi="宋体"/>
          <w:sz w:val="24"/>
        </w:rPr>
        <w:t>印发</w:t>
      </w:r>
      <w:r>
        <w:rPr>
          <w:rFonts w:hint="eastAsia" w:ascii="宋体" w:hAnsi="宋体"/>
          <w:sz w:val="24"/>
        </w:rPr>
        <w:t>〈</w:t>
      </w:r>
      <w:r>
        <w:rPr>
          <w:rFonts w:ascii="宋体" w:hAnsi="宋体"/>
          <w:sz w:val="24"/>
        </w:rPr>
        <w:t>高新技术企业认定管理工作指引〉的通知》（国科发火〔20</w:t>
      </w:r>
      <w:r>
        <w:rPr>
          <w:rFonts w:hint="eastAsia" w:ascii="宋体" w:hAnsi="宋体"/>
          <w:sz w:val="24"/>
        </w:rPr>
        <w:t>16</w:t>
      </w:r>
      <w:r>
        <w:rPr>
          <w:rFonts w:ascii="宋体" w:hAnsi="宋体"/>
          <w:sz w:val="24"/>
        </w:rPr>
        <w:t>〕</w:t>
      </w:r>
      <w:r>
        <w:rPr>
          <w:rFonts w:hint="eastAsia" w:ascii="宋体" w:hAnsi="宋体"/>
          <w:sz w:val="24"/>
        </w:rPr>
        <w:t>195</w:t>
      </w:r>
      <w:r>
        <w:rPr>
          <w:rFonts w:ascii="宋体" w:hAnsi="宋体"/>
          <w:sz w:val="24"/>
        </w:rPr>
        <w:t>号）</w:t>
      </w:r>
      <w:r>
        <w:rPr>
          <w:rFonts w:hint="eastAsia" w:ascii="宋体" w:hAnsi="宋体"/>
          <w:sz w:val="24"/>
        </w:rPr>
        <w:t>、</w:t>
      </w:r>
      <w:r>
        <w:rPr>
          <w:rFonts w:ascii="宋体" w:hAnsi="宋体"/>
          <w:sz w:val="24"/>
        </w:rPr>
        <w:t>《国家税务总局</w:t>
      </w:r>
      <w:r>
        <w:rPr>
          <w:rFonts w:hint="eastAsia" w:ascii="宋体" w:hAnsi="宋体"/>
          <w:sz w:val="24"/>
        </w:rPr>
        <w:t>关于实施高新技术企业所得税优惠政策有关问题的公告</w:t>
      </w:r>
      <w:r>
        <w:rPr>
          <w:rFonts w:ascii="宋体" w:hAnsi="宋体"/>
          <w:sz w:val="24"/>
        </w:rPr>
        <w:t>》（</w:t>
      </w:r>
      <w:r>
        <w:rPr>
          <w:rFonts w:hint="eastAsia" w:ascii="宋体" w:hAnsi="宋体"/>
          <w:sz w:val="24"/>
        </w:rPr>
        <w:t>国家税务总局公告</w:t>
      </w:r>
      <w:r>
        <w:rPr>
          <w:rFonts w:ascii="宋体" w:hAnsi="宋体"/>
          <w:sz w:val="24"/>
        </w:rPr>
        <w:t>20</w:t>
      </w:r>
      <w:r>
        <w:rPr>
          <w:rFonts w:hint="eastAsia" w:ascii="宋体" w:hAnsi="宋体"/>
          <w:sz w:val="24"/>
        </w:rPr>
        <w:t>17年第24</w:t>
      </w:r>
      <w:r>
        <w:rPr>
          <w:rFonts w:ascii="宋体" w:hAnsi="宋体"/>
          <w:sz w:val="24"/>
        </w:rPr>
        <w:t>号）</w:t>
      </w:r>
      <w:r>
        <w:rPr>
          <w:rFonts w:hint="eastAsia" w:ascii="宋体" w:hAnsi="宋体"/>
          <w:sz w:val="24"/>
        </w:rPr>
        <w:t>等相关税收政策规定，填报本年发生的高新技术企业优惠情况。</w:t>
      </w:r>
    </w:p>
    <w:p w14:paraId="331F4F2E">
      <w:pPr>
        <w:pStyle w:val="11"/>
        <w:ind w:firstLine="482"/>
      </w:pPr>
      <w:bookmarkStart w:id="3" w:name="_Toc399770028"/>
      <w:r>
        <w:rPr>
          <w:rFonts w:hint="eastAsia"/>
        </w:rPr>
        <w:t>一、有关项目填报说明</w:t>
      </w:r>
      <w:bookmarkEnd w:id="3"/>
    </w:p>
    <w:p w14:paraId="4238D343">
      <w:pPr>
        <w:spacing w:line="360" w:lineRule="auto"/>
        <w:ind w:firstLine="523" w:firstLineChars="218"/>
        <w:rPr>
          <w:rFonts w:ascii="宋体" w:hAnsi="宋体"/>
          <w:sz w:val="24"/>
        </w:rPr>
      </w:pPr>
      <w:r>
        <w:rPr>
          <w:rFonts w:hint="eastAsia" w:ascii="宋体" w:hAnsi="宋体"/>
          <w:sz w:val="24"/>
        </w:rPr>
        <w:t>1</w:t>
      </w:r>
      <w:r>
        <w:rPr>
          <w:rFonts w:ascii="宋体" w:hAnsi="宋体" w:cs="宋体"/>
          <w:sz w:val="24"/>
        </w:rPr>
        <w:t>.</w:t>
      </w:r>
      <w:r>
        <w:rPr>
          <w:rFonts w:hint="eastAsia" w:ascii="宋体" w:hAnsi="宋体"/>
          <w:sz w:val="24"/>
        </w:rPr>
        <w:t>第1行“《高新技术企业证书》编号”：填报纳税人高新技术企业证书上的编号；“《高新技术企业证书》取得时间”；填报纳税人高新技术企业证书上的取得时间。</w:t>
      </w:r>
    </w:p>
    <w:p w14:paraId="1BEEABE7">
      <w:pPr>
        <w:snapToGrid w:val="0"/>
        <w:spacing w:line="360" w:lineRule="auto"/>
        <w:ind w:firstLine="480" w:firstLineChars="200"/>
        <w:rPr>
          <w:snapToGrid w:val="0"/>
          <w:kern w:val="0"/>
          <w:sz w:val="24"/>
        </w:rPr>
      </w:pPr>
      <w:r>
        <w:rPr>
          <w:rFonts w:hint="eastAsia" w:ascii="宋体" w:hAnsi="宋体"/>
          <w:sz w:val="24"/>
        </w:rPr>
        <w:t>2</w:t>
      </w:r>
      <w:r>
        <w:rPr>
          <w:rFonts w:ascii="宋体" w:hAnsi="宋体" w:cs="宋体"/>
          <w:sz w:val="24"/>
        </w:rPr>
        <w:t>.</w:t>
      </w:r>
      <w:r>
        <w:rPr>
          <w:rFonts w:hint="eastAsia" w:ascii="宋体" w:hAnsi="宋体"/>
          <w:sz w:val="24"/>
        </w:rPr>
        <w:t>第2行“对企业主要产品（服务）发挥核心支持作用的技术所属范围”：填报对企业主要产品（服务）发挥核心支持作用的技术属于《国家重点支持的高新技术领域》规定的具体范围，填报至三级明细领域，如“</w:t>
      </w:r>
      <w:r>
        <w:rPr>
          <w:rFonts w:ascii="宋体" w:hAnsi="宋体"/>
          <w:sz w:val="24"/>
        </w:rPr>
        <w:t>一、电子信息技术</w:t>
      </w:r>
      <w:bookmarkStart w:id="4" w:name="_Toc165694823"/>
      <w:bookmarkStart w:id="5" w:name="_Toc165539934"/>
      <w:r>
        <w:rPr>
          <w:rFonts w:ascii="宋体" w:hAnsi="宋体"/>
          <w:sz w:val="24"/>
        </w:rPr>
        <w:t>（一）软件</w:t>
      </w:r>
      <w:bookmarkEnd w:id="4"/>
      <w:bookmarkEnd w:id="5"/>
      <w:bookmarkStart w:id="6" w:name="_Toc161805510"/>
      <w:bookmarkStart w:id="7" w:name="_Toc161808546"/>
      <w:bookmarkStart w:id="8" w:name="_Toc162079029"/>
      <w:bookmarkStart w:id="9" w:name="_Toc161819024"/>
      <w:bookmarkStart w:id="10" w:name="_Toc161805072"/>
      <w:bookmarkStart w:id="11" w:name="_Toc161825340"/>
      <w:bookmarkStart w:id="12" w:name="_Toc165694824"/>
      <w:bookmarkStart w:id="13" w:name="_Toc161818546"/>
      <w:bookmarkStart w:id="14" w:name="_Toc165535502"/>
      <w:bookmarkStart w:id="15" w:name="_Toc165539935"/>
      <w:bookmarkStart w:id="16" w:name="_Toc161824949"/>
      <w:bookmarkStart w:id="17" w:name="_Toc161816646"/>
      <w:bookmarkStart w:id="18" w:name="_Toc161815714"/>
      <w:bookmarkStart w:id="19" w:name="_Toc162079277"/>
      <w:bookmarkStart w:id="20" w:name="_Toc161805291"/>
      <w:bookmarkStart w:id="21" w:name="_Toc161804495"/>
      <w:bookmarkStart w:id="22" w:name="_Toc162083117"/>
      <w:bookmarkStart w:id="23" w:name="_Toc161808830"/>
      <w:r>
        <w:rPr>
          <w:rFonts w:ascii="宋体" w:hAnsi="宋体"/>
          <w:sz w:val="24"/>
        </w:rPr>
        <w:t>1</w:t>
      </w:r>
      <w:r>
        <w:rPr>
          <w:rFonts w:hint="eastAsia" w:ascii="宋体" w:hAnsi="宋体"/>
          <w:sz w:val="24"/>
        </w:rPr>
        <w:t>.</w:t>
      </w:r>
      <w:r>
        <w:rPr>
          <w:rFonts w:ascii="宋体" w:hAnsi="宋体"/>
          <w:sz w:val="24"/>
        </w:rPr>
        <w:t>系统软件</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宋体" w:hAnsi="宋体"/>
          <w:sz w:val="24"/>
        </w:rPr>
        <w:t>”。</w:t>
      </w:r>
    </w:p>
    <w:p w14:paraId="15F2A65D">
      <w:pPr>
        <w:spacing w:line="360" w:lineRule="auto"/>
        <w:ind w:firstLine="523" w:firstLineChars="218"/>
        <w:rPr>
          <w:rFonts w:ascii="宋体" w:hAnsi="宋体"/>
          <w:sz w:val="24"/>
        </w:rPr>
      </w:pPr>
      <w:r>
        <w:rPr>
          <w:rFonts w:hint="eastAsia" w:ascii="宋体" w:hAnsi="宋体"/>
          <w:sz w:val="24"/>
        </w:rPr>
        <w:t>3</w:t>
      </w:r>
      <w:r>
        <w:rPr>
          <w:rFonts w:ascii="宋体" w:hAnsi="宋体" w:cs="宋体"/>
          <w:sz w:val="24"/>
        </w:rPr>
        <w:t>.</w:t>
      </w:r>
      <w:r>
        <w:rPr>
          <w:rFonts w:hint="eastAsia" w:ascii="宋体" w:hAnsi="宋体"/>
          <w:sz w:val="24"/>
        </w:rPr>
        <w:t>第4行“一、本年高新技术产品（服务）收入”：填报第5+6行的合计金额。</w:t>
      </w:r>
    </w:p>
    <w:p w14:paraId="460946A1">
      <w:pPr>
        <w:spacing w:line="360" w:lineRule="auto"/>
        <w:ind w:firstLine="523" w:firstLineChars="218"/>
        <w:rPr>
          <w:rFonts w:ascii="宋体" w:hAnsi="宋体"/>
          <w:sz w:val="24"/>
        </w:rPr>
      </w:pPr>
      <w:r>
        <w:rPr>
          <w:rFonts w:hint="eastAsia" w:ascii="宋体" w:hAnsi="宋体"/>
          <w:sz w:val="24"/>
        </w:rPr>
        <w:t>4</w:t>
      </w:r>
      <w:r>
        <w:rPr>
          <w:rFonts w:ascii="宋体" w:hAnsi="宋体" w:cs="宋体"/>
          <w:sz w:val="24"/>
        </w:rPr>
        <w:t>.</w:t>
      </w:r>
      <w:r>
        <w:rPr>
          <w:rFonts w:hint="eastAsia" w:ascii="宋体" w:hAnsi="宋体"/>
          <w:sz w:val="24"/>
        </w:rPr>
        <w:t>第5行“其中：产品（服务）收入”：填报纳税人本年发挥核心支持作用的技术属于《国家重点支持的高新技术领域》规定范围的产品（服务）收入。</w:t>
      </w:r>
    </w:p>
    <w:p w14:paraId="0A769604">
      <w:pPr>
        <w:spacing w:line="360" w:lineRule="auto"/>
        <w:ind w:firstLine="523" w:firstLineChars="218"/>
        <w:rPr>
          <w:rFonts w:ascii="宋体" w:hAnsi="宋体"/>
          <w:sz w:val="24"/>
        </w:rPr>
      </w:pPr>
      <w:r>
        <w:rPr>
          <w:rFonts w:hint="eastAsia" w:ascii="宋体" w:hAnsi="宋体"/>
          <w:sz w:val="24"/>
        </w:rPr>
        <w:t>5</w:t>
      </w:r>
      <w:r>
        <w:rPr>
          <w:rFonts w:ascii="宋体" w:hAnsi="宋体" w:cs="宋体"/>
          <w:sz w:val="24"/>
        </w:rPr>
        <w:t>.</w:t>
      </w:r>
      <w:r>
        <w:rPr>
          <w:rFonts w:hint="eastAsia" w:ascii="宋体" w:hAnsi="宋体"/>
          <w:sz w:val="24"/>
        </w:rPr>
        <w:t>第6行“技术性收入”：包括技术转让收入、技术服务收入和接受委托研究开发收入。</w:t>
      </w:r>
    </w:p>
    <w:p w14:paraId="62DA1090">
      <w:pPr>
        <w:spacing w:line="360" w:lineRule="auto"/>
        <w:ind w:firstLine="523" w:firstLineChars="218"/>
        <w:rPr>
          <w:rFonts w:ascii="宋体" w:hAnsi="宋体"/>
          <w:sz w:val="24"/>
        </w:rPr>
      </w:pPr>
      <w:r>
        <w:rPr>
          <w:rFonts w:hint="eastAsia" w:ascii="宋体" w:hAnsi="宋体"/>
          <w:sz w:val="24"/>
        </w:rPr>
        <w:t>6</w:t>
      </w:r>
      <w:r>
        <w:rPr>
          <w:rFonts w:ascii="宋体" w:hAnsi="宋体" w:cs="宋体"/>
          <w:sz w:val="24"/>
        </w:rPr>
        <w:t>.</w:t>
      </w:r>
      <w:r>
        <w:rPr>
          <w:rFonts w:hint="eastAsia" w:ascii="宋体" w:hAnsi="宋体"/>
          <w:sz w:val="24"/>
        </w:rPr>
        <w:t>第7行“二、本年企业总收入”：填报第8-9行的余额。</w:t>
      </w:r>
    </w:p>
    <w:p w14:paraId="7C9A835B">
      <w:pPr>
        <w:spacing w:line="360" w:lineRule="auto"/>
        <w:ind w:firstLine="523" w:firstLineChars="218"/>
        <w:rPr>
          <w:rFonts w:ascii="宋体" w:hAnsi="宋体"/>
          <w:sz w:val="24"/>
        </w:rPr>
      </w:pPr>
      <w:r>
        <w:rPr>
          <w:rFonts w:hint="eastAsia" w:ascii="宋体" w:hAnsi="宋体"/>
          <w:sz w:val="24"/>
        </w:rPr>
        <w:t>7.第8行“（一）收入总额”：填报纳税人本年以货币形式和非货币形式从各种来源取得的收入，为收入总额。包括：销售货物收入，提供劳务收入，转让财产收入，股息、红利等权益性投资收益，利息收入，租金收入，特许权使用费收入，接受捐赠收入，其他收入。</w:t>
      </w:r>
    </w:p>
    <w:p w14:paraId="2F9BC116">
      <w:pPr>
        <w:spacing w:line="360" w:lineRule="auto"/>
        <w:ind w:firstLine="523" w:firstLineChars="218"/>
        <w:rPr>
          <w:rFonts w:ascii="宋体" w:hAnsi="宋体"/>
          <w:sz w:val="24"/>
        </w:rPr>
      </w:pPr>
      <w:r>
        <w:rPr>
          <w:rFonts w:hint="eastAsia" w:ascii="宋体" w:hAnsi="宋体"/>
          <w:sz w:val="24"/>
        </w:rPr>
        <w:t>8.第9行“不征税收入”：填报纳税人本年符合相关政策规定的不征税收入。</w:t>
      </w:r>
    </w:p>
    <w:p w14:paraId="6547BFBB">
      <w:pPr>
        <w:spacing w:line="360" w:lineRule="auto"/>
        <w:ind w:firstLine="523" w:firstLineChars="218"/>
        <w:rPr>
          <w:rFonts w:ascii="宋体" w:hAnsi="宋体"/>
          <w:sz w:val="24"/>
        </w:rPr>
      </w:pPr>
      <w:r>
        <w:rPr>
          <w:rFonts w:hint="eastAsia" w:ascii="宋体" w:hAnsi="宋体"/>
          <w:sz w:val="24"/>
        </w:rPr>
        <w:t>9</w:t>
      </w:r>
      <w:r>
        <w:rPr>
          <w:rFonts w:ascii="宋体" w:hAnsi="宋体" w:cs="宋体"/>
          <w:sz w:val="24"/>
        </w:rPr>
        <w:t>.</w:t>
      </w:r>
      <w:r>
        <w:rPr>
          <w:rFonts w:hint="eastAsia" w:ascii="宋体" w:hAnsi="宋体"/>
          <w:sz w:val="24"/>
        </w:rPr>
        <w:t>第10行“三、本年高新技术产品（服务）收入占企业总收入的比例”：填报第4</w:t>
      </w:r>
      <w:r>
        <w:rPr>
          <w:rFonts w:hint="eastAsia" w:ascii="宋体" w:hAnsi="宋体" w:cs="宋体"/>
          <w:sz w:val="24"/>
        </w:rPr>
        <w:t>÷</w:t>
      </w:r>
      <w:r>
        <w:rPr>
          <w:rFonts w:hint="eastAsia" w:ascii="宋体" w:hAnsi="宋体"/>
          <w:sz w:val="24"/>
        </w:rPr>
        <w:t>7行计算后的比例。</w:t>
      </w:r>
    </w:p>
    <w:p w14:paraId="5A0314A7">
      <w:pPr>
        <w:spacing w:line="360" w:lineRule="auto"/>
        <w:ind w:firstLine="523" w:firstLineChars="218"/>
        <w:jc w:val="left"/>
        <w:rPr>
          <w:rFonts w:ascii="宋体" w:hAnsi="宋体"/>
          <w:sz w:val="24"/>
        </w:rPr>
      </w:pPr>
      <w:r>
        <w:rPr>
          <w:rFonts w:hint="eastAsia" w:ascii="宋体" w:hAnsi="宋体"/>
          <w:sz w:val="24"/>
        </w:rPr>
        <w:t>10</w:t>
      </w:r>
      <w:r>
        <w:rPr>
          <w:rFonts w:ascii="宋体" w:hAnsi="宋体" w:cs="宋体"/>
          <w:sz w:val="24"/>
        </w:rPr>
        <w:t>.</w:t>
      </w:r>
      <w:r>
        <w:rPr>
          <w:rFonts w:hint="eastAsia" w:ascii="宋体" w:hAnsi="宋体"/>
          <w:sz w:val="24"/>
        </w:rPr>
        <w:t>第11行“四、本年科技人员数”：填报纳税人直接从事研发和相关技术创新活动，以及专门从事上述活动的管理和提供直接技术服务的，累计实际工作时间在183天以上的人员，包括在职、兼职和临时聘用人员。</w:t>
      </w:r>
    </w:p>
    <w:p w14:paraId="0D30C9D4">
      <w:pPr>
        <w:spacing w:line="360" w:lineRule="auto"/>
        <w:ind w:firstLine="523" w:firstLineChars="218"/>
        <w:rPr>
          <w:rFonts w:ascii="宋体" w:hAnsi="宋体"/>
          <w:sz w:val="24"/>
        </w:rPr>
      </w:pPr>
      <w:r>
        <w:rPr>
          <w:rFonts w:hint="eastAsia" w:ascii="宋体" w:hAnsi="宋体"/>
          <w:sz w:val="24"/>
        </w:rPr>
        <w:t>11</w:t>
      </w:r>
      <w:r>
        <w:rPr>
          <w:rFonts w:ascii="宋体" w:hAnsi="宋体" w:cs="宋体"/>
          <w:sz w:val="24"/>
        </w:rPr>
        <w:t>.</w:t>
      </w:r>
      <w:r>
        <w:rPr>
          <w:rFonts w:hint="eastAsia" w:ascii="宋体" w:hAnsi="宋体"/>
          <w:sz w:val="24"/>
        </w:rPr>
        <w:t>第12行“五、本年职工总数”：填报纳税人本年在职、兼职和临时聘用人员。在职人员可以通过企业是否签订了劳动合同或缴纳社会保险费来鉴别。兼职、临时聘用人员全年须在企业累计工作183天以上。</w:t>
      </w:r>
    </w:p>
    <w:p w14:paraId="21DBF576">
      <w:pPr>
        <w:spacing w:line="360" w:lineRule="auto"/>
        <w:ind w:firstLine="523" w:firstLineChars="218"/>
        <w:jc w:val="left"/>
        <w:rPr>
          <w:rFonts w:ascii="宋体" w:hAnsi="宋体"/>
          <w:color w:val="FF0000"/>
          <w:sz w:val="24"/>
        </w:rPr>
      </w:pPr>
      <w:r>
        <w:rPr>
          <w:rFonts w:hint="eastAsia" w:ascii="宋体" w:hAnsi="宋体"/>
          <w:sz w:val="24"/>
        </w:rPr>
        <w:t>12</w:t>
      </w:r>
      <w:r>
        <w:rPr>
          <w:rFonts w:ascii="宋体" w:hAnsi="宋体" w:cs="宋体"/>
          <w:sz w:val="24"/>
        </w:rPr>
        <w:t>.</w:t>
      </w:r>
      <w:r>
        <w:rPr>
          <w:rFonts w:hint="eastAsia" w:ascii="宋体" w:hAnsi="宋体"/>
          <w:sz w:val="24"/>
        </w:rPr>
        <w:t>第13行“六、本年科技人员占企业当年职工总数的比例”：填报第11</w:t>
      </w:r>
      <w:r>
        <w:rPr>
          <w:rFonts w:hint="eastAsia" w:ascii="宋体" w:hAnsi="宋体" w:cs="宋体"/>
          <w:sz w:val="24"/>
        </w:rPr>
        <w:t>÷</w:t>
      </w:r>
      <w:r>
        <w:rPr>
          <w:rFonts w:hint="eastAsia" w:ascii="宋体" w:hAnsi="宋体"/>
          <w:sz w:val="24"/>
        </w:rPr>
        <w:t>12行计算后的比例。</w:t>
      </w:r>
    </w:p>
    <w:p w14:paraId="03533F69">
      <w:pPr>
        <w:spacing w:line="360" w:lineRule="auto"/>
        <w:ind w:firstLine="523" w:firstLineChars="218"/>
        <w:jc w:val="left"/>
        <w:rPr>
          <w:rFonts w:ascii="宋体" w:hAnsi="宋体"/>
          <w:sz w:val="24"/>
        </w:rPr>
      </w:pPr>
      <w:r>
        <w:rPr>
          <w:rFonts w:hint="eastAsia" w:ascii="宋体" w:hAnsi="宋体"/>
          <w:sz w:val="24"/>
        </w:rPr>
        <w:t>13.第14行“高新研发费用归集年度”：本行设定了三个年度，与计算研发费比例相关的第15行至第29行需填报三年数据，实际经营不满三年的按实际经营时间填报。</w:t>
      </w:r>
    </w:p>
    <w:p w14:paraId="359D58E8">
      <w:pPr>
        <w:spacing w:line="360" w:lineRule="auto"/>
        <w:ind w:firstLine="523" w:firstLineChars="218"/>
        <w:rPr>
          <w:rFonts w:ascii="宋体" w:hAnsi="宋体"/>
          <w:sz w:val="24"/>
        </w:rPr>
      </w:pPr>
      <w:r>
        <w:rPr>
          <w:rFonts w:hint="eastAsia" w:ascii="宋体" w:hAnsi="宋体"/>
          <w:sz w:val="24"/>
        </w:rPr>
        <w:t>14</w:t>
      </w:r>
      <w:r>
        <w:rPr>
          <w:rFonts w:ascii="宋体" w:hAnsi="宋体" w:cs="宋体"/>
          <w:sz w:val="24"/>
        </w:rPr>
        <w:t>.</w:t>
      </w:r>
      <w:r>
        <w:rPr>
          <w:rFonts w:hint="eastAsia" w:ascii="宋体" w:hAnsi="宋体"/>
          <w:sz w:val="24"/>
        </w:rPr>
        <w:t>第15行“七、本年归集的高新研发费用金额”：填报第16+25行的合计金额。</w:t>
      </w:r>
    </w:p>
    <w:p w14:paraId="1AAEF99F">
      <w:pPr>
        <w:spacing w:line="360" w:lineRule="auto"/>
        <w:ind w:firstLine="523" w:firstLineChars="218"/>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第16行“（一）内部研究开发投入”：填报第17+18+19+20+21+22+24行的合计金额。</w:t>
      </w:r>
    </w:p>
    <w:p w14:paraId="5FFE02B9">
      <w:pPr>
        <w:spacing w:line="360" w:lineRule="auto"/>
        <w:ind w:firstLine="523" w:firstLineChars="218"/>
        <w:rPr>
          <w:rFonts w:ascii="宋体" w:hAnsi="宋体"/>
          <w:sz w:val="24"/>
        </w:rPr>
      </w:pPr>
      <w:r>
        <w:rPr>
          <w:rFonts w:hint="eastAsia" w:ascii="宋体" w:hAnsi="宋体"/>
          <w:sz w:val="24"/>
        </w:rPr>
        <w:t>16.第17行“1.人员人工费用”：填报纳税人科技人员的工资薪金、基本养老保险费、基本医疗保险费、失业保险费、工伤保险费、生育保险费和住房公积金，以及外聘科技人员的劳务费用。</w:t>
      </w:r>
    </w:p>
    <w:p w14:paraId="73ECEEDA">
      <w:pPr>
        <w:spacing w:line="360" w:lineRule="auto"/>
        <w:ind w:firstLine="523" w:firstLineChars="218"/>
        <w:rPr>
          <w:rFonts w:ascii="宋体" w:hAnsi="宋体"/>
          <w:sz w:val="24"/>
        </w:rPr>
      </w:pPr>
      <w:r>
        <w:rPr>
          <w:rFonts w:hint="eastAsia" w:ascii="宋体" w:hAnsi="宋体"/>
          <w:sz w:val="24"/>
        </w:rPr>
        <w:t>17</w:t>
      </w:r>
      <w:r>
        <w:rPr>
          <w:rFonts w:ascii="宋体" w:hAnsi="宋体" w:cs="宋体"/>
          <w:sz w:val="24"/>
        </w:rPr>
        <w:t>.</w:t>
      </w:r>
      <w:r>
        <w:rPr>
          <w:rFonts w:hint="eastAsia" w:ascii="宋体" w:hAnsi="宋体"/>
          <w:sz w:val="24"/>
        </w:rPr>
        <w:t>第18行“2.直接投入费用”：填报纳税人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发活动的固定资产租赁费。</w:t>
      </w:r>
    </w:p>
    <w:p w14:paraId="5998C6AD">
      <w:pPr>
        <w:spacing w:line="360" w:lineRule="auto"/>
        <w:ind w:firstLine="523" w:firstLineChars="218"/>
        <w:rPr>
          <w:rFonts w:ascii="宋体" w:hAnsi="宋体"/>
          <w:sz w:val="24"/>
        </w:rPr>
      </w:pPr>
      <w:r>
        <w:rPr>
          <w:rFonts w:hint="eastAsia" w:ascii="宋体" w:hAnsi="宋体"/>
          <w:sz w:val="24"/>
        </w:rPr>
        <w:t>18</w:t>
      </w:r>
      <w:r>
        <w:rPr>
          <w:rFonts w:ascii="宋体" w:hAnsi="宋体" w:cs="宋体"/>
          <w:sz w:val="24"/>
        </w:rPr>
        <w:t>.</w:t>
      </w:r>
      <w:r>
        <w:rPr>
          <w:rFonts w:hint="eastAsia" w:ascii="宋体" w:hAnsi="宋体"/>
          <w:sz w:val="24"/>
        </w:rPr>
        <w:t>第19行“3.折旧费用与长期待摊费用”：填报纳税人用于研究开发活动的仪器、设备和在用建筑物的折旧费；研发设施的改建、改装、装修和修理过程中发生的长期待摊费用。</w:t>
      </w:r>
    </w:p>
    <w:p w14:paraId="04819546">
      <w:pPr>
        <w:spacing w:line="360" w:lineRule="auto"/>
        <w:ind w:firstLine="523" w:firstLineChars="218"/>
        <w:rPr>
          <w:rFonts w:ascii="宋体" w:hAnsi="宋体"/>
          <w:sz w:val="24"/>
        </w:rPr>
      </w:pPr>
      <w:r>
        <w:rPr>
          <w:rFonts w:hint="eastAsia" w:ascii="宋体" w:hAnsi="宋体"/>
          <w:sz w:val="24"/>
        </w:rPr>
        <w:t>19.第20行“4.无形资产摊销费用”：填报纳税人用于研究开发活动的软件、知识产权、非专利技术（专有技术、许可证、设计和计算方法等）的摊销费用。</w:t>
      </w:r>
    </w:p>
    <w:p w14:paraId="6E3E4019">
      <w:pPr>
        <w:spacing w:line="360" w:lineRule="auto"/>
        <w:ind w:firstLine="523" w:firstLineChars="218"/>
        <w:rPr>
          <w:rFonts w:ascii="宋体" w:hAnsi="宋体"/>
          <w:sz w:val="24"/>
        </w:rPr>
      </w:pPr>
      <w:r>
        <w:rPr>
          <w:rFonts w:hint="eastAsia" w:ascii="宋体" w:hAnsi="宋体"/>
          <w:sz w:val="24"/>
        </w:rPr>
        <w:t>20.第21行“5.设计费用”：填报纳税人为新产品和新工艺进行构思、开发和制造，进行工序、技术规范、规程制定、操作特性方面的设计等发生的费用，包括为获得创新性、创意性、突破性产品进行的创意设计活动发生的相关费用。</w:t>
      </w:r>
    </w:p>
    <w:p w14:paraId="5508534C">
      <w:pPr>
        <w:spacing w:line="360" w:lineRule="auto"/>
        <w:ind w:firstLine="523" w:firstLineChars="218"/>
        <w:rPr>
          <w:rFonts w:ascii="宋体" w:hAnsi="宋体"/>
          <w:sz w:val="24"/>
        </w:rPr>
      </w:pPr>
      <w:r>
        <w:rPr>
          <w:rFonts w:hint="eastAsia" w:ascii="宋体" w:hAnsi="宋体"/>
          <w:sz w:val="24"/>
        </w:rPr>
        <w:t>21.第22行“6.装备调试费与实验费用”：填报纳税人工装准备过程中研究开发活动所发生的费用，包括研制特殊、专用的生产机器，改变生产和质量控制程序，或制定新方法及标准等活动所发生的费用。</w:t>
      </w:r>
    </w:p>
    <w:p w14:paraId="4C1B66E6">
      <w:pPr>
        <w:spacing w:line="360" w:lineRule="auto"/>
        <w:ind w:firstLine="523" w:firstLineChars="218"/>
        <w:rPr>
          <w:rFonts w:ascii="宋体" w:hAnsi="宋体"/>
          <w:sz w:val="24"/>
        </w:rPr>
      </w:pPr>
      <w:r>
        <w:rPr>
          <w:rFonts w:hint="eastAsia" w:ascii="宋体" w:hAnsi="宋体"/>
          <w:sz w:val="24"/>
        </w:rPr>
        <w:t>22.第23行“7.其他费用”：填报纳税人与研究开发活动直接相关的其他费用，包括技术图书资料费、资料翻译费、专家咨询费、高新科技研发保险费，研发成果的检索、论证、评审、鉴定、验收费用，知识产权的申请费、注册费、代理费，会议费、差旅费、通讯费等。</w:t>
      </w:r>
    </w:p>
    <w:p w14:paraId="7555FC7B">
      <w:pPr>
        <w:spacing w:line="360" w:lineRule="auto"/>
        <w:ind w:firstLine="523" w:firstLineChars="218"/>
        <w:rPr>
          <w:rFonts w:ascii="宋体" w:hAnsi="宋体"/>
          <w:sz w:val="24"/>
        </w:rPr>
      </w:pPr>
      <w:r>
        <w:rPr>
          <w:rFonts w:hint="eastAsia" w:ascii="宋体" w:hAnsi="宋体"/>
          <w:sz w:val="24"/>
        </w:rPr>
        <w:t>23.第24行“其中：可计入研发费用的其他费用”：填报</w:t>
      </w:r>
      <w:r>
        <w:rPr>
          <w:rFonts w:hint="eastAsia"/>
          <w:sz w:val="24"/>
        </w:rPr>
        <w:t>纳税人</w:t>
      </w:r>
      <w:r>
        <w:rPr>
          <w:sz w:val="24"/>
        </w:rPr>
        <w:t>为研究开发活动所发生的</w:t>
      </w:r>
      <w:r>
        <w:rPr>
          <w:rFonts w:hint="eastAsia" w:ascii="宋体" w:hAnsi="宋体"/>
          <w:sz w:val="24"/>
        </w:rPr>
        <w:t>其他费用中不超过研究开发总费用的20%的金额。该行取第17行至第22行之和×20%÷(1-20%)与第23行的孰小值。</w:t>
      </w:r>
    </w:p>
    <w:p w14:paraId="76554554">
      <w:pPr>
        <w:spacing w:line="360" w:lineRule="auto"/>
        <w:ind w:firstLine="523" w:firstLineChars="218"/>
        <w:rPr>
          <w:rFonts w:ascii="宋体" w:hAnsi="宋体"/>
          <w:sz w:val="24"/>
        </w:rPr>
      </w:pPr>
      <w:r>
        <w:rPr>
          <w:rFonts w:hint="eastAsia" w:ascii="宋体" w:hAnsi="宋体"/>
          <w:sz w:val="24"/>
        </w:rPr>
        <w:t>24</w:t>
      </w:r>
      <w:r>
        <w:rPr>
          <w:rFonts w:ascii="宋体" w:hAnsi="宋体" w:cs="宋体"/>
          <w:sz w:val="24"/>
        </w:rPr>
        <w:t>.</w:t>
      </w:r>
      <w:r>
        <w:rPr>
          <w:rFonts w:hint="eastAsia" w:ascii="宋体" w:hAnsi="宋体"/>
          <w:sz w:val="24"/>
        </w:rPr>
        <w:t>第25行“（二）委托外部研发费用”：填报纳税人委托境内外其他机构或个人进行研究开发活动所发生的费用（研究开发活动成果为委托方企业拥有，且与该企业的主要经营业务紧密相关）。委托外部研发费用的实际发生额应按照独立交易原则确定，按照实际发生额的80%计入委托方研发费用总额。本行填报（第26+28行）×</w:t>
      </w:r>
      <w:r>
        <w:rPr>
          <w:rFonts w:ascii="宋体" w:hAnsi="宋体"/>
          <w:sz w:val="24"/>
        </w:rPr>
        <w:t>80%</w:t>
      </w:r>
      <w:r>
        <w:rPr>
          <w:rFonts w:hint="eastAsia" w:ascii="宋体" w:hAnsi="宋体"/>
          <w:sz w:val="24"/>
        </w:rPr>
        <w:t>的金额。</w:t>
      </w:r>
    </w:p>
    <w:p w14:paraId="3C83E3FB">
      <w:pPr>
        <w:spacing w:line="360" w:lineRule="auto"/>
        <w:ind w:firstLine="523" w:firstLineChars="218"/>
        <w:rPr>
          <w:rFonts w:ascii="宋体" w:hAnsi="宋体"/>
          <w:sz w:val="24"/>
        </w:rPr>
      </w:pPr>
      <w:r>
        <w:rPr>
          <w:rFonts w:hint="eastAsia" w:ascii="宋体" w:hAnsi="宋体"/>
          <w:sz w:val="24"/>
        </w:rPr>
        <w:t>25</w:t>
      </w:r>
      <w:r>
        <w:rPr>
          <w:rFonts w:ascii="宋体" w:hAnsi="宋体" w:cs="宋体"/>
          <w:sz w:val="24"/>
        </w:rPr>
        <w:t>.</w:t>
      </w:r>
      <w:r>
        <w:rPr>
          <w:rFonts w:hint="eastAsia" w:ascii="宋体" w:hAnsi="宋体"/>
          <w:sz w:val="24"/>
        </w:rPr>
        <w:t>第26行“1.境内的外部研发费用”：填报纳税人委托境内其他机构或个人进行的研究开发活动所支出的费用。本行填报实际发生境内的外部研发费用</w:t>
      </w:r>
      <w:r>
        <w:rPr>
          <w:rFonts w:ascii="宋体" w:hAnsi="宋体"/>
          <w:sz w:val="24"/>
        </w:rPr>
        <w:t>。</w:t>
      </w:r>
    </w:p>
    <w:p w14:paraId="7A0488ED">
      <w:pPr>
        <w:spacing w:line="360" w:lineRule="auto"/>
        <w:ind w:firstLine="523" w:firstLineChars="218"/>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第27行“2.境外的外部研发费用”：填报纳税人委托境外机构或个人完成的研究开发活动所发生的费用。受托研发的境外机构是指依照外国(地区)及港澳台法律成立的企业和其他取得收入的组织；受托研发的境外个人是指外籍及港澳台个人。本行填报实际发生境外的外部研发费用</w:t>
      </w:r>
      <w:r>
        <w:rPr>
          <w:rFonts w:ascii="宋体" w:hAnsi="宋体"/>
          <w:sz w:val="24"/>
        </w:rPr>
        <w:t>。</w:t>
      </w:r>
    </w:p>
    <w:p w14:paraId="41344903">
      <w:pPr>
        <w:spacing w:line="360" w:lineRule="auto"/>
        <w:ind w:firstLine="523" w:firstLineChars="218"/>
        <w:rPr>
          <w:rFonts w:ascii="宋体" w:hAnsi="宋体" w:cs="宋体"/>
          <w:sz w:val="24"/>
        </w:rPr>
      </w:pPr>
      <w:r>
        <w:rPr>
          <w:rFonts w:hint="eastAsia" w:ascii="宋体" w:hAnsi="宋体"/>
          <w:sz w:val="24"/>
        </w:rPr>
        <w:t>27</w:t>
      </w:r>
      <w:r>
        <w:rPr>
          <w:rFonts w:ascii="宋体" w:hAnsi="宋体" w:cs="宋体"/>
          <w:sz w:val="24"/>
        </w:rPr>
        <w:t>.</w:t>
      </w:r>
      <w:r>
        <w:rPr>
          <w:rFonts w:hint="eastAsia" w:ascii="宋体" w:hAnsi="宋体" w:cs="宋体"/>
          <w:sz w:val="24"/>
        </w:rPr>
        <w:t>第28行“其中：可计入研发费用的境外的外部研发费用”：根据《高新技术企业认定管理办法》等规定，纳税人在中国境内发生的研发费用总额占全部研发费用总额的比例不低于</w:t>
      </w:r>
      <w:r>
        <w:rPr>
          <w:rFonts w:ascii="宋体" w:hAnsi="宋体" w:cs="宋体"/>
          <w:sz w:val="24"/>
        </w:rPr>
        <w:t>60%</w:t>
      </w:r>
      <w:r>
        <w:rPr>
          <w:rFonts w:hint="eastAsia" w:ascii="宋体" w:hAnsi="宋体" w:cs="宋体"/>
          <w:sz w:val="24"/>
        </w:rPr>
        <w:t>，即境外发生的研发费用总额占全部研发费用总额的比例不超过4</w:t>
      </w:r>
      <w:r>
        <w:rPr>
          <w:rFonts w:ascii="宋体" w:hAnsi="宋体" w:cs="宋体"/>
          <w:sz w:val="24"/>
        </w:rPr>
        <w:t>0%</w:t>
      </w:r>
      <w:r>
        <w:rPr>
          <w:rFonts w:hint="eastAsia" w:ascii="宋体" w:hAnsi="宋体" w:cs="宋体"/>
          <w:sz w:val="24"/>
        </w:rPr>
        <w:t>。本行填报（第17+18+…+22+23+26行）×40%÷(1-40%)与第27行的孰小值。</w:t>
      </w:r>
    </w:p>
    <w:p w14:paraId="4ACD0BDF">
      <w:pPr>
        <w:spacing w:line="360" w:lineRule="auto"/>
        <w:ind w:firstLine="523" w:firstLineChars="218"/>
        <w:rPr>
          <w:rFonts w:ascii="宋体" w:hAnsi="宋体" w:cs="宋体"/>
          <w:sz w:val="24"/>
        </w:rPr>
      </w:pPr>
      <w:r>
        <w:rPr>
          <w:rFonts w:hint="eastAsia" w:ascii="宋体" w:hAnsi="宋体" w:cs="宋体"/>
          <w:sz w:val="24"/>
        </w:rPr>
        <w:t>28.第29行“八、销售（营业）收入”：填报纳税人主营业务收入与其他业务收入之和。</w:t>
      </w:r>
    </w:p>
    <w:p w14:paraId="6C997D9C">
      <w:pPr>
        <w:spacing w:line="360" w:lineRule="auto"/>
        <w:ind w:firstLine="523" w:firstLineChars="218"/>
        <w:rPr>
          <w:rFonts w:ascii="宋体" w:hAnsi="宋体" w:cs="宋体"/>
          <w:sz w:val="24"/>
        </w:rPr>
      </w:pPr>
      <w:r>
        <w:rPr>
          <w:rFonts w:hint="eastAsia" w:ascii="宋体" w:hAnsi="宋体" w:cs="宋体"/>
          <w:sz w:val="24"/>
        </w:rPr>
        <w:t>29.第30行“九、三年研发费用占销售（营业）收入的比例”：填报第15行4列</w:t>
      </w:r>
      <w:r>
        <w:rPr>
          <w:rFonts w:hint="eastAsia"/>
          <w:color w:val="000000"/>
        </w:rPr>
        <w:t>÷</w:t>
      </w:r>
      <w:r>
        <w:rPr>
          <w:rFonts w:hint="eastAsia" w:ascii="宋体" w:hAnsi="宋体" w:cs="宋体"/>
          <w:sz w:val="24"/>
        </w:rPr>
        <w:t>第29行4列计算后的比例。</w:t>
      </w:r>
    </w:p>
    <w:p w14:paraId="29E5FFE9">
      <w:pPr>
        <w:spacing w:line="360" w:lineRule="auto"/>
        <w:ind w:firstLine="523" w:firstLineChars="218"/>
        <w:rPr>
          <w:rFonts w:ascii="宋体" w:hAnsi="宋体" w:cs="宋体"/>
          <w:sz w:val="24"/>
        </w:rPr>
      </w:pPr>
      <w:r>
        <w:rPr>
          <w:rFonts w:hint="eastAsia" w:ascii="宋体" w:hAnsi="宋体" w:cs="宋体"/>
          <w:sz w:val="24"/>
        </w:rPr>
        <w:t>30.第31行“十、国家需要重点扶持的高新技术企业减征企业所得税”：本行填报经济特区和上海浦东新区外的高新技术企业或虽在经济特区和上海浦东新区新设的高新技术企业但取得区外所得的减免税金额。</w:t>
      </w:r>
    </w:p>
    <w:p w14:paraId="3D901C2B">
      <w:pPr>
        <w:spacing w:line="360" w:lineRule="auto"/>
        <w:ind w:firstLine="523" w:firstLineChars="218"/>
        <w:rPr>
          <w:rFonts w:ascii="宋体" w:hAnsi="宋体"/>
          <w:sz w:val="24"/>
        </w:rPr>
      </w:pPr>
      <w:r>
        <w:rPr>
          <w:rFonts w:hint="eastAsia" w:ascii="宋体" w:hAnsi="宋体" w:cs="宋体"/>
          <w:sz w:val="24"/>
        </w:rPr>
        <w:t>3</w:t>
      </w:r>
      <w:r>
        <w:rPr>
          <w:rFonts w:ascii="宋体" w:hAnsi="宋体" w:cs="宋体"/>
          <w:sz w:val="24"/>
        </w:rPr>
        <w:t>1</w:t>
      </w:r>
      <w:r>
        <w:rPr>
          <w:rFonts w:hint="eastAsia" w:ascii="宋体" w:hAnsi="宋体" w:cs="宋体"/>
          <w:sz w:val="24"/>
        </w:rPr>
        <w:t>.第3</w:t>
      </w:r>
      <w:r>
        <w:rPr>
          <w:rFonts w:ascii="宋体" w:hAnsi="宋体" w:cs="宋体"/>
          <w:sz w:val="24"/>
        </w:rPr>
        <w:t>2</w:t>
      </w:r>
      <w:r>
        <w:rPr>
          <w:rFonts w:hint="eastAsia" w:ascii="宋体" w:hAnsi="宋体" w:cs="宋体"/>
          <w:sz w:val="24"/>
        </w:rPr>
        <w:t>行“十一、经济特区和上海浦东新区新设立的高新技术企业定期减免”：本行填报在经济特区和上海浦东新区新设的高新技术企业区内所得减免税金额。</w:t>
      </w:r>
    </w:p>
    <w:p w14:paraId="772780A8">
      <w:pPr>
        <w:pStyle w:val="11"/>
        <w:ind w:firstLine="482"/>
      </w:pPr>
      <w:bookmarkStart w:id="24" w:name="_Toc399770029"/>
      <w:bookmarkStart w:id="25" w:name="_Toc393471153"/>
      <w:r>
        <w:rPr>
          <w:rFonts w:hint="eastAsia"/>
        </w:rPr>
        <w:t>二、表内、表间关系</w:t>
      </w:r>
      <w:bookmarkEnd w:id="24"/>
      <w:bookmarkEnd w:id="25"/>
    </w:p>
    <w:p w14:paraId="3897F2C8">
      <w:pPr>
        <w:pStyle w:val="12"/>
      </w:pPr>
      <w:r>
        <w:rPr>
          <w:rFonts w:hint="eastAsia"/>
        </w:rPr>
        <w:t>（一）表内关系</w:t>
      </w:r>
    </w:p>
    <w:p w14:paraId="545426E8">
      <w:pPr>
        <w:spacing w:line="360" w:lineRule="auto"/>
        <w:ind w:firstLine="523" w:firstLineChars="218"/>
        <w:rPr>
          <w:rFonts w:ascii="宋体" w:hAnsi="宋体"/>
          <w:sz w:val="24"/>
        </w:rPr>
      </w:pPr>
      <w:r>
        <w:rPr>
          <w:rFonts w:hint="eastAsia" w:ascii="宋体" w:hAnsi="宋体"/>
          <w:sz w:val="24"/>
        </w:rPr>
        <w:t>1</w:t>
      </w:r>
      <w:r>
        <w:rPr>
          <w:rFonts w:ascii="宋体" w:hAnsi="宋体" w:cs="宋体"/>
          <w:sz w:val="24"/>
        </w:rPr>
        <w:t>.</w:t>
      </w:r>
      <w:r>
        <w:rPr>
          <w:rFonts w:hint="eastAsia" w:ascii="宋体" w:hAnsi="宋体"/>
          <w:sz w:val="24"/>
        </w:rPr>
        <w:t>第4行＝第5+6行。</w:t>
      </w:r>
    </w:p>
    <w:p w14:paraId="556CE298">
      <w:pPr>
        <w:spacing w:line="360" w:lineRule="auto"/>
        <w:ind w:firstLine="523" w:firstLineChars="218"/>
        <w:rPr>
          <w:rFonts w:ascii="宋体" w:hAnsi="宋体"/>
          <w:sz w:val="24"/>
        </w:rPr>
      </w:pPr>
      <w:r>
        <w:rPr>
          <w:rFonts w:hint="eastAsia" w:ascii="宋体" w:hAnsi="宋体"/>
          <w:sz w:val="24"/>
        </w:rPr>
        <w:t>2.第7行＝第8-9行。</w:t>
      </w:r>
    </w:p>
    <w:p w14:paraId="10E84E9A">
      <w:pPr>
        <w:spacing w:line="360" w:lineRule="auto"/>
        <w:ind w:firstLine="523" w:firstLineChars="218"/>
        <w:rPr>
          <w:rFonts w:ascii="宋体" w:hAnsi="宋体"/>
          <w:sz w:val="24"/>
        </w:rPr>
      </w:pPr>
      <w:r>
        <w:rPr>
          <w:rFonts w:hint="eastAsia" w:ascii="宋体" w:hAnsi="宋体"/>
          <w:sz w:val="24"/>
        </w:rPr>
        <w:t>3</w:t>
      </w:r>
      <w:r>
        <w:rPr>
          <w:rFonts w:ascii="宋体" w:hAnsi="宋体" w:cs="宋体"/>
          <w:sz w:val="24"/>
        </w:rPr>
        <w:t>.</w:t>
      </w:r>
      <w:r>
        <w:rPr>
          <w:rFonts w:hint="eastAsia" w:ascii="宋体" w:hAnsi="宋体"/>
          <w:sz w:val="24"/>
        </w:rPr>
        <w:t>第10行＝第4÷7行。</w:t>
      </w:r>
    </w:p>
    <w:p w14:paraId="1AA82107">
      <w:pPr>
        <w:spacing w:line="360" w:lineRule="auto"/>
        <w:ind w:firstLine="523" w:firstLineChars="218"/>
        <w:rPr>
          <w:rFonts w:ascii="宋体" w:hAnsi="宋体" w:cs="宋体"/>
          <w:sz w:val="24"/>
        </w:rPr>
      </w:pPr>
      <w:r>
        <w:rPr>
          <w:rFonts w:hint="eastAsia" w:ascii="宋体" w:hAnsi="宋体"/>
          <w:sz w:val="24"/>
        </w:rPr>
        <w:t>4</w:t>
      </w:r>
      <w:r>
        <w:rPr>
          <w:rFonts w:ascii="宋体" w:hAnsi="宋体" w:cs="宋体"/>
          <w:sz w:val="24"/>
        </w:rPr>
        <w:t>.</w:t>
      </w:r>
      <w:r>
        <w:rPr>
          <w:rFonts w:hint="eastAsia" w:ascii="宋体" w:hAnsi="宋体"/>
          <w:sz w:val="24"/>
        </w:rPr>
        <w:t>第13行＝第11÷</w:t>
      </w:r>
      <w:r>
        <w:rPr>
          <w:rFonts w:ascii="宋体" w:hAnsi="宋体"/>
          <w:sz w:val="24"/>
        </w:rPr>
        <w:t>12行</w:t>
      </w:r>
      <w:r>
        <w:rPr>
          <w:rFonts w:hint="eastAsia" w:ascii="宋体" w:hAnsi="宋体"/>
          <w:sz w:val="24"/>
        </w:rPr>
        <w:t>。</w:t>
      </w:r>
    </w:p>
    <w:p w14:paraId="639A817F">
      <w:pPr>
        <w:spacing w:line="360" w:lineRule="auto"/>
        <w:ind w:firstLine="523" w:firstLineChars="218"/>
        <w:rPr>
          <w:rFonts w:ascii="宋体" w:hAnsi="宋体"/>
          <w:sz w:val="24"/>
        </w:rPr>
      </w:pPr>
      <w:r>
        <w:rPr>
          <w:rFonts w:hint="eastAsia" w:ascii="宋体" w:hAnsi="宋体"/>
          <w:sz w:val="24"/>
        </w:rPr>
        <w:t>5</w:t>
      </w:r>
      <w:r>
        <w:rPr>
          <w:rFonts w:ascii="宋体" w:hAnsi="宋体" w:cs="宋体"/>
          <w:sz w:val="24"/>
        </w:rPr>
        <w:t>.</w:t>
      </w:r>
      <w:r>
        <w:rPr>
          <w:rFonts w:hint="eastAsia" w:ascii="宋体" w:hAnsi="宋体"/>
          <w:sz w:val="24"/>
        </w:rPr>
        <w:t>第15行＝第16+25</w:t>
      </w:r>
      <w:r>
        <w:rPr>
          <w:rFonts w:ascii="宋体" w:hAnsi="宋体"/>
          <w:sz w:val="24"/>
        </w:rPr>
        <w:t>行</w:t>
      </w:r>
      <w:r>
        <w:rPr>
          <w:rFonts w:hint="eastAsia" w:ascii="宋体" w:hAnsi="宋体"/>
          <w:sz w:val="24"/>
        </w:rPr>
        <w:t>。</w:t>
      </w:r>
    </w:p>
    <w:p w14:paraId="1A729FEF">
      <w:pPr>
        <w:spacing w:line="360" w:lineRule="auto"/>
        <w:ind w:firstLine="523" w:firstLineChars="218"/>
        <w:rPr>
          <w:rFonts w:ascii="宋体" w:hAnsi="宋体"/>
          <w:sz w:val="24"/>
        </w:rPr>
      </w:pPr>
      <w:r>
        <w:rPr>
          <w:rFonts w:hint="eastAsia" w:ascii="宋体" w:hAnsi="宋体"/>
          <w:sz w:val="24"/>
        </w:rPr>
        <w:t>6</w:t>
      </w:r>
      <w:r>
        <w:rPr>
          <w:rFonts w:ascii="宋体" w:hAnsi="宋体" w:cs="宋体"/>
          <w:sz w:val="24"/>
        </w:rPr>
        <w:t>.</w:t>
      </w:r>
      <w:r>
        <w:rPr>
          <w:rFonts w:hint="eastAsia" w:ascii="宋体" w:hAnsi="宋体"/>
          <w:sz w:val="24"/>
        </w:rPr>
        <w:t>第16行＝第</w:t>
      </w:r>
      <w:r>
        <w:rPr>
          <w:rFonts w:ascii="宋体" w:hAnsi="宋体"/>
          <w:sz w:val="24"/>
        </w:rPr>
        <w:t>17+18+19+20+21+22+24</w:t>
      </w:r>
      <w:r>
        <w:rPr>
          <w:rFonts w:hint="eastAsia" w:ascii="宋体" w:hAnsi="宋体"/>
          <w:sz w:val="24"/>
        </w:rPr>
        <w:t>行。</w:t>
      </w:r>
    </w:p>
    <w:p w14:paraId="0BD8BEE4">
      <w:pPr>
        <w:spacing w:line="360" w:lineRule="auto"/>
        <w:ind w:firstLine="523" w:firstLineChars="218"/>
        <w:rPr>
          <w:rFonts w:ascii="宋体" w:hAnsi="宋体"/>
          <w:sz w:val="24"/>
        </w:rPr>
      </w:pPr>
      <w:r>
        <w:rPr>
          <w:rFonts w:hint="eastAsia" w:ascii="宋体" w:hAnsi="宋体"/>
          <w:sz w:val="24"/>
        </w:rPr>
        <w:t>7</w:t>
      </w:r>
      <w:r>
        <w:rPr>
          <w:rFonts w:ascii="宋体" w:hAnsi="宋体" w:cs="宋体"/>
          <w:sz w:val="24"/>
        </w:rPr>
        <w:t>.</w:t>
      </w:r>
      <w:r>
        <w:rPr>
          <w:rFonts w:hint="eastAsia" w:ascii="宋体" w:hAnsi="宋体"/>
          <w:sz w:val="24"/>
        </w:rPr>
        <w:t>第25行＝（第26+28行）×80%。</w:t>
      </w:r>
    </w:p>
    <w:p w14:paraId="220D5B86">
      <w:pPr>
        <w:spacing w:line="360" w:lineRule="auto"/>
        <w:ind w:firstLine="523" w:firstLineChars="218"/>
        <w:rPr>
          <w:rFonts w:ascii="宋体" w:hAnsi="宋体"/>
          <w:sz w:val="24"/>
        </w:rPr>
      </w:pPr>
      <w:r>
        <w:rPr>
          <w:rFonts w:hint="eastAsia" w:ascii="宋体" w:hAnsi="宋体"/>
          <w:sz w:val="24"/>
        </w:rPr>
        <w:t>8</w:t>
      </w:r>
      <w:r>
        <w:rPr>
          <w:rFonts w:ascii="宋体" w:hAnsi="宋体" w:cs="宋体"/>
          <w:sz w:val="24"/>
        </w:rPr>
        <w:t>.</w:t>
      </w:r>
      <w:r>
        <w:rPr>
          <w:rFonts w:hint="eastAsia" w:ascii="宋体" w:hAnsi="宋体"/>
          <w:sz w:val="24"/>
        </w:rPr>
        <w:t>第30行＝</w:t>
      </w:r>
      <w:r>
        <w:rPr>
          <w:rFonts w:hint="eastAsia" w:ascii="宋体" w:hAnsi="宋体" w:cs="宋体"/>
          <w:sz w:val="24"/>
        </w:rPr>
        <w:t>第15行4列</w:t>
      </w:r>
      <w:r>
        <w:rPr>
          <w:rFonts w:hint="eastAsia" w:ascii="宋体" w:hAnsi="宋体"/>
          <w:sz w:val="24"/>
        </w:rPr>
        <w:t>÷</w:t>
      </w:r>
      <w:r>
        <w:rPr>
          <w:rFonts w:hint="eastAsia" w:ascii="宋体" w:hAnsi="宋体" w:cs="宋体"/>
          <w:sz w:val="24"/>
        </w:rPr>
        <w:t>第29行4列</w:t>
      </w:r>
      <w:r>
        <w:rPr>
          <w:rFonts w:hint="eastAsia" w:ascii="宋体" w:hAnsi="宋体"/>
          <w:sz w:val="24"/>
        </w:rPr>
        <w:t>。</w:t>
      </w:r>
    </w:p>
    <w:p w14:paraId="5A2B6023">
      <w:pPr>
        <w:pStyle w:val="12"/>
      </w:pPr>
      <w:r>
        <w:rPr>
          <w:rFonts w:hint="eastAsia"/>
        </w:rPr>
        <w:t>（二）表间关系</w:t>
      </w:r>
    </w:p>
    <w:p w14:paraId="65CC9438">
      <w:pPr>
        <w:spacing w:line="360" w:lineRule="auto"/>
        <w:ind w:firstLine="523" w:firstLineChars="218"/>
        <w:rPr>
          <w:rFonts w:ascii="宋体" w:hAnsi="宋体"/>
          <w:sz w:val="24"/>
        </w:rPr>
      </w:pPr>
      <w:r>
        <w:rPr>
          <w:rFonts w:hint="eastAsia" w:ascii="宋体" w:hAnsi="宋体"/>
          <w:sz w:val="24"/>
        </w:rPr>
        <w:t>1.第3</w:t>
      </w:r>
      <w:r>
        <w:rPr>
          <w:rFonts w:ascii="宋体" w:hAnsi="宋体"/>
          <w:sz w:val="24"/>
        </w:rPr>
        <w:t>1</w:t>
      </w:r>
      <w:r>
        <w:rPr>
          <w:rFonts w:hint="eastAsia" w:ascii="宋体" w:hAnsi="宋体"/>
          <w:sz w:val="24"/>
        </w:rPr>
        <w:t>行＝表A107040第2行。</w:t>
      </w:r>
    </w:p>
    <w:p w14:paraId="4FB57B58">
      <w:pPr>
        <w:spacing w:line="360" w:lineRule="auto"/>
        <w:ind w:firstLine="523" w:firstLineChars="218"/>
        <w:rPr>
          <w:rFonts w:hint="eastAsia" w:ascii="宋体" w:hAnsi="宋体"/>
          <w:sz w:val="24"/>
        </w:rPr>
      </w:pPr>
      <w:r>
        <w:rPr>
          <w:rFonts w:hint="eastAsia" w:ascii="宋体" w:hAnsi="宋体"/>
          <w:sz w:val="24"/>
        </w:rPr>
        <w:t>2.第3</w:t>
      </w:r>
      <w:r>
        <w:rPr>
          <w:rFonts w:ascii="宋体" w:hAnsi="宋体"/>
          <w:sz w:val="24"/>
        </w:rPr>
        <w:t>2</w:t>
      </w:r>
      <w:r>
        <w:rPr>
          <w:rFonts w:hint="eastAsia" w:ascii="宋体" w:hAnsi="宋体"/>
          <w:sz w:val="24"/>
        </w:rPr>
        <w:t>行＝表A107040第3行。</w:t>
      </w:r>
    </w:p>
    <w:p w14:paraId="3A654C79">
      <w:pPr>
        <w:spacing w:line="360" w:lineRule="auto"/>
        <w:ind w:firstLine="523" w:firstLineChars="218"/>
        <w:rPr>
          <w:rFonts w:hint="eastAsia" w:ascii="宋体" w:hAnsi="宋体"/>
          <w:sz w:val="24"/>
        </w:rPr>
      </w:pPr>
    </w:p>
    <w:p w14:paraId="715176DC">
      <w:pPr>
        <w:spacing w:line="360" w:lineRule="auto"/>
        <w:ind w:firstLine="523" w:firstLineChars="218"/>
        <w:rPr>
          <w:rFonts w:hint="eastAsia" w:ascii="宋体" w:hAnsi="宋体"/>
          <w:sz w:val="24"/>
        </w:rPr>
      </w:pPr>
    </w:p>
    <w:p w14:paraId="00B6011D">
      <w:pPr>
        <w:spacing w:line="360" w:lineRule="auto"/>
        <w:ind w:firstLine="523" w:firstLineChars="218"/>
        <w:rPr>
          <w:rFonts w:hint="eastAsia" w:ascii="宋体" w:hAnsi="宋体"/>
          <w:sz w:val="24"/>
        </w:rPr>
      </w:pPr>
    </w:p>
    <w:p w14:paraId="446F606A">
      <w:pPr>
        <w:keepNext/>
        <w:keepLines/>
        <w:spacing w:before="0" w:beforeLines="0" w:after="0" w:afterLines="0" w:line="360" w:lineRule="auto"/>
        <w:jc w:val="center"/>
        <w:outlineLvl w:val="0"/>
        <w:rPr>
          <w:rFonts w:ascii="宋体" w:hAnsi="宋体" w:eastAsia="宋体" w:cs="Times New Roman"/>
          <w:b/>
          <w:color w:val="auto"/>
          <w:kern w:val="44"/>
          <w:sz w:val="28"/>
          <w:szCs w:val="28"/>
        </w:rPr>
      </w:pPr>
      <w:bookmarkStart w:id="26" w:name="_Toc21426"/>
      <w:bookmarkStart w:id="27" w:name="_Toc527722757"/>
      <w:bookmarkStart w:id="28" w:name="_Toc14363"/>
      <w:bookmarkStart w:id="29" w:name="_Toc21172"/>
      <w:bookmarkStart w:id="30" w:name="_Toc31847"/>
      <w:bookmarkStart w:id="31" w:name="_Toc1891395006"/>
      <w:bookmarkStart w:id="32" w:name="_Toc23003"/>
      <w:bookmarkStart w:id="33" w:name="_Toc164008877"/>
      <w:bookmarkStart w:id="34" w:name="_Toc27657"/>
      <w:bookmarkStart w:id="35" w:name="_Toc18675"/>
      <w:bookmarkStart w:id="36" w:name="_Toc22218"/>
      <w:r>
        <w:rPr>
          <w:rFonts w:ascii="宋体" w:hAnsi="宋体" w:eastAsia="宋体" w:cs="方正小标宋简体"/>
          <w:b/>
          <w:color w:val="auto"/>
          <w:kern w:val="44"/>
          <w:sz w:val="28"/>
          <w:szCs w:val="28"/>
        </w:rPr>
        <w:t>A107041</w:t>
      </w:r>
      <w:r>
        <w:rPr>
          <w:rFonts w:ascii="宋体" w:hAnsi="宋体" w:eastAsia="宋体" w:cs="方正小标宋简体"/>
          <w:b/>
          <w:color w:val="auto"/>
          <w:kern w:val="44"/>
          <w:sz w:val="28"/>
          <w:szCs w:val="28"/>
        </w:rPr>
        <w:tab/>
      </w:r>
      <w:r>
        <w:rPr>
          <w:rFonts w:hint="eastAsia" w:ascii="宋体" w:hAnsi="宋体" w:eastAsia="宋体" w:cs="方正小标宋简体"/>
          <w:b/>
          <w:color w:val="auto"/>
          <w:kern w:val="44"/>
          <w:sz w:val="28"/>
          <w:szCs w:val="28"/>
        </w:rPr>
        <w:t>《高新技术企业优惠情况及明细表》填报说明</w:t>
      </w:r>
      <w:bookmarkEnd w:id="26"/>
      <w:bookmarkEnd w:id="27"/>
      <w:bookmarkEnd w:id="28"/>
    </w:p>
    <w:p w14:paraId="1A7BBC21">
      <w:pPr>
        <w:spacing w:line="360" w:lineRule="auto"/>
        <w:ind w:firstLine="523" w:firstLineChars="218"/>
        <w:rPr>
          <w:rFonts w:ascii="宋体"/>
          <w:color w:val="auto"/>
          <w:sz w:val="24"/>
        </w:rPr>
      </w:pPr>
      <w:r>
        <w:rPr>
          <w:rFonts w:hint="eastAsia" w:ascii="宋体" w:hAnsi="宋体" w:cs="宋体"/>
          <w:color w:val="auto"/>
          <w:sz w:val="24"/>
        </w:rPr>
        <w:t>本表适用于具备高新技术企业资格的纳税人填报。纳税人根据税法、《科技部</w:t>
      </w:r>
      <w:r>
        <w:rPr>
          <w:rFonts w:ascii="宋体" w:hAnsi="宋体" w:cs="宋体"/>
          <w:color w:val="auto"/>
          <w:sz w:val="24"/>
        </w:rPr>
        <w:t xml:space="preserve"> </w:t>
      </w:r>
      <w:r>
        <w:rPr>
          <w:rFonts w:hint="eastAsia" w:ascii="宋体" w:hAnsi="宋体" w:cs="宋体"/>
          <w:color w:val="auto"/>
          <w:sz w:val="24"/>
        </w:rPr>
        <w:t>财政部</w:t>
      </w:r>
      <w:r>
        <w:rPr>
          <w:rFonts w:ascii="宋体" w:hAnsi="宋体" w:cs="宋体"/>
          <w:color w:val="auto"/>
          <w:sz w:val="24"/>
        </w:rPr>
        <w:t xml:space="preserve"> </w:t>
      </w:r>
      <w:r>
        <w:rPr>
          <w:rFonts w:hint="eastAsia" w:ascii="宋体" w:hAnsi="宋体" w:cs="宋体"/>
          <w:color w:val="auto"/>
          <w:sz w:val="24"/>
        </w:rPr>
        <w:t>国家税务总局关于修订印发〈高新技术企业认定管理办法〉的通知》（国科发火〔</w:t>
      </w:r>
      <w:r>
        <w:rPr>
          <w:rFonts w:ascii="宋体" w:hAnsi="宋体" w:cs="宋体"/>
          <w:color w:val="auto"/>
          <w:sz w:val="24"/>
        </w:rPr>
        <w:t>2016</w:t>
      </w:r>
      <w:r>
        <w:rPr>
          <w:rFonts w:hint="eastAsia" w:ascii="宋体" w:hAnsi="宋体" w:cs="宋体"/>
          <w:color w:val="auto"/>
          <w:sz w:val="24"/>
        </w:rPr>
        <w:t>〕</w:t>
      </w:r>
      <w:r>
        <w:rPr>
          <w:rFonts w:ascii="宋体" w:hAnsi="宋体" w:cs="宋体"/>
          <w:color w:val="auto"/>
          <w:sz w:val="24"/>
        </w:rPr>
        <w:t>32</w:t>
      </w:r>
      <w:r>
        <w:rPr>
          <w:rFonts w:hint="eastAsia" w:ascii="宋体" w:hAnsi="宋体" w:cs="宋体"/>
          <w:color w:val="auto"/>
          <w:sz w:val="24"/>
        </w:rPr>
        <w:t>号）、《科学技术部</w:t>
      </w:r>
      <w:r>
        <w:rPr>
          <w:rFonts w:ascii="宋体" w:hAnsi="宋体" w:cs="宋体"/>
          <w:color w:val="auto"/>
          <w:sz w:val="24"/>
        </w:rPr>
        <w:t xml:space="preserve"> </w:t>
      </w:r>
      <w:r>
        <w:rPr>
          <w:rFonts w:hint="eastAsia" w:ascii="宋体" w:hAnsi="宋体" w:cs="宋体"/>
          <w:color w:val="auto"/>
          <w:sz w:val="24"/>
        </w:rPr>
        <w:t>财政部</w:t>
      </w:r>
      <w:r>
        <w:rPr>
          <w:rFonts w:ascii="宋体" w:hAnsi="宋体" w:cs="宋体"/>
          <w:color w:val="auto"/>
          <w:sz w:val="24"/>
        </w:rPr>
        <w:t xml:space="preserve"> </w:t>
      </w:r>
      <w:r>
        <w:rPr>
          <w:rFonts w:hint="eastAsia" w:ascii="宋体" w:hAnsi="宋体" w:cs="宋体"/>
          <w:color w:val="auto"/>
          <w:sz w:val="24"/>
        </w:rPr>
        <w:t>国家税务总局关于修订印发〈高新技术企业认定管理工作指引〉的通知》（国科发火〔</w:t>
      </w:r>
      <w:r>
        <w:rPr>
          <w:rFonts w:ascii="宋体" w:hAnsi="宋体" w:cs="宋体"/>
          <w:color w:val="auto"/>
          <w:sz w:val="24"/>
        </w:rPr>
        <w:t>2016</w:t>
      </w:r>
      <w:r>
        <w:rPr>
          <w:rFonts w:hint="eastAsia" w:ascii="宋体" w:hAnsi="宋体" w:cs="宋体"/>
          <w:color w:val="auto"/>
          <w:sz w:val="24"/>
        </w:rPr>
        <w:t>〕</w:t>
      </w:r>
      <w:r>
        <w:rPr>
          <w:rFonts w:ascii="宋体" w:hAnsi="宋体" w:cs="宋体"/>
          <w:color w:val="auto"/>
          <w:sz w:val="24"/>
        </w:rPr>
        <w:t>195</w:t>
      </w:r>
      <w:r>
        <w:rPr>
          <w:rFonts w:hint="eastAsia" w:ascii="宋体" w:hAnsi="宋体" w:cs="宋体"/>
          <w:color w:val="auto"/>
          <w:sz w:val="24"/>
        </w:rPr>
        <w:t>号）、《国家税务总局关于实施高新技术企业所得税优惠政策有关问题的公告》（国家税务总局公告</w:t>
      </w:r>
      <w:r>
        <w:rPr>
          <w:rFonts w:ascii="宋体" w:hAnsi="宋体" w:cs="宋体"/>
          <w:color w:val="auto"/>
          <w:sz w:val="24"/>
        </w:rPr>
        <w:t>2017</w:t>
      </w:r>
      <w:r>
        <w:rPr>
          <w:rFonts w:hint="eastAsia" w:ascii="宋体" w:hAnsi="宋体" w:cs="宋体"/>
          <w:color w:val="auto"/>
          <w:sz w:val="24"/>
        </w:rPr>
        <w:t>年第</w:t>
      </w:r>
      <w:r>
        <w:rPr>
          <w:rFonts w:ascii="宋体" w:hAnsi="宋体" w:cs="宋体"/>
          <w:color w:val="auto"/>
          <w:sz w:val="24"/>
        </w:rPr>
        <w:t>24</w:t>
      </w:r>
      <w:r>
        <w:rPr>
          <w:rFonts w:hint="eastAsia" w:ascii="宋体" w:hAnsi="宋体" w:cs="宋体"/>
          <w:color w:val="auto"/>
          <w:sz w:val="24"/>
        </w:rPr>
        <w:t>号）等相关税收政策规定，填报高新技术企业基本信息和本年优惠情况。不论是否享受优惠政策，高新技术企业资格在有效期内的纳税人均需填报本表。</w:t>
      </w:r>
    </w:p>
    <w:p w14:paraId="5A0CCB4F">
      <w:pPr>
        <w:spacing w:before="0" w:beforeLines="0" w:line="360" w:lineRule="auto"/>
        <w:ind w:firstLine="480" w:firstLineChars="200"/>
        <w:jc w:val="left"/>
        <w:outlineLvl w:val="1"/>
        <w:rPr>
          <w:rFonts w:hint="eastAsia" w:ascii="黑体" w:hAnsi="黑体" w:eastAsia="黑体" w:cs="黑体"/>
          <w:b w:val="0"/>
          <w:bCs w:val="0"/>
          <w:color w:val="auto"/>
          <w:sz w:val="24"/>
        </w:rPr>
      </w:pPr>
      <w:r>
        <w:rPr>
          <w:rFonts w:hint="eastAsia" w:ascii="黑体" w:hAnsi="黑体" w:eastAsia="黑体" w:cs="黑体"/>
          <w:b w:val="0"/>
          <w:bCs w:val="0"/>
          <w:color w:val="auto"/>
          <w:sz w:val="24"/>
        </w:rPr>
        <w:t>一、有关项目填报说明</w:t>
      </w:r>
    </w:p>
    <w:p w14:paraId="38B16B1C">
      <w:pPr>
        <w:spacing w:line="360" w:lineRule="auto"/>
        <w:ind w:firstLine="523" w:firstLineChars="218"/>
        <w:rPr>
          <w:rFonts w:ascii="Times New Roman" w:hAnsi="Times New Roman" w:eastAsia="宋体" w:cs="Times New Roman"/>
          <w:snapToGrid w:val="0"/>
          <w:color w:val="auto"/>
          <w:kern w:val="0"/>
          <w:sz w:val="24"/>
        </w:rPr>
      </w:pPr>
      <w:r>
        <w:rPr>
          <w:rFonts w:ascii="宋体" w:hAnsi="宋体" w:eastAsia="宋体" w:cs="宋体"/>
          <w:color w:val="auto"/>
          <w:sz w:val="24"/>
        </w:rPr>
        <w:t>1</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w:t>
      </w:r>
      <w:r>
        <w:rPr>
          <w:rFonts w:hint="eastAsia" w:ascii="宋体" w:hAnsi="宋体" w:eastAsia="宋体" w:cs="宋体"/>
          <w:color w:val="auto"/>
          <w:sz w:val="24"/>
        </w:rPr>
        <w:t>行至第</w:t>
      </w:r>
      <w:r>
        <w:rPr>
          <w:rFonts w:ascii="宋体" w:hAnsi="宋体" w:eastAsia="宋体" w:cs="宋体"/>
          <w:color w:val="auto"/>
          <w:sz w:val="24"/>
        </w:rPr>
        <w:t>3</w:t>
      </w:r>
      <w:r>
        <w:rPr>
          <w:rFonts w:hint="eastAsia" w:ascii="宋体" w:hAnsi="宋体" w:eastAsia="宋体" w:cs="宋体"/>
          <w:color w:val="auto"/>
          <w:sz w:val="24"/>
        </w:rPr>
        <w:t>行：“企业主要产品（服务）发挥核心支持作用的技术所属范围”：填报对企业主要产品（服务）发挥核心支持作用的技术属于《国家重点支持的高新技术领域》规定的具体范围，填报至三级明细领域，如“一、电子信息技术（一）软件</w:t>
      </w:r>
      <w:r>
        <w:rPr>
          <w:rFonts w:ascii="宋体" w:hAnsi="宋体" w:eastAsia="宋体" w:cs="宋体"/>
          <w:color w:val="auto"/>
          <w:sz w:val="24"/>
        </w:rPr>
        <w:t>1</w:t>
      </w:r>
      <w:r>
        <w:rPr>
          <w:rFonts w:ascii="宋体" w:hAnsi="Times New Roman" w:eastAsia="宋体" w:cs="宋体"/>
          <w:color w:val="auto"/>
          <w:sz w:val="24"/>
        </w:rPr>
        <w:t>.</w:t>
      </w:r>
      <w:r>
        <w:rPr>
          <w:rFonts w:hint="eastAsia" w:ascii="宋体" w:hAnsi="宋体" w:eastAsia="宋体" w:cs="宋体"/>
          <w:color w:val="auto"/>
          <w:sz w:val="24"/>
        </w:rPr>
        <w:t>系统软件”。</w:t>
      </w:r>
    </w:p>
    <w:p w14:paraId="29FE689E">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4</w:t>
      </w:r>
      <w:r>
        <w:rPr>
          <w:rFonts w:hint="eastAsia" w:ascii="宋体" w:hAnsi="宋体" w:eastAsia="宋体" w:cs="宋体"/>
          <w:color w:val="auto"/>
          <w:sz w:val="24"/>
        </w:rPr>
        <w:t>行“本年高新技术产品（服务）收入”：填报第</w:t>
      </w:r>
      <w:r>
        <w:rPr>
          <w:rFonts w:ascii="宋体" w:hAnsi="宋体" w:eastAsia="宋体" w:cs="宋体"/>
          <w:color w:val="auto"/>
          <w:sz w:val="24"/>
        </w:rPr>
        <w:t>5+6</w:t>
      </w:r>
      <w:r>
        <w:rPr>
          <w:rFonts w:hint="eastAsia" w:ascii="宋体" w:hAnsi="宋体" w:eastAsia="宋体" w:cs="宋体"/>
          <w:color w:val="auto"/>
          <w:sz w:val="24"/>
        </w:rPr>
        <w:t>行金额。</w:t>
      </w:r>
    </w:p>
    <w:p w14:paraId="25D5781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3</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5</w:t>
      </w:r>
      <w:r>
        <w:rPr>
          <w:rFonts w:hint="eastAsia" w:ascii="宋体" w:hAnsi="宋体" w:eastAsia="宋体" w:cs="宋体"/>
          <w:color w:val="auto"/>
          <w:sz w:val="24"/>
        </w:rPr>
        <w:t>行“产品（服务）收入”：填报纳税人本年发挥核心支持作用的技术属于《国家重点支持的高新技术领域》规定范围的产品（服务）收入。</w:t>
      </w:r>
    </w:p>
    <w:p w14:paraId="6EC0E3A3">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4</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6</w:t>
      </w:r>
      <w:r>
        <w:rPr>
          <w:rFonts w:hint="eastAsia" w:ascii="宋体" w:hAnsi="宋体" w:eastAsia="宋体" w:cs="宋体"/>
          <w:color w:val="auto"/>
          <w:sz w:val="24"/>
        </w:rPr>
        <w:t>行“技术性收入”：包括技术转让收入、技术服务收入和接受委托研究开发收入。</w:t>
      </w:r>
    </w:p>
    <w:p w14:paraId="1635CF05">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5</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7</w:t>
      </w:r>
      <w:r>
        <w:rPr>
          <w:rFonts w:hint="eastAsia" w:ascii="宋体" w:hAnsi="宋体" w:eastAsia="宋体" w:cs="宋体"/>
          <w:color w:val="auto"/>
          <w:sz w:val="24"/>
        </w:rPr>
        <w:t>行“本年企业总收入”：填报第</w:t>
      </w:r>
      <w:r>
        <w:rPr>
          <w:rFonts w:ascii="宋体" w:hAnsi="宋体" w:eastAsia="宋体" w:cs="宋体"/>
          <w:color w:val="auto"/>
          <w:sz w:val="24"/>
        </w:rPr>
        <w:t>8-9</w:t>
      </w:r>
      <w:r>
        <w:rPr>
          <w:rFonts w:hint="eastAsia" w:ascii="宋体" w:hAnsi="宋体" w:eastAsia="宋体" w:cs="宋体"/>
          <w:color w:val="auto"/>
          <w:sz w:val="24"/>
        </w:rPr>
        <w:t>行金额。</w:t>
      </w:r>
    </w:p>
    <w:p w14:paraId="6A72306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6</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8</w:t>
      </w:r>
      <w:r>
        <w:rPr>
          <w:rFonts w:hint="eastAsia" w:ascii="宋体" w:hAnsi="宋体" w:eastAsia="宋体" w:cs="宋体"/>
          <w:color w:val="auto"/>
          <w:sz w:val="24"/>
        </w:rPr>
        <w:t>行“收入总额”：填报纳税人本年以货币形式和非货币形式从各种来源取得的收入总额。包括：销售货物收入，提供劳务收入，转让财产收入，股息、红利等权益性投资收益，利息收入，租金收入，特许权使用费收入，接受捐赠收入，其他收入。</w:t>
      </w:r>
    </w:p>
    <w:p w14:paraId="59003AAF">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7</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9</w:t>
      </w:r>
      <w:r>
        <w:rPr>
          <w:rFonts w:hint="eastAsia" w:ascii="宋体" w:hAnsi="宋体" w:eastAsia="宋体" w:cs="宋体"/>
          <w:color w:val="auto"/>
          <w:sz w:val="24"/>
        </w:rPr>
        <w:t>行“不征税收入”：填报纳税人本年符合相关政策规定的不征税收入。</w:t>
      </w:r>
    </w:p>
    <w:p w14:paraId="724542A4">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8</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10</w:t>
      </w:r>
      <w:r>
        <w:rPr>
          <w:rFonts w:hint="eastAsia" w:ascii="宋体" w:hAnsi="宋体" w:eastAsia="宋体" w:cs="宋体"/>
          <w:color w:val="auto"/>
          <w:sz w:val="24"/>
        </w:rPr>
        <w:t>行“本年高新技术产品（服务）收入占企业总收入的比例”：填报第</w:t>
      </w:r>
      <w:r>
        <w:rPr>
          <w:rFonts w:ascii="宋体" w:hAnsi="宋体" w:eastAsia="宋体" w:cs="宋体"/>
          <w:color w:val="auto"/>
          <w:sz w:val="24"/>
        </w:rPr>
        <w:t>4</w:t>
      </w:r>
      <w:r>
        <w:rPr>
          <w:rFonts w:hint="eastAsia" w:ascii="宋体" w:hAnsi="宋体" w:eastAsia="宋体" w:cs="宋体"/>
          <w:color w:val="auto"/>
          <w:sz w:val="24"/>
        </w:rPr>
        <w:t>÷</w:t>
      </w:r>
      <w:r>
        <w:rPr>
          <w:rFonts w:ascii="宋体" w:hAnsi="宋体" w:eastAsia="宋体" w:cs="宋体"/>
          <w:color w:val="auto"/>
          <w:sz w:val="24"/>
        </w:rPr>
        <w:t>7</w:t>
      </w:r>
      <w:r>
        <w:rPr>
          <w:rFonts w:hint="eastAsia" w:ascii="宋体" w:hAnsi="宋体" w:eastAsia="宋体" w:cs="宋体"/>
          <w:color w:val="auto"/>
          <w:sz w:val="24"/>
        </w:rPr>
        <w:t>行计算后的比例。</w:t>
      </w:r>
    </w:p>
    <w:p w14:paraId="5CB2611D">
      <w:pPr>
        <w:spacing w:line="360" w:lineRule="auto"/>
        <w:ind w:firstLine="523" w:firstLineChars="218"/>
        <w:jc w:val="left"/>
        <w:rPr>
          <w:rFonts w:ascii="宋体" w:hAnsi="Times New Roman" w:eastAsia="宋体" w:cs="Times New Roman"/>
          <w:color w:val="auto"/>
          <w:sz w:val="24"/>
        </w:rPr>
      </w:pPr>
      <w:r>
        <w:rPr>
          <w:rFonts w:ascii="宋体" w:hAnsi="宋体" w:eastAsia="宋体" w:cs="宋体"/>
          <w:color w:val="auto"/>
          <w:sz w:val="24"/>
        </w:rPr>
        <w:t>9</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11</w:t>
      </w:r>
      <w:r>
        <w:rPr>
          <w:rFonts w:hint="eastAsia" w:ascii="宋体" w:hAnsi="宋体" w:eastAsia="宋体" w:cs="宋体"/>
          <w:color w:val="auto"/>
          <w:sz w:val="24"/>
        </w:rPr>
        <w:t>行“本年科技人员数”：填报纳税人直接从事研发和相关技术创新活动，以及专门从事上述活动的管理和提供直接技术服务的，累计实际工作时间在</w:t>
      </w:r>
      <w:r>
        <w:rPr>
          <w:rFonts w:ascii="宋体" w:hAnsi="宋体" w:eastAsia="宋体" w:cs="宋体"/>
          <w:color w:val="auto"/>
          <w:sz w:val="24"/>
        </w:rPr>
        <w:t>183</w:t>
      </w:r>
      <w:r>
        <w:rPr>
          <w:rFonts w:hint="eastAsia" w:ascii="宋体" w:hAnsi="宋体" w:eastAsia="宋体" w:cs="宋体"/>
          <w:color w:val="auto"/>
          <w:sz w:val="24"/>
        </w:rPr>
        <w:t>天以上的人员，包括在职、兼职和临时聘用人员。</w:t>
      </w:r>
    </w:p>
    <w:p w14:paraId="7BB97C91">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w:t>
      </w:r>
      <w:r>
        <w:rPr>
          <w:rFonts w:ascii="宋体" w:hAnsi="Times New Roman" w:eastAsia="宋体" w:cs="宋体"/>
          <w:color w:val="auto"/>
          <w:sz w:val="24"/>
        </w:rPr>
        <w:t>0.</w:t>
      </w:r>
      <w:r>
        <w:rPr>
          <w:rFonts w:hint="eastAsia" w:ascii="宋体" w:hAnsi="宋体" w:eastAsia="宋体" w:cs="宋体"/>
          <w:color w:val="auto"/>
          <w:sz w:val="24"/>
        </w:rPr>
        <w:t>第</w:t>
      </w:r>
      <w:r>
        <w:rPr>
          <w:rFonts w:ascii="宋体" w:hAnsi="宋体" w:eastAsia="宋体" w:cs="宋体"/>
          <w:color w:val="auto"/>
          <w:sz w:val="24"/>
        </w:rPr>
        <w:t>12</w:t>
      </w:r>
      <w:r>
        <w:rPr>
          <w:rFonts w:hint="eastAsia" w:ascii="宋体" w:hAnsi="宋体" w:eastAsia="宋体" w:cs="宋体"/>
          <w:color w:val="auto"/>
          <w:sz w:val="24"/>
        </w:rPr>
        <w:t>行“本年职工总数”：填报纳税人本年在职、兼职和临时聘用人员。在职人员可以通过企业是否签订劳动合同或缴纳社会保险费来判断。兼职、临时聘用人员全年须在企业累计工作</w:t>
      </w:r>
      <w:r>
        <w:rPr>
          <w:rFonts w:ascii="宋体" w:hAnsi="宋体" w:eastAsia="宋体" w:cs="宋体"/>
          <w:color w:val="auto"/>
          <w:sz w:val="24"/>
        </w:rPr>
        <w:t>183</w:t>
      </w:r>
      <w:r>
        <w:rPr>
          <w:rFonts w:hint="eastAsia" w:ascii="宋体" w:hAnsi="宋体" w:eastAsia="宋体" w:cs="宋体"/>
          <w:color w:val="auto"/>
          <w:sz w:val="24"/>
        </w:rPr>
        <w:t>天以上。</w:t>
      </w:r>
    </w:p>
    <w:p w14:paraId="6398A61B">
      <w:pPr>
        <w:spacing w:line="360" w:lineRule="auto"/>
        <w:ind w:firstLine="523" w:firstLineChars="218"/>
        <w:jc w:val="left"/>
        <w:rPr>
          <w:rFonts w:ascii="宋体" w:hAnsi="Times New Roman" w:eastAsia="宋体" w:cs="Times New Roman"/>
          <w:color w:val="auto"/>
          <w:sz w:val="24"/>
        </w:rPr>
      </w:pPr>
      <w:r>
        <w:rPr>
          <w:rFonts w:ascii="宋体" w:hAnsi="宋体" w:eastAsia="宋体" w:cs="宋体"/>
          <w:color w:val="auto"/>
          <w:sz w:val="24"/>
        </w:rPr>
        <w:t>11</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13</w:t>
      </w:r>
      <w:r>
        <w:rPr>
          <w:rFonts w:hint="eastAsia" w:ascii="宋体" w:hAnsi="宋体" w:eastAsia="宋体" w:cs="宋体"/>
          <w:color w:val="auto"/>
          <w:sz w:val="24"/>
        </w:rPr>
        <w:t>行“本年科技人员占企业当年职工总数的比例”：填报第</w:t>
      </w:r>
      <w:r>
        <w:rPr>
          <w:rFonts w:ascii="宋体" w:hAnsi="宋体" w:eastAsia="宋体" w:cs="宋体"/>
          <w:color w:val="auto"/>
          <w:sz w:val="24"/>
        </w:rPr>
        <w:t>11</w:t>
      </w:r>
      <w:r>
        <w:rPr>
          <w:rFonts w:hint="eastAsia" w:ascii="宋体" w:hAnsi="宋体" w:eastAsia="宋体" w:cs="宋体"/>
          <w:color w:val="auto"/>
          <w:sz w:val="24"/>
        </w:rPr>
        <w:t>÷</w:t>
      </w:r>
      <w:r>
        <w:rPr>
          <w:rFonts w:ascii="宋体" w:hAnsi="宋体" w:eastAsia="宋体" w:cs="宋体"/>
          <w:color w:val="auto"/>
          <w:sz w:val="24"/>
        </w:rPr>
        <w:t>12</w:t>
      </w:r>
      <w:r>
        <w:rPr>
          <w:rFonts w:hint="eastAsia" w:ascii="宋体" w:hAnsi="宋体" w:eastAsia="宋体" w:cs="宋体"/>
          <w:color w:val="auto"/>
          <w:sz w:val="24"/>
        </w:rPr>
        <w:t>行的比例。</w:t>
      </w:r>
    </w:p>
    <w:p w14:paraId="2C143D74">
      <w:pPr>
        <w:spacing w:line="360" w:lineRule="auto"/>
        <w:ind w:firstLine="523" w:firstLineChars="218"/>
        <w:jc w:val="left"/>
        <w:rPr>
          <w:rFonts w:hint="eastAsia" w:ascii="宋体" w:hAnsi="宋体" w:eastAsia="宋体" w:cs="宋体"/>
          <w:color w:val="auto"/>
          <w:sz w:val="24"/>
        </w:rPr>
      </w:pPr>
      <w:r>
        <w:rPr>
          <w:rFonts w:ascii="宋体" w:hAnsi="宋体" w:eastAsia="宋体" w:cs="宋体"/>
          <w:color w:val="auto"/>
          <w:sz w:val="24"/>
        </w:rPr>
        <w:t>12</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14</w:t>
      </w:r>
      <w:r>
        <w:rPr>
          <w:rFonts w:hint="eastAsia" w:ascii="宋体" w:hAnsi="宋体" w:eastAsia="宋体" w:cs="宋体"/>
          <w:color w:val="auto"/>
          <w:sz w:val="24"/>
        </w:rPr>
        <w:t>行“高新研发费用归集年度”：本行无填报事项。</w:t>
      </w:r>
    </w:p>
    <w:p w14:paraId="1BDE1BC2">
      <w:pPr>
        <w:spacing w:line="360" w:lineRule="auto"/>
        <w:ind w:firstLine="523" w:firstLineChars="218"/>
        <w:jc w:val="left"/>
        <w:rPr>
          <w:rFonts w:ascii="宋体" w:hAnsi="Times New Roman" w:eastAsia="宋体" w:cs="Times New Roman"/>
          <w:color w:val="auto"/>
          <w:sz w:val="24"/>
        </w:rPr>
      </w:pPr>
      <w:r>
        <w:rPr>
          <w:rFonts w:hint="eastAsia" w:ascii="宋体" w:hAnsi="宋体" w:eastAsia="宋体" w:cs="宋体"/>
          <w:color w:val="auto"/>
          <w:sz w:val="24"/>
        </w:rPr>
        <w:t>与计算研发费比例相关的第</w:t>
      </w:r>
      <w:r>
        <w:rPr>
          <w:rFonts w:ascii="宋体" w:hAnsi="宋体" w:eastAsia="宋体" w:cs="宋体"/>
          <w:color w:val="auto"/>
          <w:sz w:val="24"/>
        </w:rPr>
        <w:t>15</w:t>
      </w:r>
      <w:r>
        <w:rPr>
          <w:rFonts w:hint="eastAsia" w:ascii="宋体" w:hAnsi="宋体" w:eastAsia="宋体" w:cs="宋体"/>
          <w:color w:val="auto"/>
          <w:sz w:val="24"/>
        </w:rPr>
        <w:t>行至第</w:t>
      </w:r>
      <w:r>
        <w:rPr>
          <w:rFonts w:ascii="宋体" w:hAnsi="宋体" w:eastAsia="宋体" w:cs="宋体"/>
          <w:color w:val="auto"/>
          <w:sz w:val="24"/>
        </w:rPr>
        <w:t>29</w:t>
      </w:r>
      <w:r>
        <w:rPr>
          <w:rFonts w:hint="eastAsia" w:ascii="宋体" w:hAnsi="宋体" w:eastAsia="宋体" w:cs="宋体"/>
          <w:color w:val="auto"/>
          <w:sz w:val="24"/>
        </w:rPr>
        <w:t>行需填报三年数据，实际经营不满三年的按实际经营时间填报。</w:t>
      </w:r>
    </w:p>
    <w:p w14:paraId="121A90D7">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13</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15</w:t>
      </w:r>
      <w:r>
        <w:rPr>
          <w:rFonts w:hint="eastAsia" w:ascii="宋体" w:hAnsi="宋体" w:eastAsia="宋体" w:cs="宋体"/>
          <w:color w:val="auto"/>
          <w:sz w:val="24"/>
        </w:rPr>
        <w:t>行“本年归集的高新研发费用金额”：填报第</w:t>
      </w:r>
      <w:r>
        <w:rPr>
          <w:rFonts w:ascii="宋体" w:hAnsi="宋体" w:eastAsia="宋体" w:cs="宋体"/>
          <w:color w:val="auto"/>
          <w:sz w:val="24"/>
        </w:rPr>
        <w:t>16+25</w:t>
      </w:r>
      <w:r>
        <w:rPr>
          <w:rFonts w:hint="eastAsia" w:ascii="宋体" w:hAnsi="宋体" w:eastAsia="宋体" w:cs="宋体"/>
          <w:color w:val="auto"/>
          <w:sz w:val="24"/>
        </w:rPr>
        <w:t>行金额。</w:t>
      </w:r>
    </w:p>
    <w:p w14:paraId="4C7CBA7F">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14</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16</w:t>
      </w:r>
      <w:r>
        <w:rPr>
          <w:rFonts w:hint="eastAsia" w:ascii="宋体" w:hAnsi="宋体" w:eastAsia="宋体" w:cs="宋体"/>
          <w:color w:val="auto"/>
          <w:sz w:val="24"/>
        </w:rPr>
        <w:t>行“内部研究开发投入”：填报第</w:t>
      </w:r>
      <w:r>
        <w:rPr>
          <w:rFonts w:ascii="宋体" w:hAnsi="宋体" w:eastAsia="宋体" w:cs="宋体"/>
          <w:color w:val="auto"/>
          <w:sz w:val="24"/>
        </w:rPr>
        <w:t>17+18+19+20+21+22+24</w:t>
      </w:r>
      <w:r>
        <w:rPr>
          <w:rFonts w:hint="eastAsia" w:ascii="宋体" w:hAnsi="宋体" w:eastAsia="宋体" w:cs="宋体"/>
          <w:color w:val="auto"/>
          <w:sz w:val="24"/>
        </w:rPr>
        <w:t>行金额。</w:t>
      </w:r>
    </w:p>
    <w:p w14:paraId="2ABB394A">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15</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17</w:t>
      </w:r>
      <w:r>
        <w:rPr>
          <w:rFonts w:hint="eastAsia" w:ascii="宋体" w:hAnsi="宋体" w:eastAsia="宋体" w:cs="宋体"/>
          <w:color w:val="auto"/>
          <w:sz w:val="24"/>
        </w:rPr>
        <w:t>行“人员人工费用”：填报纳税人科技人员的工资薪金、基本养老保险费、基本医疗保险费、失业保险费、工伤保险费、生育保险费和住房公积金，以及外聘科技人员的劳务费用。</w:t>
      </w:r>
    </w:p>
    <w:p w14:paraId="26A5C2A0">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16</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18</w:t>
      </w:r>
      <w:r>
        <w:rPr>
          <w:rFonts w:hint="eastAsia" w:ascii="宋体" w:hAnsi="宋体" w:eastAsia="宋体" w:cs="宋体"/>
          <w:color w:val="auto"/>
          <w:sz w:val="24"/>
        </w:rPr>
        <w:t>行“直接投入费用”：填报纳税人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发活动的固定资产租赁费。</w:t>
      </w:r>
    </w:p>
    <w:p w14:paraId="551FF15E">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17</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19</w:t>
      </w:r>
      <w:r>
        <w:rPr>
          <w:rFonts w:hint="eastAsia" w:ascii="宋体" w:hAnsi="宋体" w:eastAsia="宋体" w:cs="宋体"/>
          <w:color w:val="auto"/>
          <w:sz w:val="24"/>
        </w:rPr>
        <w:t>行“折旧费用与长期待摊费用”：填报纳税人用于研究开发活动的仪器、设备和在用建筑物的折旧费；研发设施的改建、改装、装修和修理过程中发生的长期待摊费用。</w:t>
      </w:r>
    </w:p>
    <w:p w14:paraId="31488915">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18</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20</w:t>
      </w:r>
      <w:r>
        <w:rPr>
          <w:rFonts w:hint="eastAsia" w:ascii="宋体" w:hAnsi="宋体" w:eastAsia="宋体" w:cs="宋体"/>
          <w:color w:val="auto"/>
          <w:sz w:val="24"/>
        </w:rPr>
        <w:t>行“无形资产摊销费用”：填报纳税人用于研究开发活动的软件、知识产权、非专利技术（专有技术、许可证、设计和计算方法等）的摊销费用。</w:t>
      </w:r>
    </w:p>
    <w:p w14:paraId="6A2BE49D">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19</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21</w:t>
      </w:r>
      <w:r>
        <w:rPr>
          <w:rFonts w:hint="eastAsia" w:ascii="宋体" w:hAnsi="宋体" w:eastAsia="宋体" w:cs="宋体"/>
          <w:color w:val="auto"/>
          <w:sz w:val="24"/>
        </w:rPr>
        <w:t>行“设计费用”：填报纳税人为新产品和新工艺进行构思、开发和制造，进行工序、技术规范、规程制定、操作特性方面的设计等发生的费用，包括为获得创新性、创意性、突破性产品进行的创意设计活动发生的相关费用。</w:t>
      </w:r>
    </w:p>
    <w:p w14:paraId="0F39955D">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w:t>
      </w:r>
      <w:r>
        <w:rPr>
          <w:rFonts w:ascii="宋体" w:hAnsi="Times New Roman" w:eastAsia="宋体" w:cs="宋体"/>
          <w:color w:val="auto"/>
          <w:sz w:val="24"/>
        </w:rPr>
        <w:t>0.</w:t>
      </w:r>
      <w:r>
        <w:rPr>
          <w:rFonts w:hint="eastAsia" w:ascii="宋体" w:hAnsi="宋体" w:eastAsia="宋体" w:cs="宋体"/>
          <w:color w:val="auto"/>
          <w:sz w:val="24"/>
        </w:rPr>
        <w:t>第</w:t>
      </w:r>
      <w:r>
        <w:rPr>
          <w:rFonts w:ascii="宋体" w:hAnsi="宋体" w:eastAsia="宋体" w:cs="宋体"/>
          <w:color w:val="auto"/>
          <w:sz w:val="24"/>
        </w:rPr>
        <w:t>22</w:t>
      </w:r>
      <w:r>
        <w:rPr>
          <w:rFonts w:hint="eastAsia" w:ascii="宋体" w:hAnsi="宋体" w:eastAsia="宋体" w:cs="宋体"/>
          <w:color w:val="auto"/>
          <w:sz w:val="24"/>
        </w:rPr>
        <w:t>行“装备调试费与实验费用”：填报纳税人工装准备过程中研究开发活动所发生的费用，包括研制特殊、专用的生产机器，改变生产和质量控制程序，或制定新方法及标准等活动所发生的费用。</w:t>
      </w:r>
    </w:p>
    <w:p w14:paraId="53A862AF">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21</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23</w:t>
      </w:r>
      <w:r>
        <w:rPr>
          <w:rFonts w:hint="eastAsia" w:ascii="宋体" w:hAnsi="宋体" w:eastAsia="宋体" w:cs="宋体"/>
          <w:color w:val="auto"/>
          <w:sz w:val="24"/>
        </w:rPr>
        <w:t>行“其他费用”：填报纳税人与研究开发活动直接相关的其他费用，包括技术图书资料费、资料翻译费、专家咨询费、高新科技研发保险费，研发成果的检索、论证、评审、鉴定、验收费用，知识产权的申请费、注册费、代理费，会议费、差旅费、通讯费等。</w:t>
      </w:r>
    </w:p>
    <w:p w14:paraId="0FB08F10">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22</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24</w:t>
      </w:r>
      <w:r>
        <w:rPr>
          <w:rFonts w:hint="eastAsia" w:ascii="宋体" w:hAnsi="宋体" w:eastAsia="宋体" w:cs="宋体"/>
          <w:color w:val="auto"/>
          <w:sz w:val="24"/>
        </w:rPr>
        <w:t>行“可计入研发费用的其他费用”：填报</w:t>
      </w:r>
      <w:r>
        <w:rPr>
          <w:rFonts w:hint="eastAsia" w:ascii="Times New Roman" w:hAnsi="Times New Roman" w:eastAsia="宋体" w:cs="宋体"/>
          <w:color w:val="auto"/>
          <w:sz w:val="24"/>
        </w:rPr>
        <w:t>纳税人为研究开发活动所发生的</w:t>
      </w:r>
      <w:r>
        <w:rPr>
          <w:rFonts w:hint="eastAsia" w:ascii="宋体" w:hAnsi="宋体" w:eastAsia="宋体" w:cs="宋体"/>
          <w:color w:val="auto"/>
          <w:sz w:val="24"/>
        </w:rPr>
        <w:t>其他费用中不超过研究开发总费用的</w:t>
      </w:r>
      <w:r>
        <w:rPr>
          <w:rFonts w:ascii="宋体" w:hAnsi="宋体" w:eastAsia="宋体" w:cs="宋体"/>
          <w:color w:val="auto"/>
          <w:sz w:val="24"/>
        </w:rPr>
        <w:t>20%</w:t>
      </w:r>
      <w:r>
        <w:rPr>
          <w:rFonts w:hint="eastAsia" w:ascii="宋体" w:hAnsi="宋体" w:eastAsia="宋体" w:cs="宋体"/>
          <w:color w:val="auto"/>
          <w:sz w:val="24"/>
        </w:rPr>
        <w:t>的金额，按第</w:t>
      </w:r>
      <w:r>
        <w:rPr>
          <w:rFonts w:ascii="宋体" w:hAnsi="宋体" w:eastAsia="宋体" w:cs="宋体"/>
          <w:color w:val="auto"/>
          <w:sz w:val="24"/>
        </w:rPr>
        <w:t>17</w:t>
      </w:r>
      <w:r>
        <w:rPr>
          <w:rFonts w:hint="eastAsia" w:ascii="宋体" w:hAnsi="宋体" w:eastAsia="宋体" w:cs="宋体"/>
          <w:color w:val="auto"/>
          <w:sz w:val="24"/>
        </w:rPr>
        <w:t>行至第</w:t>
      </w:r>
      <w:r>
        <w:rPr>
          <w:rFonts w:ascii="宋体" w:hAnsi="宋体" w:eastAsia="宋体" w:cs="宋体"/>
          <w:color w:val="auto"/>
          <w:sz w:val="24"/>
        </w:rPr>
        <w:t>22</w:t>
      </w:r>
      <w:r>
        <w:rPr>
          <w:rFonts w:hint="eastAsia" w:ascii="宋体" w:hAnsi="宋体" w:eastAsia="宋体" w:cs="宋体"/>
          <w:color w:val="auto"/>
          <w:sz w:val="24"/>
        </w:rPr>
        <w:t>行之和×</w:t>
      </w:r>
      <w:r>
        <w:rPr>
          <w:rFonts w:ascii="宋体" w:hAnsi="宋体" w:eastAsia="宋体" w:cs="宋体"/>
          <w:color w:val="auto"/>
          <w:sz w:val="24"/>
        </w:rPr>
        <w:t>20%</w:t>
      </w:r>
      <w:r>
        <w:rPr>
          <w:rFonts w:hint="eastAsia" w:ascii="宋体" w:hAnsi="宋体" w:eastAsia="宋体" w:cs="宋体"/>
          <w:color w:val="auto"/>
          <w:sz w:val="24"/>
        </w:rPr>
        <w:t>÷</w:t>
      </w:r>
      <w:r>
        <w:rPr>
          <w:rFonts w:ascii="宋体" w:hAnsi="宋体" w:eastAsia="宋体" w:cs="宋体"/>
          <w:color w:val="auto"/>
          <w:sz w:val="24"/>
        </w:rPr>
        <w:t>(1-20%)</w:t>
      </w:r>
      <w:r>
        <w:rPr>
          <w:rFonts w:hint="eastAsia" w:ascii="宋体" w:hAnsi="宋体" w:eastAsia="宋体" w:cs="宋体"/>
          <w:color w:val="auto"/>
          <w:sz w:val="24"/>
        </w:rPr>
        <w:t>与第</w:t>
      </w:r>
      <w:r>
        <w:rPr>
          <w:rFonts w:ascii="宋体" w:hAnsi="宋体" w:eastAsia="宋体" w:cs="宋体"/>
          <w:color w:val="auto"/>
          <w:sz w:val="24"/>
        </w:rPr>
        <w:t>23</w:t>
      </w:r>
      <w:r>
        <w:rPr>
          <w:rFonts w:hint="eastAsia" w:ascii="宋体" w:hAnsi="宋体" w:eastAsia="宋体" w:cs="宋体"/>
          <w:color w:val="auto"/>
          <w:sz w:val="24"/>
        </w:rPr>
        <w:t>行的孰小值填报。</w:t>
      </w:r>
    </w:p>
    <w:p w14:paraId="1BDD6BFD">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23</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25</w:t>
      </w:r>
      <w:r>
        <w:rPr>
          <w:rFonts w:hint="eastAsia" w:ascii="宋体" w:hAnsi="宋体" w:eastAsia="宋体" w:cs="宋体"/>
          <w:color w:val="auto"/>
          <w:sz w:val="24"/>
        </w:rPr>
        <w:t>行“委托外部研发费用”：填报纳税人委托境内外其他机构或个人进行研究开发活动所发生的费用（研究开发活动成果为委托方企业拥有，且与该企业的主要经营业务紧密相关）。委托外部研发费用的实际发生额应按照独立交易原则确定，实际发生额的</w:t>
      </w:r>
      <w:r>
        <w:rPr>
          <w:rFonts w:ascii="宋体" w:hAnsi="宋体" w:eastAsia="宋体" w:cs="宋体"/>
          <w:color w:val="auto"/>
          <w:sz w:val="24"/>
        </w:rPr>
        <w:t>80%</w:t>
      </w:r>
      <w:r>
        <w:rPr>
          <w:rFonts w:hint="eastAsia" w:ascii="宋体" w:hAnsi="宋体" w:eastAsia="宋体" w:cs="宋体"/>
          <w:color w:val="auto"/>
          <w:sz w:val="24"/>
        </w:rPr>
        <w:t>可计入委托方研发费用总额。本行填报（第</w:t>
      </w:r>
      <w:r>
        <w:rPr>
          <w:rFonts w:ascii="宋体" w:hAnsi="宋体" w:eastAsia="宋体" w:cs="宋体"/>
          <w:color w:val="auto"/>
          <w:sz w:val="24"/>
        </w:rPr>
        <w:t>26+28</w:t>
      </w:r>
      <w:r>
        <w:rPr>
          <w:rFonts w:hint="eastAsia" w:ascii="宋体" w:hAnsi="宋体" w:eastAsia="宋体" w:cs="宋体"/>
          <w:color w:val="auto"/>
          <w:sz w:val="24"/>
        </w:rPr>
        <w:t>行）×</w:t>
      </w:r>
      <w:r>
        <w:rPr>
          <w:rFonts w:ascii="宋体" w:hAnsi="宋体" w:eastAsia="宋体" w:cs="宋体"/>
          <w:color w:val="auto"/>
          <w:sz w:val="24"/>
        </w:rPr>
        <w:t>80%</w:t>
      </w:r>
      <w:r>
        <w:rPr>
          <w:rFonts w:hint="eastAsia" w:ascii="宋体" w:hAnsi="宋体" w:eastAsia="宋体" w:cs="宋体"/>
          <w:color w:val="auto"/>
          <w:sz w:val="24"/>
        </w:rPr>
        <w:t>的金额。</w:t>
      </w:r>
    </w:p>
    <w:p w14:paraId="3089F402">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24</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26</w:t>
      </w:r>
      <w:r>
        <w:rPr>
          <w:rFonts w:hint="eastAsia" w:ascii="宋体" w:hAnsi="宋体" w:eastAsia="宋体" w:cs="宋体"/>
          <w:color w:val="auto"/>
          <w:sz w:val="24"/>
        </w:rPr>
        <w:t>行“境内的外部研发费用”：填报纳税人委托境内其他机构或个人进行的研究开发活动所支出的费用。本行填报实际发生境内的外部研发费用。</w:t>
      </w:r>
    </w:p>
    <w:p w14:paraId="3BC2B964">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25</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27</w:t>
      </w:r>
      <w:r>
        <w:rPr>
          <w:rFonts w:hint="eastAsia" w:ascii="宋体" w:hAnsi="宋体" w:eastAsia="宋体" w:cs="宋体"/>
          <w:color w:val="auto"/>
          <w:sz w:val="24"/>
        </w:rPr>
        <w:t>行“境外的外部研发费用”：填报纳税人委托境外机构或个人完成的研究开发活动所发生的费用。受托研发的境外机构是指依照外国</w:t>
      </w:r>
      <w:r>
        <w:rPr>
          <w:rFonts w:ascii="宋体" w:hAnsi="宋体" w:eastAsia="宋体" w:cs="宋体"/>
          <w:color w:val="auto"/>
          <w:sz w:val="24"/>
        </w:rPr>
        <w:t>(</w:t>
      </w:r>
      <w:r>
        <w:rPr>
          <w:rFonts w:hint="eastAsia" w:ascii="宋体" w:hAnsi="宋体" w:eastAsia="宋体" w:cs="宋体"/>
          <w:color w:val="auto"/>
          <w:sz w:val="24"/>
        </w:rPr>
        <w:t>地区</w:t>
      </w:r>
      <w:r>
        <w:rPr>
          <w:rFonts w:ascii="宋体" w:hAnsi="宋体" w:eastAsia="宋体" w:cs="宋体"/>
          <w:color w:val="auto"/>
          <w:sz w:val="24"/>
        </w:rPr>
        <w:t>)</w:t>
      </w:r>
      <w:r>
        <w:rPr>
          <w:rFonts w:hint="eastAsia" w:ascii="宋体" w:hAnsi="宋体" w:eastAsia="宋体" w:cs="宋体"/>
          <w:color w:val="auto"/>
          <w:sz w:val="24"/>
        </w:rPr>
        <w:t>及港澳台法律成立的企业和其他取得收入的组织；受托研发的境外个人是指外籍及港澳台个人。本行填报实际发生境外的外部研发费用。</w:t>
      </w:r>
    </w:p>
    <w:p w14:paraId="0235E3E5">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26</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28</w:t>
      </w:r>
      <w:r>
        <w:rPr>
          <w:rFonts w:hint="eastAsia" w:ascii="宋体" w:hAnsi="宋体" w:eastAsia="宋体" w:cs="宋体"/>
          <w:color w:val="auto"/>
          <w:sz w:val="24"/>
        </w:rPr>
        <w:t>行“可计入研发费用的境外的外部研发费用”：根据《高新技术企业认定管理办法》等规定，纳税人在中国境内发生的研发费用总额占全部研发费用总额的比例不低于</w:t>
      </w:r>
      <w:r>
        <w:rPr>
          <w:rFonts w:ascii="宋体" w:hAnsi="宋体" w:eastAsia="宋体" w:cs="宋体"/>
          <w:color w:val="auto"/>
          <w:sz w:val="24"/>
        </w:rPr>
        <w:t>60%</w:t>
      </w:r>
      <w:r>
        <w:rPr>
          <w:rFonts w:hint="eastAsia" w:ascii="宋体" w:hAnsi="宋体" w:eastAsia="宋体" w:cs="宋体"/>
          <w:color w:val="auto"/>
          <w:sz w:val="24"/>
        </w:rPr>
        <w:t>，即境外发生的研发费用总额占全部研发费用总额的比例不超过</w:t>
      </w:r>
      <w:r>
        <w:rPr>
          <w:rFonts w:ascii="宋体" w:hAnsi="宋体" w:eastAsia="宋体" w:cs="宋体"/>
          <w:color w:val="auto"/>
          <w:sz w:val="24"/>
        </w:rPr>
        <w:t>40%</w:t>
      </w:r>
      <w:r>
        <w:rPr>
          <w:rFonts w:hint="eastAsia" w:ascii="宋体" w:hAnsi="宋体" w:eastAsia="宋体" w:cs="宋体"/>
          <w:color w:val="auto"/>
          <w:sz w:val="24"/>
        </w:rPr>
        <w:t>。本行填报（第</w:t>
      </w:r>
      <w:r>
        <w:rPr>
          <w:rFonts w:ascii="宋体" w:hAnsi="宋体" w:eastAsia="宋体" w:cs="宋体"/>
          <w:color w:val="auto"/>
          <w:sz w:val="24"/>
        </w:rPr>
        <w:t>17+18+</w:t>
      </w:r>
      <w:r>
        <w:rPr>
          <w:rFonts w:hint="eastAsia" w:ascii="宋体" w:hAnsi="宋体" w:eastAsia="宋体" w:cs="宋体"/>
          <w:color w:val="auto"/>
          <w:sz w:val="24"/>
        </w:rPr>
        <w:t>…</w:t>
      </w:r>
      <w:r>
        <w:rPr>
          <w:rFonts w:ascii="宋体" w:hAnsi="宋体" w:eastAsia="宋体" w:cs="宋体"/>
          <w:color w:val="auto"/>
          <w:sz w:val="24"/>
        </w:rPr>
        <w:t>+22+23+26</w:t>
      </w:r>
      <w:r>
        <w:rPr>
          <w:rFonts w:hint="eastAsia" w:ascii="宋体" w:hAnsi="宋体" w:eastAsia="宋体" w:cs="宋体"/>
          <w:color w:val="auto"/>
          <w:sz w:val="24"/>
        </w:rPr>
        <w:t>行）×</w:t>
      </w:r>
      <w:r>
        <w:rPr>
          <w:rFonts w:ascii="宋体" w:hAnsi="宋体" w:eastAsia="宋体" w:cs="宋体"/>
          <w:color w:val="auto"/>
          <w:sz w:val="24"/>
        </w:rPr>
        <w:t>40%</w:t>
      </w:r>
      <w:r>
        <w:rPr>
          <w:rFonts w:hint="eastAsia" w:ascii="宋体" w:hAnsi="宋体" w:eastAsia="宋体" w:cs="宋体"/>
          <w:color w:val="auto"/>
          <w:sz w:val="24"/>
        </w:rPr>
        <w:t>÷</w:t>
      </w:r>
      <w:r>
        <w:rPr>
          <w:rFonts w:ascii="宋体" w:hAnsi="宋体" w:eastAsia="宋体" w:cs="宋体"/>
          <w:color w:val="auto"/>
          <w:sz w:val="24"/>
        </w:rPr>
        <w:t>(1-40%)</w:t>
      </w:r>
      <w:r>
        <w:rPr>
          <w:rFonts w:hint="eastAsia" w:ascii="宋体" w:hAnsi="宋体" w:eastAsia="宋体" w:cs="宋体"/>
          <w:color w:val="auto"/>
          <w:sz w:val="24"/>
        </w:rPr>
        <w:t>与第</w:t>
      </w:r>
      <w:r>
        <w:rPr>
          <w:rFonts w:ascii="宋体" w:hAnsi="宋体" w:eastAsia="宋体" w:cs="宋体"/>
          <w:color w:val="auto"/>
          <w:sz w:val="24"/>
        </w:rPr>
        <w:t>27</w:t>
      </w:r>
      <w:r>
        <w:rPr>
          <w:rFonts w:hint="eastAsia" w:ascii="宋体" w:hAnsi="宋体" w:eastAsia="宋体" w:cs="宋体"/>
          <w:color w:val="auto"/>
          <w:sz w:val="24"/>
        </w:rPr>
        <w:t>行的孰小值。</w:t>
      </w:r>
    </w:p>
    <w:p w14:paraId="0E2C2E9A">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27</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29</w:t>
      </w:r>
      <w:r>
        <w:rPr>
          <w:rFonts w:hint="eastAsia" w:ascii="宋体" w:hAnsi="宋体" w:eastAsia="宋体" w:cs="宋体"/>
          <w:color w:val="auto"/>
          <w:sz w:val="24"/>
        </w:rPr>
        <w:t>行“销售（营业）收入”：填报纳税人主营业务收入与其他业务收入之和。</w:t>
      </w:r>
    </w:p>
    <w:p w14:paraId="0B5E9FA7">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28</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30</w:t>
      </w:r>
      <w:r>
        <w:rPr>
          <w:rFonts w:hint="eastAsia" w:ascii="宋体" w:hAnsi="宋体" w:eastAsia="宋体" w:cs="宋体"/>
          <w:color w:val="auto"/>
          <w:sz w:val="24"/>
        </w:rPr>
        <w:t>行“三年研发费用占销售（营业）收入的比例”：填报第</w:t>
      </w:r>
      <w:r>
        <w:rPr>
          <w:rFonts w:ascii="宋体" w:hAnsi="宋体" w:eastAsia="宋体" w:cs="宋体"/>
          <w:color w:val="auto"/>
          <w:sz w:val="24"/>
        </w:rPr>
        <w:t>15</w:t>
      </w:r>
      <w:r>
        <w:rPr>
          <w:rFonts w:hint="eastAsia" w:ascii="宋体" w:hAnsi="宋体" w:eastAsia="宋体" w:cs="宋体"/>
          <w:color w:val="auto"/>
          <w:sz w:val="24"/>
        </w:rPr>
        <w:t>行</w:t>
      </w:r>
      <w:r>
        <w:rPr>
          <w:rFonts w:ascii="宋体" w:hAnsi="宋体" w:eastAsia="宋体" w:cs="宋体"/>
          <w:color w:val="auto"/>
          <w:sz w:val="24"/>
        </w:rPr>
        <w:t>4</w:t>
      </w:r>
      <w:r>
        <w:rPr>
          <w:rFonts w:hint="eastAsia" w:ascii="宋体" w:hAnsi="宋体" w:eastAsia="宋体" w:cs="宋体"/>
          <w:color w:val="auto"/>
          <w:sz w:val="24"/>
        </w:rPr>
        <w:t>列</w:t>
      </w:r>
      <w:r>
        <w:rPr>
          <w:rFonts w:hint="eastAsia" w:ascii="Times New Roman" w:hAnsi="Times New Roman" w:eastAsia="宋体" w:cs="宋体"/>
          <w:color w:val="auto"/>
          <w:szCs w:val="21"/>
        </w:rPr>
        <w:t>÷</w:t>
      </w:r>
      <w:r>
        <w:rPr>
          <w:rFonts w:hint="eastAsia" w:ascii="宋体" w:hAnsi="宋体" w:eastAsia="宋体" w:cs="宋体"/>
          <w:color w:val="auto"/>
          <w:sz w:val="24"/>
        </w:rPr>
        <w:t>第</w:t>
      </w:r>
      <w:r>
        <w:rPr>
          <w:rFonts w:ascii="宋体" w:hAnsi="宋体" w:eastAsia="宋体" w:cs="宋体"/>
          <w:color w:val="auto"/>
          <w:sz w:val="24"/>
        </w:rPr>
        <w:t>29</w:t>
      </w:r>
      <w:r>
        <w:rPr>
          <w:rFonts w:hint="eastAsia" w:ascii="宋体" w:hAnsi="宋体" w:eastAsia="宋体" w:cs="宋体"/>
          <w:color w:val="auto"/>
          <w:sz w:val="24"/>
        </w:rPr>
        <w:t>行</w:t>
      </w:r>
      <w:r>
        <w:rPr>
          <w:rFonts w:ascii="宋体" w:hAnsi="宋体" w:eastAsia="宋体" w:cs="宋体"/>
          <w:color w:val="auto"/>
          <w:sz w:val="24"/>
        </w:rPr>
        <w:t>4</w:t>
      </w:r>
      <w:r>
        <w:rPr>
          <w:rFonts w:hint="eastAsia" w:ascii="宋体" w:hAnsi="宋体" w:eastAsia="宋体" w:cs="宋体"/>
          <w:color w:val="auto"/>
          <w:sz w:val="24"/>
        </w:rPr>
        <w:t>列的比例。</w:t>
      </w:r>
    </w:p>
    <w:p w14:paraId="3D7D657F">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29</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31</w:t>
      </w:r>
      <w:r>
        <w:rPr>
          <w:rFonts w:hint="eastAsia" w:ascii="宋体" w:hAnsi="宋体" w:eastAsia="宋体" w:cs="宋体"/>
          <w:color w:val="auto"/>
          <w:sz w:val="24"/>
        </w:rPr>
        <w:t>行“国家需要重点扶持的高新技术企业减征企业所得税”：本行填报经济特区和上海浦东新区外的高新技术企业或虽是经济特区和上海浦东新区新设的高新技术企业但取得区外所得的减免税金额。经济特区和上海浦东新区新设的高新技术企业定期减免政策期满后，只享受</w:t>
      </w:r>
      <w:r>
        <w:rPr>
          <w:rFonts w:ascii="宋体" w:hAnsi="宋体" w:eastAsia="宋体" w:cs="宋体"/>
          <w:color w:val="auto"/>
          <w:sz w:val="24"/>
        </w:rPr>
        <w:t>15%</w:t>
      </w:r>
      <w:r>
        <w:rPr>
          <w:rFonts w:hint="eastAsia" w:ascii="宋体" w:hAnsi="宋体" w:eastAsia="宋体" w:cs="宋体"/>
          <w:color w:val="auto"/>
          <w:sz w:val="24"/>
        </w:rPr>
        <w:t>税率优惠政策的，减免税金额也在本行填报。</w:t>
      </w:r>
    </w:p>
    <w:p w14:paraId="352BD37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3</w:t>
      </w:r>
      <w:r>
        <w:rPr>
          <w:rFonts w:ascii="宋体" w:hAnsi="Times New Roman" w:eastAsia="宋体" w:cs="宋体"/>
          <w:color w:val="auto"/>
          <w:sz w:val="24"/>
        </w:rPr>
        <w:t>0.</w:t>
      </w:r>
      <w:r>
        <w:rPr>
          <w:rFonts w:hint="eastAsia" w:ascii="宋体" w:hAnsi="宋体" w:eastAsia="宋体" w:cs="宋体"/>
          <w:color w:val="auto"/>
          <w:sz w:val="24"/>
        </w:rPr>
        <w:t>第</w:t>
      </w:r>
      <w:r>
        <w:rPr>
          <w:rFonts w:ascii="宋体" w:hAnsi="宋体" w:eastAsia="宋体" w:cs="宋体"/>
          <w:color w:val="auto"/>
          <w:sz w:val="24"/>
        </w:rPr>
        <w:t>32</w:t>
      </w:r>
      <w:r>
        <w:rPr>
          <w:rFonts w:hint="eastAsia" w:ascii="宋体" w:hAnsi="宋体" w:eastAsia="宋体" w:cs="宋体"/>
          <w:color w:val="auto"/>
          <w:sz w:val="24"/>
        </w:rPr>
        <w:t>行“经济特区和上海浦东新区新设立的高新技术企业定期减免”：本行填报在经济特区和上海浦东新区新设的高新技术企业区内所得的减免税金额。</w:t>
      </w:r>
    </w:p>
    <w:p w14:paraId="4994DBE0">
      <w:pPr>
        <w:spacing w:before="0" w:beforeLines="0" w:line="360" w:lineRule="auto"/>
        <w:ind w:firstLine="480" w:firstLineChars="200"/>
        <w:jc w:val="left"/>
        <w:outlineLvl w:val="1"/>
        <w:rPr>
          <w:rFonts w:hint="eastAsia" w:ascii="黑体" w:hAnsi="黑体" w:eastAsia="黑体" w:cs="黑体"/>
          <w:b w:val="0"/>
          <w:bCs w:val="0"/>
          <w:color w:val="auto"/>
          <w:sz w:val="24"/>
        </w:rPr>
      </w:pPr>
      <w:r>
        <w:rPr>
          <w:rFonts w:hint="eastAsia" w:ascii="黑体" w:hAnsi="黑体" w:eastAsia="黑体" w:cs="黑体"/>
          <w:b w:val="0"/>
          <w:bCs w:val="0"/>
          <w:color w:val="auto"/>
          <w:sz w:val="24"/>
        </w:rPr>
        <w:t>二、表内、表间关系</w:t>
      </w:r>
    </w:p>
    <w:p w14:paraId="56E4472B">
      <w:pPr>
        <w:spacing w:line="360" w:lineRule="auto"/>
        <w:ind w:firstLine="480" w:firstLineChars="200"/>
        <w:outlineLvl w:val="2"/>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（一）表内关系</w:t>
      </w:r>
    </w:p>
    <w:p w14:paraId="1E07A964">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4</w:t>
      </w:r>
      <w:r>
        <w:rPr>
          <w:rFonts w:hint="eastAsia" w:ascii="宋体" w:hAnsi="宋体" w:eastAsia="宋体" w:cs="宋体"/>
          <w:color w:val="auto"/>
          <w:sz w:val="24"/>
        </w:rPr>
        <w:t>行＝第</w:t>
      </w:r>
      <w:r>
        <w:rPr>
          <w:rFonts w:ascii="宋体" w:hAnsi="宋体" w:eastAsia="宋体" w:cs="宋体"/>
          <w:color w:val="auto"/>
          <w:sz w:val="24"/>
        </w:rPr>
        <w:t>5+6</w:t>
      </w:r>
      <w:r>
        <w:rPr>
          <w:rFonts w:hint="eastAsia" w:ascii="宋体" w:hAnsi="宋体" w:eastAsia="宋体" w:cs="宋体"/>
          <w:color w:val="auto"/>
          <w:sz w:val="24"/>
        </w:rPr>
        <w:t>行。</w:t>
      </w:r>
    </w:p>
    <w:p w14:paraId="2AFC3980">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w:t>
      </w:r>
      <w:r>
        <w:rPr>
          <w:rFonts w:hint="eastAsia" w:ascii="宋体" w:hAnsi="宋体" w:eastAsia="宋体" w:cs="宋体"/>
          <w:color w:val="auto"/>
          <w:sz w:val="24"/>
        </w:rPr>
        <w:t>第</w:t>
      </w:r>
      <w:r>
        <w:rPr>
          <w:rFonts w:ascii="宋体" w:hAnsi="宋体" w:eastAsia="宋体" w:cs="宋体"/>
          <w:color w:val="auto"/>
          <w:sz w:val="24"/>
        </w:rPr>
        <w:t>7</w:t>
      </w:r>
      <w:r>
        <w:rPr>
          <w:rFonts w:hint="eastAsia" w:ascii="宋体" w:hAnsi="宋体" w:eastAsia="宋体" w:cs="宋体"/>
          <w:color w:val="auto"/>
          <w:sz w:val="24"/>
        </w:rPr>
        <w:t>行＝第</w:t>
      </w:r>
      <w:r>
        <w:rPr>
          <w:rFonts w:ascii="宋体" w:hAnsi="宋体" w:eastAsia="宋体" w:cs="宋体"/>
          <w:color w:val="auto"/>
          <w:sz w:val="24"/>
        </w:rPr>
        <w:t>8-9</w:t>
      </w:r>
      <w:r>
        <w:rPr>
          <w:rFonts w:hint="eastAsia" w:ascii="宋体" w:hAnsi="宋体" w:eastAsia="宋体" w:cs="宋体"/>
          <w:color w:val="auto"/>
          <w:sz w:val="24"/>
        </w:rPr>
        <w:t>行。</w:t>
      </w:r>
    </w:p>
    <w:p w14:paraId="7ECD600D">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3</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10</w:t>
      </w:r>
      <w:r>
        <w:rPr>
          <w:rFonts w:hint="eastAsia" w:ascii="宋体" w:hAnsi="宋体" w:eastAsia="宋体" w:cs="宋体"/>
          <w:color w:val="auto"/>
          <w:sz w:val="24"/>
        </w:rPr>
        <w:t>行＝第</w:t>
      </w:r>
      <w:r>
        <w:rPr>
          <w:rFonts w:ascii="宋体" w:hAnsi="宋体" w:eastAsia="宋体" w:cs="宋体"/>
          <w:color w:val="auto"/>
          <w:sz w:val="24"/>
        </w:rPr>
        <w:t>4</w:t>
      </w:r>
      <w:r>
        <w:rPr>
          <w:rFonts w:hint="eastAsia" w:ascii="宋体" w:hAnsi="宋体" w:eastAsia="宋体" w:cs="宋体"/>
          <w:color w:val="auto"/>
          <w:sz w:val="24"/>
        </w:rPr>
        <w:t>÷</w:t>
      </w:r>
      <w:r>
        <w:rPr>
          <w:rFonts w:ascii="宋体" w:hAnsi="宋体" w:eastAsia="宋体" w:cs="宋体"/>
          <w:color w:val="auto"/>
          <w:sz w:val="24"/>
        </w:rPr>
        <w:t>7</w:t>
      </w:r>
      <w:r>
        <w:rPr>
          <w:rFonts w:hint="eastAsia" w:ascii="宋体" w:hAnsi="宋体" w:eastAsia="宋体" w:cs="宋体"/>
          <w:color w:val="auto"/>
          <w:sz w:val="24"/>
        </w:rPr>
        <w:t>行。</w:t>
      </w:r>
    </w:p>
    <w:p w14:paraId="7ABAE454">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4</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13</w:t>
      </w:r>
      <w:r>
        <w:rPr>
          <w:rFonts w:hint="eastAsia" w:ascii="宋体" w:hAnsi="宋体" w:eastAsia="宋体" w:cs="宋体"/>
          <w:color w:val="auto"/>
          <w:sz w:val="24"/>
        </w:rPr>
        <w:t>行＝第</w:t>
      </w:r>
      <w:r>
        <w:rPr>
          <w:rFonts w:ascii="宋体" w:hAnsi="宋体" w:eastAsia="宋体" w:cs="宋体"/>
          <w:color w:val="auto"/>
          <w:sz w:val="24"/>
        </w:rPr>
        <w:t>11</w:t>
      </w:r>
      <w:r>
        <w:rPr>
          <w:rFonts w:hint="eastAsia" w:ascii="宋体" w:hAnsi="宋体" w:eastAsia="宋体" w:cs="宋体"/>
          <w:color w:val="auto"/>
          <w:sz w:val="24"/>
        </w:rPr>
        <w:t>÷</w:t>
      </w:r>
      <w:r>
        <w:rPr>
          <w:rFonts w:ascii="宋体" w:hAnsi="宋体" w:eastAsia="宋体" w:cs="宋体"/>
          <w:color w:val="auto"/>
          <w:sz w:val="24"/>
        </w:rPr>
        <w:t>12</w:t>
      </w:r>
      <w:r>
        <w:rPr>
          <w:rFonts w:hint="eastAsia" w:ascii="宋体" w:hAnsi="宋体" w:eastAsia="宋体" w:cs="宋体"/>
          <w:color w:val="auto"/>
          <w:sz w:val="24"/>
        </w:rPr>
        <w:t>行。</w:t>
      </w:r>
    </w:p>
    <w:p w14:paraId="6C208294">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5</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15</w:t>
      </w:r>
      <w:r>
        <w:rPr>
          <w:rFonts w:hint="eastAsia" w:ascii="宋体" w:hAnsi="宋体" w:eastAsia="宋体" w:cs="宋体"/>
          <w:color w:val="auto"/>
          <w:sz w:val="24"/>
        </w:rPr>
        <w:t>行＝第</w:t>
      </w:r>
      <w:r>
        <w:rPr>
          <w:rFonts w:ascii="宋体" w:hAnsi="宋体" w:eastAsia="宋体" w:cs="宋体"/>
          <w:color w:val="auto"/>
          <w:sz w:val="24"/>
        </w:rPr>
        <w:t>16+25</w:t>
      </w:r>
      <w:r>
        <w:rPr>
          <w:rFonts w:hint="eastAsia" w:ascii="宋体" w:hAnsi="宋体" w:eastAsia="宋体" w:cs="宋体"/>
          <w:color w:val="auto"/>
          <w:sz w:val="24"/>
        </w:rPr>
        <w:t>行。</w:t>
      </w:r>
    </w:p>
    <w:p w14:paraId="7708AEC8">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6</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16</w:t>
      </w:r>
      <w:r>
        <w:rPr>
          <w:rFonts w:hint="eastAsia" w:ascii="宋体" w:hAnsi="宋体" w:eastAsia="宋体" w:cs="宋体"/>
          <w:color w:val="auto"/>
          <w:sz w:val="24"/>
        </w:rPr>
        <w:t>行＝第</w:t>
      </w:r>
      <w:r>
        <w:rPr>
          <w:rFonts w:ascii="宋体" w:hAnsi="宋体" w:eastAsia="宋体" w:cs="宋体"/>
          <w:color w:val="auto"/>
          <w:sz w:val="24"/>
        </w:rPr>
        <w:t>17+18+19+20+21+22+24</w:t>
      </w:r>
      <w:r>
        <w:rPr>
          <w:rFonts w:hint="eastAsia" w:ascii="宋体" w:hAnsi="宋体" w:eastAsia="宋体" w:cs="宋体"/>
          <w:color w:val="auto"/>
          <w:sz w:val="24"/>
        </w:rPr>
        <w:t>行。</w:t>
      </w:r>
    </w:p>
    <w:p w14:paraId="389C4087">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7</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25</w:t>
      </w:r>
      <w:r>
        <w:rPr>
          <w:rFonts w:hint="eastAsia" w:ascii="宋体" w:hAnsi="宋体" w:eastAsia="宋体" w:cs="宋体"/>
          <w:color w:val="auto"/>
          <w:sz w:val="24"/>
        </w:rPr>
        <w:t>行＝（第</w:t>
      </w:r>
      <w:r>
        <w:rPr>
          <w:rFonts w:ascii="宋体" w:hAnsi="宋体" w:eastAsia="宋体" w:cs="宋体"/>
          <w:color w:val="auto"/>
          <w:sz w:val="24"/>
        </w:rPr>
        <w:t>26+28</w:t>
      </w:r>
      <w:r>
        <w:rPr>
          <w:rFonts w:hint="eastAsia" w:ascii="宋体" w:hAnsi="宋体" w:eastAsia="宋体" w:cs="宋体"/>
          <w:color w:val="auto"/>
          <w:sz w:val="24"/>
        </w:rPr>
        <w:t>行）×</w:t>
      </w:r>
      <w:r>
        <w:rPr>
          <w:rFonts w:ascii="宋体" w:hAnsi="宋体" w:eastAsia="宋体" w:cs="宋体"/>
          <w:color w:val="auto"/>
          <w:sz w:val="24"/>
        </w:rPr>
        <w:t>80%</w:t>
      </w:r>
      <w:r>
        <w:rPr>
          <w:rFonts w:hint="eastAsia" w:ascii="宋体" w:hAnsi="宋体" w:eastAsia="宋体" w:cs="宋体"/>
          <w:color w:val="auto"/>
          <w:sz w:val="24"/>
        </w:rPr>
        <w:t>。</w:t>
      </w:r>
    </w:p>
    <w:p w14:paraId="7C83C79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8</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30</w:t>
      </w:r>
      <w:r>
        <w:rPr>
          <w:rFonts w:hint="eastAsia" w:ascii="宋体" w:hAnsi="宋体" w:eastAsia="宋体" w:cs="宋体"/>
          <w:color w:val="auto"/>
          <w:sz w:val="24"/>
        </w:rPr>
        <w:t>行＝第</w:t>
      </w:r>
      <w:r>
        <w:rPr>
          <w:rFonts w:ascii="宋体" w:hAnsi="宋体" w:eastAsia="宋体" w:cs="宋体"/>
          <w:color w:val="auto"/>
          <w:sz w:val="24"/>
        </w:rPr>
        <w:t>15</w:t>
      </w:r>
      <w:r>
        <w:rPr>
          <w:rFonts w:hint="eastAsia" w:ascii="宋体" w:hAnsi="宋体" w:eastAsia="宋体" w:cs="宋体"/>
          <w:color w:val="auto"/>
          <w:sz w:val="24"/>
        </w:rPr>
        <w:t>行第</w:t>
      </w:r>
      <w:r>
        <w:rPr>
          <w:rFonts w:ascii="宋体" w:hAnsi="宋体" w:eastAsia="宋体" w:cs="宋体"/>
          <w:color w:val="auto"/>
          <w:sz w:val="24"/>
        </w:rPr>
        <w:t>4</w:t>
      </w:r>
      <w:r>
        <w:rPr>
          <w:rFonts w:hint="eastAsia" w:ascii="宋体" w:hAnsi="宋体" w:eastAsia="宋体" w:cs="宋体"/>
          <w:color w:val="auto"/>
          <w:sz w:val="24"/>
        </w:rPr>
        <w:t>列÷第</w:t>
      </w:r>
      <w:r>
        <w:rPr>
          <w:rFonts w:ascii="宋体" w:hAnsi="宋体" w:eastAsia="宋体" w:cs="宋体"/>
          <w:color w:val="auto"/>
          <w:sz w:val="24"/>
        </w:rPr>
        <w:t>29</w:t>
      </w:r>
      <w:r>
        <w:rPr>
          <w:rFonts w:hint="eastAsia" w:ascii="宋体" w:hAnsi="宋体" w:eastAsia="宋体" w:cs="宋体"/>
          <w:color w:val="auto"/>
          <w:sz w:val="24"/>
        </w:rPr>
        <w:t>行第</w:t>
      </w:r>
      <w:r>
        <w:rPr>
          <w:rFonts w:ascii="宋体" w:hAnsi="宋体" w:eastAsia="宋体" w:cs="宋体"/>
          <w:color w:val="auto"/>
          <w:sz w:val="24"/>
        </w:rPr>
        <w:t>4</w:t>
      </w:r>
      <w:r>
        <w:rPr>
          <w:rFonts w:hint="eastAsia" w:ascii="宋体" w:hAnsi="宋体" w:eastAsia="宋体" w:cs="宋体"/>
          <w:color w:val="auto"/>
          <w:sz w:val="24"/>
        </w:rPr>
        <w:t>列。</w:t>
      </w:r>
    </w:p>
    <w:p w14:paraId="7B6293F2">
      <w:pPr>
        <w:spacing w:line="360" w:lineRule="auto"/>
        <w:ind w:firstLine="480" w:firstLineChars="200"/>
        <w:outlineLvl w:val="2"/>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（二）表间关系</w:t>
      </w:r>
    </w:p>
    <w:bookmarkEnd w:id="29"/>
    <w:bookmarkEnd w:id="30"/>
    <w:bookmarkEnd w:id="31"/>
    <w:bookmarkEnd w:id="32"/>
    <w:bookmarkEnd w:id="33"/>
    <w:bookmarkEnd w:id="34"/>
    <w:bookmarkEnd w:id="35"/>
    <w:bookmarkEnd w:id="36"/>
    <w:p w14:paraId="67249961">
      <w:pPr>
        <w:pStyle w:val="9"/>
        <w:ind w:firstLine="480"/>
        <w:rPr>
          <w:color w:val="auto"/>
          <w:highlight w:val="none"/>
        </w:rPr>
      </w:pPr>
      <w:r>
        <w:rPr>
          <w:rFonts w:hint="eastAsia"/>
          <w:color w:val="auto"/>
          <w:highlight w:val="none"/>
        </w:rPr>
        <w:t>第</w:t>
      </w:r>
      <w:r>
        <w:rPr>
          <w:rFonts w:hint="eastAsia"/>
          <w:color w:val="auto"/>
          <w:highlight w:val="none"/>
          <w:lang w:eastAsia="zh-CN"/>
        </w:rPr>
        <w:t>3</w:t>
      </w:r>
      <w:r>
        <w:rPr>
          <w:rFonts w:hint="eastAsia"/>
          <w:color w:val="auto"/>
          <w:highlight w:val="none"/>
          <w:lang w:val="en-US" w:eastAsia="zh-CN"/>
        </w:rPr>
        <w:t>1</w:t>
      </w:r>
      <w:r>
        <w:rPr>
          <w:rFonts w:hint="eastAsia"/>
          <w:color w:val="auto"/>
          <w:highlight w:val="none"/>
        </w:rPr>
        <w:t>行</w:t>
      </w:r>
      <w:r>
        <w:rPr>
          <w:rFonts w:hint="eastAsia"/>
          <w:color w:val="auto"/>
          <w:highlight w:val="none"/>
          <w:lang w:eastAsia="zh-CN"/>
        </w:rPr>
        <w:t>至第</w:t>
      </w:r>
      <w:r>
        <w:rPr>
          <w:rFonts w:hint="eastAsia"/>
          <w:color w:val="auto"/>
          <w:highlight w:val="none"/>
          <w:lang w:val="en-US" w:eastAsia="zh-CN"/>
        </w:rPr>
        <w:t>32行</w:t>
      </w:r>
      <w:r>
        <w:rPr>
          <w:rFonts w:hint="eastAsia"/>
          <w:color w:val="auto"/>
          <w:highlight w:val="none"/>
        </w:rPr>
        <w:t>＝表</w:t>
      </w:r>
      <w:r>
        <w:rPr>
          <w:color w:val="auto"/>
          <w:highlight w:val="none"/>
        </w:rPr>
        <w:t>A100000</w:t>
      </w:r>
      <w:r>
        <w:rPr>
          <w:rFonts w:hint="eastAsia"/>
          <w:color w:val="auto"/>
          <w:highlight w:val="none"/>
        </w:rPr>
        <w:t>第</w:t>
      </w:r>
      <w:r>
        <w:rPr>
          <w:color w:val="auto"/>
          <w:highlight w:val="none"/>
        </w:rPr>
        <w:t>31</w:t>
      </w:r>
      <w:r>
        <w:rPr>
          <w:rFonts w:hint="eastAsia"/>
          <w:color w:val="auto"/>
          <w:highlight w:val="none"/>
        </w:rPr>
        <w:t>行下</w:t>
      </w:r>
      <w:r>
        <w:rPr>
          <w:rFonts w:hint="eastAsia"/>
          <w:color w:val="auto"/>
          <w:highlight w:val="none"/>
          <w:lang w:eastAsia="zh-CN"/>
        </w:rPr>
        <w:t>对应的</w:t>
      </w:r>
      <w:r>
        <w:rPr>
          <w:color w:val="auto"/>
          <w:highlight w:val="none"/>
        </w:rPr>
        <w:t>项目金额。</w:t>
      </w:r>
    </w:p>
    <w:p w14:paraId="79F507B6">
      <w:pPr>
        <w:spacing w:line="360" w:lineRule="auto"/>
        <w:ind w:firstLine="523" w:firstLineChars="218"/>
        <w:rPr>
          <w:rFonts w:hint="eastAsia" w:ascii="宋体" w:hAnsi="宋体"/>
          <w:sz w:val="24"/>
        </w:rPr>
      </w:pPr>
      <w:bookmarkStart w:id="37" w:name="_GoBack"/>
      <w:bookmarkEnd w:id="37"/>
    </w:p>
    <w:p w14:paraId="774846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4196792"/>
    <w:rsid w:val="107D4E20"/>
    <w:rsid w:val="34196792"/>
    <w:rsid w:val="4A2B0A3A"/>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3350</Words>
  <Characters>3677</Characters>
  <Lines>0</Lines>
  <Paragraphs>0</Paragraphs>
  <TotalTime>0</TotalTime>
  <ScaleCrop>false</ScaleCrop>
  <LinksUpToDate>false</LinksUpToDate>
  <CharactersWithSpaces>3760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2024-08-10T15:38:00Z</dcterms:created>
  <dc:creator>www.shuiwu114.com</dc:creator>
  <cp:lastModifiedBy>www.shuiwu114.com</cp:lastModifiedBy>
  <dcterms:modified xsi:type="dcterms:W3CDTF">2025-01-21T15:18:36Z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0CE2E08ABEA14B308A2A4F4086E5026B_11</vt:lpwstr>
  </property>
  <property fmtid="{D5CDD505-2E9C-101B-9397-08002B2CF9AE}" pid="4" name="KSOTemplateDocerSaveRecord">
    <vt:lpwstr>eyJoZGlkIjoiMDY0MGNkMTU3OWQzNDA3NjVmODJmMjIxMTIxOTBhNjUiLCJ1c2VySWQiOiIxMDczMTkyOTA3In0=</vt:lpwstr>
  </property>
</Properties>
</file>