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DC070">
      <w:pPr>
        <w:pStyle w:val="7"/>
      </w:pPr>
      <w:bookmarkStart w:id="0" w:name="_Toc499456617"/>
      <w:r>
        <w:rPr>
          <w:rFonts w:hint="eastAsia"/>
        </w:rPr>
        <w:t>A108010</w:t>
      </w:r>
      <w:r>
        <w:tab/>
      </w:r>
      <w:r>
        <w:rPr>
          <w:rFonts w:hint="eastAsia"/>
          <w:lang w:val="en-US" w:eastAsia="zh-CN"/>
        </w:rPr>
        <w:t xml:space="preserve">                         </w:t>
      </w:r>
      <w:r>
        <w:rPr>
          <w:rFonts w:hint="eastAsia"/>
        </w:rPr>
        <w:t>境外所得纳税调整后所得明细表</w:t>
      </w:r>
      <w:bookmarkEnd w:id="0"/>
    </w:p>
    <w:tbl>
      <w:tblPr>
        <w:tblStyle w:val="4"/>
        <w:tblW w:w="14775" w:type="dxa"/>
        <w:jc w:val="center"/>
        <w:tblLayout w:type="fixed"/>
        <w:tblCellMar>
          <w:top w:w="0" w:type="dxa"/>
          <w:left w:w="108" w:type="dxa"/>
          <w:bottom w:w="0" w:type="dxa"/>
          <w:right w:w="108" w:type="dxa"/>
        </w:tblCellMar>
      </w:tblPr>
      <w:tblGrid>
        <w:gridCol w:w="552"/>
        <w:gridCol w:w="824"/>
        <w:gridCol w:w="788"/>
        <w:gridCol w:w="788"/>
        <w:gridCol w:w="788"/>
        <w:gridCol w:w="788"/>
        <w:gridCol w:w="789"/>
        <w:gridCol w:w="788"/>
        <w:gridCol w:w="788"/>
        <w:gridCol w:w="788"/>
        <w:gridCol w:w="788"/>
        <w:gridCol w:w="789"/>
        <w:gridCol w:w="788"/>
        <w:gridCol w:w="788"/>
        <w:gridCol w:w="788"/>
        <w:gridCol w:w="789"/>
        <w:gridCol w:w="788"/>
        <w:gridCol w:w="788"/>
        <w:gridCol w:w="788"/>
      </w:tblGrid>
      <w:tr w14:paraId="44CC73BD">
        <w:tblPrEx>
          <w:tblCellMar>
            <w:top w:w="0" w:type="dxa"/>
            <w:left w:w="108" w:type="dxa"/>
            <w:bottom w:w="0" w:type="dxa"/>
            <w:right w:w="108" w:type="dxa"/>
          </w:tblCellMar>
        </w:tblPrEx>
        <w:trPr>
          <w:trHeight w:val="597" w:hRule="atLeast"/>
          <w:jc w:val="center"/>
        </w:trPr>
        <w:tc>
          <w:tcPr>
            <w:tcW w:w="552" w:type="dxa"/>
            <w:vMerge w:val="restart"/>
            <w:tcBorders>
              <w:top w:val="single" w:color="auto" w:sz="12" w:space="0"/>
              <w:left w:val="single" w:color="auto" w:sz="12" w:space="0"/>
              <w:right w:val="single" w:color="auto" w:sz="6" w:space="0"/>
            </w:tcBorders>
            <w:noWrap w:val="0"/>
            <w:vAlign w:val="center"/>
          </w:tcPr>
          <w:p w14:paraId="73CE3B23">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行次</w:t>
            </w:r>
          </w:p>
        </w:tc>
        <w:tc>
          <w:tcPr>
            <w:tcW w:w="824" w:type="dxa"/>
            <w:vMerge w:val="restart"/>
            <w:tcBorders>
              <w:top w:val="single" w:color="auto" w:sz="12" w:space="0"/>
              <w:left w:val="single" w:color="auto" w:sz="6" w:space="0"/>
              <w:right w:val="single" w:color="auto" w:sz="6" w:space="0"/>
            </w:tcBorders>
            <w:noWrap w:val="0"/>
            <w:vAlign w:val="center"/>
          </w:tcPr>
          <w:p w14:paraId="2C789A79">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国家（地区）</w:t>
            </w:r>
          </w:p>
        </w:tc>
        <w:tc>
          <w:tcPr>
            <w:tcW w:w="6305" w:type="dxa"/>
            <w:gridSpan w:val="8"/>
            <w:tcBorders>
              <w:top w:val="single" w:color="auto" w:sz="12" w:space="0"/>
              <w:left w:val="single" w:color="auto" w:sz="6" w:space="0"/>
              <w:bottom w:val="single" w:color="auto" w:sz="6" w:space="0"/>
              <w:right w:val="single" w:color="auto" w:sz="6" w:space="0"/>
            </w:tcBorders>
            <w:noWrap w:val="0"/>
            <w:vAlign w:val="center"/>
          </w:tcPr>
          <w:p w14:paraId="5B02E9B1">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境外税后所得</w:t>
            </w:r>
          </w:p>
        </w:tc>
        <w:tc>
          <w:tcPr>
            <w:tcW w:w="3153" w:type="dxa"/>
            <w:gridSpan w:val="4"/>
            <w:tcBorders>
              <w:top w:val="single" w:color="auto" w:sz="12" w:space="0"/>
              <w:left w:val="single" w:color="auto" w:sz="6" w:space="0"/>
              <w:bottom w:val="single" w:color="auto" w:sz="6" w:space="0"/>
              <w:right w:val="single" w:color="auto" w:sz="6" w:space="0"/>
            </w:tcBorders>
            <w:noWrap w:val="0"/>
            <w:vAlign w:val="center"/>
          </w:tcPr>
          <w:p w14:paraId="3C92867C">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境外所得可抵免的所得税额</w:t>
            </w:r>
          </w:p>
        </w:tc>
        <w:tc>
          <w:tcPr>
            <w:tcW w:w="788" w:type="dxa"/>
            <w:vMerge w:val="restart"/>
            <w:tcBorders>
              <w:top w:val="single" w:color="auto" w:sz="12" w:space="0"/>
              <w:left w:val="single" w:color="auto" w:sz="6" w:space="0"/>
              <w:right w:val="single" w:color="auto" w:sz="6" w:space="0"/>
            </w:tcBorders>
            <w:noWrap w:val="0"/>
            <w:vAlign w:val="center"/>
          </w:tcPr>
          <w:p w14:paraId="64EACAEA">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境外税前所得</w:t>
            </w:r>
          </w:p>
        </w:tc>
        <w:tc>
          <w:tcPr>
            <w:tcW w:w="789" w:type="dxa"/>
            <w:vMerge w:val="restart"/>
            <w:tcBorders>
              <w:top w:val="single" w:color="auto" w:sz="12" w:space="0"/>
              <w:left w:val="single" w:color="auto" w:sz="6" w:space="0"/>
              <w:right w:val="single" w:color="auto" w:sz="6" w:space="0"/>
            </w:tcBorders>
            <w:noWrap w:val="0"/>
            <w:vAlign w:val="center"/>
          </w:tcPr>
          <w:p w14:paraId="50E33BB1">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境外分支机构收入与支出纳税调整额</w:t>
            </w:r>
          </w:p>
        </w:tc>
        <w:tc>
          <w:tcPr>
            <w:tcW w:w="788" w:type="dxa"/>
            <w:vMerge w:val="restart"/>
            <w:tcBorders>
              <w:top w:val="single" w:color="auto" w:sz="12" w:space="0"/>
              <w:left w:val="single" w:color="auto" w:sz="6" w:space="0"/>
              <w:right w:val="single" w:color="auto" w:sz="6" w:space="0"/>
            </w:tcBorders>
            <w:noWrap w:val="0"/>
            <w:vAlign w:val="center"/>
          </w:tcPr>
          <w:p w14:paraId="7014EBC8">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境外分支机构调整分摊扣除的有关成本费用</w:t>
            </w:r>
          </w:p>
        </w:tc>
        <w:tc>
          <w:tcPr>
            <w:tcW w:w="788" w:type="dxa"/>
            <w:vMerge w:val="restart"/>
            <w:tcBorders>
              <w:top w:val="single" w:color="auto" w:sz="12" w:space="0"/>
              <w:left w:val="single" w:color="auto" w:sz="6" w:space="0"/>
              <w:right w:val="single" w:color="auto" w:sz="6" w:space="0"/>
            </w:tcBorders>
            <w:noWrap w:val="0"/>
            <w:vAlign w:val="center"/>
          </w:tcPr>
          <w:p w14:paraId="0D95FBEE">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境外所得对应调整的相关成本费用支出</w:t>
            </w:r>
          </w:p>
        </w:tc>
        <w:tc>
          <w:tcPr>
            <w:tcW w:w="788" w:type="dxa"/>
            <w:vMerge w:val="restart"/>
            <w:tcBorders>
              <w:top w:val="single" w:color="auto" w:sz="12" w:space="0"/>
              <w:left w:val="single" w:color="auto" w:sz="6" w:space="0"/>
              <w:right w:val="single" w:color="auto" w:sz="12" w:space="0"/>
            </w:tcBorders>
            <w:noWrap w:val="0"/>
            <w:vAlign w:val="center"/>
          </w:tcPr>
          <w:p w14:paraId="1CCF53BC">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境外所得纳税调整后所得</w:t>
            </w:r>
          </w:p>
        </w:tc>
      </w:tr>
      <w:tr w14:paraId="70D4F0B3">
        <w:tblPrEx>
          <w:tblCellMar>
            <w:top w:w="0" w:type="dxa"/>
            <w:left w:w="108" w:type="dxa"/>
            <w:bottom w:w="0" w:type="dxa"/>
            <w:right w:w="108" w:type="dxa"/>
          </w:tblCellMar>
        </w:tblPrEx>
        <w:trPr>
          <w:trHeight w:val="1422" w:hRule="atLeast"/>
          <w:jc w:val="center"/>
        </w:trPr>
        <w:tc>
          <w:tcPr>
            <w:tcW w:w="552" w:type="dxa"/>
            <w:vMerge w:val="continue"/>
            <w:tcBorders>
              <w:left w:val="single" w:color="auto" w:sz="12" w:space="0"/>
              <w:right w:val="single" w:color="auto" w:sz="6" w:space="0"/>
            </w:tcBorders>
            <w:noWrap w:val="0"/>
            <w:vAlign w:val="center"/>
          </w:tcPr>
          <w:p w14:paraId="20AA0B57">
            <w:pPr>
              <w:autoSpaceDE w:val="0"/>
              <w:autoSpaceDN w:val="0"/>
              <w:adjustRightInd w:val="0"/>
              <w:ind w:left="-105" w:leftChars="-50" w:right="-105" w:rightChars="-50"/>
              <w:jc w:val="center"/>
              <w:rPr>
                <w:rFonts w:ascii="宋体" w:cs="宋体"/>
                <w:color w:val="000000"/>
                <w:kern w:val="0"/>
                <w:sz w:val="20"/>
                <w:szCs w:val="20"/>
              </w:rPr>
            </w:pPr>
          </w:p>
        </w:tc>
        <w:tc>
          <w:tcPr>
            <w:tcW w:w="824" w:type="dxa"/>
            <w:vMerge w:val="continue"/>
            <w:tcBorders>
              <w:left w:val="single" w:color="auto" w:sz="6" w:space="0"/>
              <w:bottom w:val="single" w:color="auto" w:sz="6" w:space="0"/>
              <w:right w:val="single" w:color="auto" w:sz="6" w:space="0"/>
            </w:tcBorders>
            <w:noWrap w:val="0"/>
            <w:vAlign w:val="center"/>
          </w:tcPr>
          <w:p w14:paraId="547D7066">
            <w:pPr>
              <w:autoSpaceDE w:val="0"/>
              <w:autoSpaceDN w:val="0"/>
              <w:adjustRightInd w:val="0"/>
              <w:ind w:left="-105" w:leftChars="-50" w:right="-105" w:rightChars="-50"/>
              <w:jc w:val="center"/>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B39382D">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分支机构营业利润所得</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7C634866">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股息、红利等权益性投资所得</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B65E5B9">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利息所得</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348AB5F6">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租金所得</w:t>
            </w:r>
          </w:p>
        </w:tc>
        <w:tc>
          <w:tcPr>
            <w:tcW w:w="789" w:type="dxa"/>
            <w:tcBorders>
              <w:top w:val="single" w:color="auto" w:sz="6" w:space="0"/>
              <w:left w:val="single" w:color="auto" w:sz="6" w:space="0"/>
              <w:bottom w:val="single" w:color="auto" w:sz="6" w:space="0"/>
              <w:right w:val="single" w:color="auto" w:sz="6" w:space="0"/>
            </w:tcBorders>
            <w:noWrap w:val="0"/>
            <w:vAlign w:val="center"/>
          </w:tcPr>
          <w:p w14:paraId="52C62BD1">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特许权使用费所得</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95D7115">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财产转让所得</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7B0D43A5">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其他所得</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6E0A5626">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小计</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13A22C8D">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直接缴纳的所得税额</w:t>
            </w:r>
          </w:p>
        </w:tc>
        <w:tc>
          <w:tcPr>
            <w:tcW w:w="789" w:type="dxa"/>
            <w:tcBorders>
              <w:top w:val="single" w:color="auto" w:sz="6" w:space="0"/>
              <w:left w:val="single" w:color="auto" w:sz="6" w:space="0"/>
              <w:bottom w:val="single" w:color="auto" w:sz="6" w:space="0"/>
              <w:right w:val="single" w:color="auto" w:sz="6" w:space="0"/>
            </w:tcBorders>
            <w:noWrap w:val="0"/>
            <w:vAlign w:val="center"/>
          </w:tcPr>
          <w:p w14:paraId="5AACE64A">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间接负担的所得税额</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B6441E9">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享受税收饶让抵免税额</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507CEFAC">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小计</w:t>
            </w:r>
          </w:p>
        </w:tc>
        <w:tc>
          <w:tcPr>
            <w:tcW w:w="788" w:type="dxa"/>
            <w:vMerge w:val="continue"/>
            <w:tcBorders>
              <w:left w:val="single" w:color="auto" w:sz="6" w:space="0"/>
              <w:bottom w:val="single" w:color="auto" w:sz="6" w:space="0"/>
              <w:right w:val="single" w:color="auto" w:sz="6" w:space="0"/>
            </w:tcBorders>
            <w:noWrap w:val="0"/>
            <w:vAlign w:val="center"/>
          </w:tcPr>
          <w:p w14:paraId="5B9C8A9C">
            <w:pPr>
              <w:autoSpaceDE w:val="0"/>
              <w:autoSpaceDN w:val="0"/>
              <w:adjustRightInd w:val="0"/>
              <w:ind w:left="-105" w:leftChars="-50" w:right="-105" w:rightChars="-50"/>
              <w:jc w:val="center"/>
              <w:rPr>
                <w:rFonts w:ascii="宋体" w:cs="宋体"/>
                <w:color w:val="000000"/>
                <w:kern w:val="0"/>
                <w:sz w:val="20"/>
                <w:szCs w:val="20"/>
              </w:rPr>
            </w:pPr>
          </w:p>
        </w:tc>
        <w:tc>
          <w:tcPr>
            <w:tcW w:w="789" w:type="dxa"/>
            <w:vMerge w:val="continue"/>
            <w:tcBorders>
              <w:left w:val="single" w:color="auto" w:sz="6" w:space="0"/>
              <w:bottom w:val="single" w:color="auto" w:sz="6" w:space="0"/>
              <w:right w:val="single" w:color="auto" w:sz="6" w:space="0"/>
            </w:tcBorders>
            <w:noWrap w:val="0"/>
            <w:vAlign w:val="center"/>
          </w:tcPr>
          <w:p w14:paraId="0F074B1F">
            <w:pPr>
              <w:autoSpaceDE w:val="0"/>
              <w:autoSpaceDN w:val="0"/>
              <w:adjustRightInd w:val="0"/>
              <w:ind w:left="-105" w:leftChars="-50" w:right="-105" w:rightChars="-50"/>
              <w:jc w:val="center"/>
              <w:rPr>
                <w:rFonts w:ascii="宋体" w:cs="宋体"/>
                <w:color w:val="000000"/>
                <w:kern w:val="0"/>
                <w:sz w:val="20"/>
                <w:szCs w:val="20"/>
              </w:rPr>
            </w:pPr>
          </w:p>
        </w:tc>
        <w:tc>
          <w:tcPr>
            <w:tcW w:w="788" w:type="dxa"/>
            <w:vMerge w:val="continue"/>
            <w:tcBorders>
              <w:left w:val="single" w:color="auto" w:sz="6" w:space="0"/>
              <w:bottom w:val="single" w:color="auto" w:sz="6" w:space="0"/>
              <w:right w:val="single" w:color="auto" w:sz="6" w:space="0"/>
            </w:tcBorders>
            <w:noWrap w:val="0"/>
            <w:vAlign w:val="center"/>
          </w:tcPr>
          <w:p w14:paraId="0068AFE1">
            <w:pPr>
              <w:autoSpaceDE w:val="0"/>
              <w:autoSpaceDN w:val="0"/>
              <w:adjustRightInd w:val="0"/>
              <w:ind w:left="-105" w:leftChars="-50" w:right="-105" w:rightChars="-50"/>
              <w:jc w:val="center"/>
              <w:rPr>
                <w:rFonts w:ascii="宋体" w:cs="宋体"/>
                <w:color w:val="000000"/>
                <w:kern w:val="0"/>
                <w:sz w:val="20"/>
                <w:szCs w:val="20"/>
              </w:rPr>
            </w:pPr>
          </w:p>
        </w:tc>
        <w:tc>
          <w:tcPr>
            <w:tcW w:w="788" w:type="dxa"/>
            <w:vMerge w:val="continue"/>
            <w:tcBorders>
              <w:left w:val="single" w:color="auto" w:sz="6" w:space="0"/>
              <w:bottom w:val="single" w:color="auto" w:sz="6" w:space="0"/>
              <w:right w:val="single" w:color="auto" w:sz="6" w:space="0"/>
            </w:tcBorders>
            <w:noWrap w:val="0"/>
            <w:vAlign w:val="center"/>
          </w:tcPr>
          <w:p w14:paraId="7C99DFEA">
            <w:pPr>
              <w:autoSpaceDE w:val="0"/>
              <w:autoSpaceDN w:val="0"/>
              <w:adjustRightInd w:val="0"/>
              <w:ind w:left="-105" w:leftChars="-50" w:right="-105" w:rightChars="-50"/>
              <w:jc w:val="center"/>
              <w:rPr>
                <w:rFonts w:ascii="宋体" w:cs="宋体"/>
                <w:color w:val="000000"/>
                <w:kern w:val="0"/>
                <w:sz w:val="20"/>
                <w:szCs w:val="20"/>
              </w:rPr>
            </w:pPr>
          </w:p>
        </w:tc>
        <w:tc>
          <w:tcPr>
            <w:tcW w:w="788" w:type="dxa"/>
            <w:vMerge w:val="continue"/>
            <w:tcBorders>
              <w:left w:val="single" w:color="auto" w:sz="6" w:space="0"/>
              <w:bottom w:val="single" w:color="auto" w:sz="6" w:space="0"/>
              <w:right w:val="single" w:color="auto" w:sz="12" w:space="0"/>
            </w:tcBorders>
            <w:noWrap w:val="0"/>
            <w:vAlign w:val="center"/>
          </w:tcPr>
          <w:p w14:paraId="77E0EEFA">
            <w:pPr>
              <w:autoSpaceDE w:val="0"/>
              <w:autoSpaceDN w:val="0"/>
              <w:adjustRightInd w:val="0"/>
              <w:ind w:left="-105" w:leftChars="-50" w:right="-105" w:rightChars="-50"/>
              <w:jc w:val="center"/>
              <w:rPr>
                <w:rFonts w:ascii="宋体" w:cs="宋体"/>
                <w:color w:val="000000"/>
                <w:kern w:val="0"/>
                <w:sz w:val="20"/>
                <w:szCs w:val="20"/>
              </w:rPr>
            </w:pPr>
          </w:p>
        </w:tc>
      </w:tr>
      <w:tr w14:paraId="14F24D01">
        <w:tblPrEx>
          <w:tblCellMar>
            <w:top w:w="0" w:type="dxa"/>
            <w:left w:w="108" w:type="dxa"/>
            <w:bottom w:w="0" w:type="dxa"/>
            <w:right w:w="108" w:type="dxa"/>
          </w:tblCellMar>
        </w:tblPrEx>
        <w:trPr>
          <w:trHeight w:val="528" w:hRule="atLeast"/>
          <w:jc w:val="center"/>
        </w:trPr>
        <w:tc>
          <w:tcPr>
            <w:tcW w:w="552" w:type="dxa"/>
            <w:vMerge w:val="continue"/>
            <w:tcBorders>
              <w:left w:val="single" w:color="auto" w:sz="12" w:space="0"/>
              <w:bottom w:val="single" w:color="auto" w:sz="6" w:space="0"/>
              <w:right w:val="single" w:color="auto" w:sz="6" w:space="0"/>
            </w:tcBorders>
            <w:noWrap w:val="0"/>
            <w:vAlign w:val="top"/>
          </w:tcPr>
          <w:p w14:paraId="31346744">
            <w:pPr>
              <w:autoSpaceDE w:val="0"/>
              <w:autoSpaceDN w:val="0"/>
              <w:adjustRightInd w:val="0"/>
              <w:ind w:left="-105" w:leftChars="-50" w:right="-105" w:rightChars="-50"/>
              <w:jc w:val="center"/>
              <w:rPr>
                <w:rFonts w:ascii="宋体" w:cs="宋体"/>
                <w:color w:val="000000"/>
                <w:kern w:val="0"/>
                <w:sz w:val="20"/>
                <w:szCs w:val="20"/>
              </w:rPr>
            </w:pPr>
          </w:p>
        </w:tc>
        <w:tc>
          <w:tcPr>
            <w:tcW w:w="824" w:type="dxa"/>
            <w:tcBorders>
              <w:top w:val="single" w:color="auto" w:sz="6" w:space="0"/>
              <w:left w:val="single" w:color="auto" w:sz="6" w:space="0"/>
              <w:bottom w:val="single" w:color="auto" w:sz="6" w:space="0"/>
              <w:right w:val="single" w:color="auto" w:sz="6" w:space="0"/>
            </w:tcBorders>
            <w:noWrap w:val="0"/>
            <w:vAlign w:val="center"/>
          </w:tcPr>
          <w:p w14:paraId="70EE09D6">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595A79C7">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2</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7E61959">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3</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214C7757">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4</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13A82313">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5</w:t>
            </w:r>
          </w:p>
        </w:tc>
        <w:tc>
          <w:tcPr>
            <w:tcW w:w="789" w:type="dxa"/>
            <w:tcBorders>
              <w:top w:val="single" w:color="auto" w:sz="6" w:space="0"/>
              <w:left w:val="single" w:color="auto" w:sz="6" w:space="0"/>
              <w:bottom w:val="single" w:color="auto" w:sz="6" w:space="0"/>
              <w:right w:val="single" w:color="auto" w:sz="6" w:space="0"/>
            </w:tcBorders>
            <w:noWrap w:val="0"/>
            <w:vAlign w:val="center"/>
          </w:tcPr>
          <w:p w14:paraId="4619E670">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6</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68060EAB">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7</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124FE4AC">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8</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6C7E56E8">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9</w:t>
            </w:r>
            <w:r>
              <w:rPr>
                <w:rFonts w:hint="eastAsia" w:ascii="宋体" w:cs="宋体"/>
                <w:color w:val="000000"/>
                <w:kern w:val="0"/>
                <w:sz w:val="20"/>
                <w:szCs w:val="20"/>
              </w:rPr>
              <w:t>(</w:t>
            </w:r>
            <w:r>
              <w:rPr>
                <w:rFonts w:ascii="宋体" w:cs="宋体"/>
                <w:color w:val="000000"/>
                <w:kern w:val="0"/>
                <w:sz w:val="20"/>
                <w:szCs w:val="20"/>
              </w:rPr>
              <w:t>2+</w:t>
            </w:r>
            <w:r>
              <w:rPr>
                <w:rFonts w:hint="eastAsia" w:ascii="宋体" w:cs="宋体"/>
                <w:color w:val="000000"/>
                <w:kern w:val="0"/>
                <w:sz w:val="20"/>
                <w:szCs w:val="20"/>
              </w:rPr>
              <w:t>…</w:t>
            </w:r>
            <w:r>
              <w:rPr>
                <w:rFonts w:ascii="宋体" w:cs="宋体"/>
                <w:color w:val="000000"/>
                <w:kern w:val="0"/>
                <w:sz w:val="20"/>
                <w:szCs w:val="20"/>
              </w:rPr>
              <w:t>+8</w:t>
            </w:r>
            <w:r>
              <w:rPr>
                <w:rFonts w:hint="eastAsia" w:ascii="宋体" w:cs="宋体"/>
                <w:color w:val="000000"/>
                <w:kern w:val="0"/>
                <w:sz w:val="20"/>
                <w:szCs w:val="20"/>
              </w:rPr>
              <w:t>)</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67B9E87C">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10</w:t>
            </w:r>
          </w:p>
        </w:tc>
        <w:tc>
          <w:tcPr>
            <w:tcW w:w="789" w:type="dxa"/>
            <w:tcBorders>
              <w:top w:val="single" w:color="auto" w:sz="6" w:space="0"/>
              <w:left w:val="single" w:color="auto" w:sz="6" w:space="0"/>
              <w:bottom w:val="single" w:color="auto" w:sz="6" w:space="0"/>
              <w:right w:val="single" w:color="auto" w:sz="6" w:space="0"/>
            </w:tcBorders>
            <w:noWrap w:val="0"/>
            <w:vAlign w:val="center"/>
          </w:tcPr>
          <w:p w14:paraId="34B6090E">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11</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6223AD24">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12</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7FD1DBC0">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13</w:t>
            </w:r>
            <w:r>
              <w:rPr>
                <w:rFonts w:hint="eastAsia" w:ascii="宋体" w:cs="宋体"/>
                <w:color w:val="000000"/>
                <w:kern w:val="0"/>
                <w:sz w:val="20"/>
                <w:szCs w:val="20"/>
              </w:rPr>
              <w:t>(</w:t>
            </w:r>
            <w:r>
              <w:rPr>
                <w:rFonts w:ascii="宋体" w:cs="宋体"/>
                <w:color w:val="000000"/>
                <w:kern w:val="0"/>
                <w:sz w:val="20"/>
                <w:szCs w:val="20"/>
              </w:rPr>
              <w:t>10+</w:t>
            </w:r>
            <w:r>
              <w:rPr>
                <w:rFonts w:ascii="宋体" w:cs="宋体"/>
                <w:color w:val="000000"/>
                <w:kern w:val="0"/>
                <w:sz w:val="20"/>
                <w:szCs w:val="20"/>
              </w:rPr>
              <w:br w:type="textWrapping"/>
            </w:r>
            <w:r>
              <w:rPr>
                <w:rFonts w:ascii="宋体" w:cs="宋体"/>
                <w:color w:val="000000"/>
                <w:kern w:val="0"/>
                <w:sz w:val="20"/>
                <w:szCs w:val="20"/>
              </w:rPr>
              <w:t>11+12</w:t>
            </w:r>
            <w:r>
              <w:rPr>
                <w:rFonts w:hint="eastAsia" w:ascii="宋体" w:cs="宋体"/>
                <w:color w:val="000000"/>
                <w:kern w:val="0"/>
                <w:sz w:val="20"/>
                <w:szCs w:val="20"/>
              </w:rPr>
              <w:t>)</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542D6E9A">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14</w:t>
            </w:r>
            <w:r>
              <w:rPr>
                <w:rFonts w:hint="eastAsia" w:ascii="宋体" w:cs="宋体"/>
                <w:color w:val="000000"/>
                <w:kern w:val="0"/>
                <w:sz w:val="20"/>
                <w:szCs w:val="20"/>
              </w:rPr>
              <w:t>(</w:t>
            </w:r>
            <w:r>
              <w:rPr>
                <w:rFonts w:ascii="宋体" w:cs="宋体"/>
                <w:color w:val="000000"/>
                <w:kern w:val="0"/>
                <w:sz w:val="20"/>
                <w:szCs w:val="20"/>
              </w:rPr>
              <w:t>9+10+11</w:t>
            </w:r>
            <w:r>
              <w:rPr>
                <w:rFonts w:hint="eastAsia" w:ascii="宋体" w:cs="宋体"/>
                <w:color w:val="000000"/>
                <w:kern w:val="0"/>
                <w:sz w:val="20"/>
                <w:szCs w:val="20"/>
              </w:rPr>
              <w:t>)</w:t>
            </w:r>
          </w:p>
        </w:tc>
        <w:tc>
          <w:tcPr>
            <w:tcW w:w="789" w:type="dxa"/>
            <w:tcBorders>
              <w:top w:val="single" w:color="auto" w:sz="6" w:space="0"/>
              <w:left w:val="single" w:color="auto" w:sz="6" w:space="0"/>
              <w:bottom w:val="single" w:color="auto" w:sz="6" w:space="0"/>
              <w:right w:val="single" w:color="auto" w:sz="6" w:space="0"/>
            </w:tcBorders>
            <w:noWrap w:val="0"/>
            <w:vAlign w:val="center"/>
          </w:tcPr>
          <w:p w14:paraId="4ADA4C4D">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15</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336552A">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16</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4854D7D5">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17</w:t>
            </w:r>
          </w:p>
        </w:tc>
        <w:tc>
          <w:tcPr>
            <w:tcW w:w="788" w:type="dxa"/>
            <w:tcBorders>
              <w:top w:val="single" w:color="auto" w:sz="6" w:space="0"/>
              <w:left w:val="single" w:color="auto" w:sz="6" w:space="0"/>
              <w:bottom w:val="single" w:color="auto" w:sz="6" w:space="0"/>
              <w:right w:val="single" w:color="auto" w:sz="12" w:space="0"/>
            </w:tcBorders>
            <w:noWrap w:val="0"/>
            <w:vAlign w:val="center"/>
          </w:tcPr>
          <w:p w14:paraId="3642A5CB">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18</w:t>
            </w:r>
            <w:r>
              <w:rPr>
                <w:rFonts w:hint="eastAsia" w:ascii="宋体" w:cs="宋体"/>
                <w:color w:val="000000"/>
                <w:kern w:val="0"/>
                <w:sz w:val="20"/>
                <w:szCs w:val="20"/>
              </w:rPr>
              <w:t>(</w:t>
            </w:r>
            <w:r>
              <w:rPr>
                <w:rFonts w:ascii="宋体" w:cs="宋体"/>
                <w:color w:val="000000"/>
                <w:kern w:val="0"/>
                <w:sz w:val="20"/>
                <w:szCs w:val="20"/>
              </w:rPr>
              <w:t>14+</w:t>
            </w:r>
            <w:r>
              <w:rPr>
                <w:rFonts w:ascii="宋体" w:cs="宋体"/>
                <w:color w:val="000000"/>
                <w:kern w:val="0"/>
                <w:sz w:val="20"/>
                <w:szCs w:val="20"/>
              </w:rPr>
              <w:br w:type="textWrapping"/>
            </w:r>
            <w:r>
              <w:rPr>
                <w:rFonts w:ascii="宋体" w:cs="宋体"/>
                <w:color w:val="000000"/>
                <w:kern w:val="0"/>
                <w:sz w:val="20"/>
                <w:szCs w:val="20"/>
              </w:rPr>
              <w:t>15-16-17</w:t>
            </w:r>
            <w:r>
              <w:rPr>
                <w:rFonts w:hint="eastAsia" w:ascii="宋体" w:cs="宋体"/>
                <w:color w:val="000000"/>
                <w:kern w:val="0"/>
                <w:sz w:val="20"/>
                <w:szCs w:val="20"/>
              </w:rPr>
              <w:t>)</w:t>
            </w:r>
          </w:p>
        </w:tc>
      </w:tr>
      <w:tr w14:paraId="6FDFC510">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28B4F2F7">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1</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4E232E1E">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1947198">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56CCFF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FE7D220">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667EDE5">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7DB666F2">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70BA50E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C638F7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C6DD619">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D22F1D0">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08085A4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A19773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5709AB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D5DADD9">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1F85F9DF">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B861339">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BF4A4D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238766BD">
            <w:pPr>
              <w:autoSpaceDE w:val="0"/>
              <w:autoSpaceDN w:val="0"/>
              <w:adjustRightInd w:val="0"/>
              <w:jc w:val="right"/>
              <w:rPr>
                <w:rFonts w:ascii="宋体" w:cs="宋体"/>
                <w:color w:val="000000"/>
                <w:kern w:val="0"/>
                <w:sz w:val="20"/>
                <w:szCs w:val="20"/>
              </w:rPr>
            </w:pPr>
          </w:p>
        </w:tc>
      </w:tr>
      <w:tr w14:paraId="50E66E7D">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4558D07D">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2</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7C016484">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A2DB8FF">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ECE2F99">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650D08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F5AEE03">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754A92BC">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DBD2EC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7AC060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9639DD4">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E86CBDF">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3266D39C">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B2351F5">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1BBE83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805F1BC">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09E2DE4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A30DBA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28FC6A4">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3511AA89">
            <w:pPr>
              <w:autoSpaceDE w:val="0"/>
              <w:autoSpaceDN w:val="0"/>
              <w:adjustRightInd w:val="0"/>
              <w:jc w:val="right"/>
              <w:rPr>
                <w:rFonts w:ascii="宋体" w:cs="宋体"/>
                <w:color w:val="000000"/>
                <w:kern w:val="0"/>
                <w:sz w:val="20"/>
                <w:szCs w:val="20"/>
              </w:rPr>
            </w:pPr>
          </w:p>
        </w:tc>
      </w:tr>
      <w:tr w14:paraId="5CE01CE8">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722AFECF">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3</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54BCA17F">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96B106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AC5B6D8">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EDEA0E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80D2BB5">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71105FB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7B1ED9A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7337661">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4572F05">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D4C3945">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3E5C80F2">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2FBCA2F">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A4DCB7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AEC3FF5">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2418A34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BAF3B4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F6DC0E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4E7E24CE">
            <w:pPr>
              <w:autoSpaceDE w:val="0"/>
              <w:autoSpaceDN w:val="0"/>
              <w:adjustRightInd w:val="0"/>
              <w:jc w:val="right"/>
              <w:rPr>
                <w:rFonts w:ascii="宋体" w:cs="宋体"/>
                <w:color w:val="000000"/>
                <w:kern w:val="0"/>
                <w:sz w:val="20"/>
                <w:szCs w:val="20"/>
              </w:rPr>
            </w:pPr>
          </w:p>
        </w:tc>
      </w:tr>
      <w:tr w14:paraId="5E1BAA0D">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7E913A59">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4</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6548CA91">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49C5440">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9FC90F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40C4FD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0DE5940">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72642AE4">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E8B07A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EBD526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F480EA9">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009622E">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146EE4F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723F6DBF">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1BEF80C">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7D7AEFF">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5FA1022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2E4EB0F">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222D9AF">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31F7A99A">
            <w:pPr>
              <w:autoSpaceDE w:val="0"/>
              <w:autoSpaceDN w:val="0"/>
              <w:adjustRightInd w:val="0"/>
              <w:jc w:val="right"/>
              <w:rPr>
                <w:rFonts w:ascii="宋体" w:cs="宋体"/>
                <w:color w:val="000000"/>
                <w:kern w:val="0"/>
                <w:sz w:val="20"/>
                <w:szCs w:val="20"/>
              </w:rPr>
            </w:pPr>
          </w:p>
        </w:tc>
      </w:tr>
      <w:tr w14:paraId="009BAD37">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28A81165">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5</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1BDC2569">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77B90E4">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BAF14F1">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E006AF5">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2D96B58">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14C5CEA8">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2B3D6C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CEF598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D1B539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E1EBD41">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74C1155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09E8010">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1E08B7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0B947FA">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643167C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07799A8">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7D9E99A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556E2090">
            <w:pPr>
              <w:autoSpaceDE w:val="0"/>
              <w:autoSpaceDN w:val="0"/>
              <w:adjustRightInd w:val="0"/>
              <w:jc w:val="right"/>
              <w:rPr>
                <w:rFonts w:ascii="宋体" w:cs="宋体"/>
                <w:color w:val="000000"/>
                <w:kern w:val="0"/>
                <w:sz w:val="20"/>
                <w:szCs w:val="20"/>
              </w:rPr>
            </w:pPr>
          </w:p>
        </w:tc>
      </w:tr>
      <w:tr w14:paraId="7C4F5D75">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653DAD44">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6</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78B77861">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D27DFC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9DE49E5">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23D2C5C">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9D542FA">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64DA21DF">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78EA8E4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D84DD0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86DC84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862EFF1">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113EA42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E36793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707683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6E8A115">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3A94654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65DC83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A7EE75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06BA0D8A">
            <w:pPr>
              <w:autoSpaceDE w:val="0"/>
              <w:autoSpaceDN w:val="0"/>
              <w:adjustRightInd w:val="0"/>
              <w:jc w:val="right"/>
              <w:rPr>
                <w:rFonts w:ascii="宋体" w:cs="宋体"/>
                <w:color w:val="000000"/>
                <w:kern w:val="0"/>
                <w:sz w:val="20"/>
                <w:szCs w:val="20"/>
              </w:rPr>
            </w:pPr>
          </w:p>
        </w:tc>
      </w:tr>
      <w:tr w14:paraId="759A6A0D">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00047A5C">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7</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072AAD4A">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F2EB57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F87938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9C1D3C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908DFA2">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5A9C0B6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3E5CF1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5DC445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65E1E05">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7665819D">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245169C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23C33C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AB2B00F">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241D35B">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704E6FEC">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7222701">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CE76F6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4467ADBE">
            <w:pPr>
              <w:autoSpaceDE w:val="0"/>
              <w:autoSpaceDN w:val="0"/>
              <w:adjustRightInd w:val="0"/>
              <w:jc w:val="right"/>
              <w:rPr>
                <w:rFonts w:ascii="宋体" w:cs="宋体"/>
                <w:color w:val="000000"/>
                <w:kern w:val="0"/>
                <w:sz w:val="20"/>
                <w:szCs w:val="20"/>
              </w:rPr>
            </w:pPr>
          </w:p>
        </w:tc>
      </w:tr>
      <w:tr w14:paraId="1FDAEA11">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323288A6">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8</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6D6AED5A">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D196282">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54F8C3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483A920">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F3ADDED">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65B2D68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5AE45E1">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4BB549F8">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B2F044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184A28E">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736B8C4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6846DC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EDF9722">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000563A">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14F6CB64">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B6D2B29">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6010F0D0">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35480223">
            <w:pPr>
              <w:autoSpaceDE w:val="0"/>
              <w:autoSpaceDN w:val="0"/>
              <w:adjustRightInd w:val="0"/>
              <w:jc w:val="right"/>
              <w:rPr>
                <w:rFonts w:ascii="宋体" w:cs="宋体"/>
                <w:color w:val="000000"/>
                <w:kern w:val="0"/>
                <w:sz w:val="20"/>
                <w:szCs w:val="20"/>
              </w:rPr>
            </w:pPr>
          </w:p>
        </w:tc>
      </w:tr>
      <w:tr w14:paraId="06F2B6FB">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noWrap w:val="0"/>
            <w:vAlign w:val="center"/>
          </w:tcPr>
          <w:p w14:paraId="755B447E">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9</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6D78FC65">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B1A6E4D">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94D3FE8">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934C03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AC97250">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6959558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B9F2A3B">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1D700C9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7773C014">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0261B10B">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0B9F7AE4">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5F0AD91">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02DFEA0">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39C41212">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noWrap w:val="0"/>
            <w:vAlign w:val="center"/>
          </w:tcPr>
          <w:p w14:paraId="5F889F21">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2E93912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noWrap w:val="0"/>
            <w:vAlign w:val="center"/>
          </w:tcPr>
          <w:p w14:paraId="53DAF32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noWrap w:val="0"/>
            <w:vAlign w:val="center"/>
          </w:tcPr>
          <w:p w14:paraId="5693B397">
            <w:pPr>
              <w:autoSpaceDE w:val="0"/>
              <w:autoSpaceDN w:val="0"/>
              <w:adjustRightInd w:val="0"/>
              <w:jc w:val="right"/>
              <w:rPr>
                <w:rFonts w:ascii="宋体" w:cs="宋体"/>
                <w:color w:val="000000"/>
                <w:kern w:val="0"/>
                <w:sz w:val="20"/>
                <w:szCs w:val="20"/>
              </w:rPr>
            </w:pPr>
          </w:p>
        </w:tc>
      </w:tr>
      <w:tr w14:paraId="4B67FA7B">
        <w:tblPrEx>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12" w:space="0"/>
              <w:right w:val="single" w:color="auto" w:sz="6" w:space="0"/>
            </w:tcBorders>
            <w:noWrap w:val="0"/>
            <w:vAlign w:val="center"/>
          </w:tcPr>
          <w:p w14:paraId="62A39303">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10</w:t>
            </w:r>
          </w:p>
        </w:tc>
        <w:tc>
          <w:tcPr>
            <w:tcW w:w="824" w:type="dxa"/>
            <w:tcBorders>
              <w:top w:val="single" w:color="auto" w:sz="6" w:space="0"/>
              <w:left w:val="single" w:color="auto" w:sz="6" w:space="0"/>
              <w:bottom w:val="single" w:color="auto" w:sz="12" w:space="0"/>
              <w:right w:val="single" w:color="auto" w:sz="6" w:space="0"/>
            </w:tcBorders>
            <w:noWrap w:val="0"/>
            <w:vAlign w:val="center"/>
          </w:tcPr>
          <w:p w14:paraId="0A51B1D6">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合计</w:t>
            </w:r>
          </w:p>
        </w:tc>
        <w:tc>
          <w:tcPr>
            <w:tcW w:w="788" w:type="dxa"/>
            <w:tcBorders>
              <w:top w:val="single" w:color="auto" w:sz="6" w:space="0"/>
              <w:left w:val="single" w:color="auto" w:sz="6" w:space="0"/>
              <w:bottom w:val="single" w:color="auto" w:sz="12" w:space="0"/>
              <w:right w:val="single" w:color="auto" w:sz="6" w:space="0"/>
            </w:tcBorders>
            <w:noWrap w:val="0"/>
            <w:vAlign w:val="center"/>
          </w:tcPr>
          <w:p w14:paraId="27393D13">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75EDBC04">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514EC5E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71B0F79C">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12" w:space="0"/>
              <w:right w:val="single" w:color="auto" w:sz="6" w:space="0"/>
            </w:tcBorders>
            <w:noWrap w:val="0"/>
            <w:vAlign w:val="center"/>
          </w:tcPr>
          <w:p w14:paraId="0D77A0F5">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49AD618E">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0BE76CBA">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0B5DE477">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159E279A">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12" w:space="0"/>
              <w:right w:val="single" w:color="auto" w:sz="6" w:space="0"/>
            </w:tcBorders>
            <w:noWrap w:val="0"/>
            <w:vAlign w:val="center"/>
          </w:tcPr>
          <w:p w14:paraId="480288B1">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79E6A665">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205D22C2">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478892CD">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12" w:space="0"/>
              <w:right w:val="single" w:color="auto" w:sz="6" w:space="0"/>
            </w:tcBorders>
            <w:noWrap w:val="0"/>
            <w:vAlign w:val="center"/>
          </w:tcPr>
          <w:p w14:paraId="7D74910C">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61F7C6B0">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noWrap w:val="0"/>
            <w:vAlign w:val="center"/>
          </w:tcPr>
          <w:p w14:paraId="3B01DC46">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12" w:space="0"/>
            </w:tcBorders>
            <w:noWrap w:val="0"/>
            <w:vAlign w:val="center"/>
          </w:tcPr>
          <w:p w14:paraId="4CF1A5D4">
            <w:pPr>
              <w:autoSpaceDE w:val="0"/>
              <w:autoSpaceDN w:val="0"/>
              <w:adjustRightInd w:val="0"/>
              <w:jc w:val="right"/>
              <w:rPr>
                <w:rFonts w:ascii="宋体" w:cs="宋体"/>
                <w:color w:val="000000"/>
                <w:kern w:val="0"/>
                <w:sz w:val="20"/>
                <w:szCs w:val="20"/>
              </w:rPr>
            </w:pPr>
          </w:p>
        </w:tc>
      </w:tr>
    </w:tbl>
    <w:p w14:paraId="74F4F1DB">
      <w:pPr>
        <w:pStyle w:val="9"/>
        <w:ind w:firstLine="0" w:firstLineChars="0"/>
        <w:rPr>
          <w:sz w:val="18"/>
        </w:rPr>
      </w:pPr>
    </w:p>
    <w:p w14:paraId="686626F6">
      <w:pPr>
        <w:sectPr>
          <w:pgSz w:w="16838" w:h="11906" w:orient="landscape"/>
          <w:pgMar w:top="1418" w:right="1985" w:bottom="1418" w:left="1928" w:header="851" w:footer="992" w:gutter="113"/>
          <w:cols w:space="425" w:num="1"/>
          <w:docGrid w:linePitch="312" w:charSpace="0"/>
        </w:sectPr>
      </w:pPr>
    </w:p>
    <w:p w14:paraId="0E2E8D8F">
      <w:pPr>
        <w:pStyle w:val="10"/>
        <w:rPr>
          <w:rFonts w:hint="eastAsia" w:asciiTheme="majorEastAsia" w:hAnsiTheme="majorEastAsia" w:eastAsiaTheme="majorEastAsia" w:cstheme="majorEastAsia"/>
          <w:b/>
          <w:bCs/>
          <w:lang w:eastAsia="zh-CN"/>
        </w:rPr>
      </w:pPr>
      <w:bookmarkStart w:id="1" w:name="_Toc24965078"/>
      <w:bookmarkStart w:id="2" w:name="_Toc499456618"/>
      <w:bookmarkStart w:id="3" w:name="_Toc23757"/>
      <w:r>
        <w:rPr>
          <w:rFonts w:hint="eastAsia" w:asciiTheme="majorEastAsia" w:hAnsiTheme="majorEastAsia" w:eastAsiaTheme="majorEastAsia" w:cstheme="majorEastAsia"/>
          <w:b/>
          <w:bCs/>
        </w:rPr>
        <w:t>A108010</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《境外所得纳税调整后所得明细表》填报说明</w:t>
      </w:r>
      <w:bookmarkEnd w:id="1"/>
      <w:bookmarkEnd w:id="2"/>
      <w:bookmarkEnd w:id="3"/>
      <w:r>
        <w:rPr>
          <w:rFonts w:hint="eastAsia" w:asciiTheme="majorEastAsia" w:hAnsiTheme="majorEastAsia" w:eastAsiaTheme="majorEastAsia" w:cstheme="majorEastAsia"/>
          <w:b/>
          <w:bCs/>
          <w:lang w:eastAsia="zh-CN"/>
        </w:rPr>
        <w:t>（</w:t>
      </w:r>
      <w:r>
        <w:rPr>
          <w:rFonts w:hint="eastAsia" w:asciiTheme="majorEastAsia" w:hAnsiTheme="majorEastAsia" w:eastAsiaTheme="majorEastAsia" w:cstheme="majorEastAsia"/>
          <w:b/>
          <w:bCs/>
          <w:lang w:val="en-US" w:eastAsia="zh-CN"/>
        </w:rPr>
        <w:t>旧</w:t>
      </w:r>
      <w:r>
        <w:rPr>
          <w:rFonts w:hint="eastAsia" w:asciiTheme="majorEastAsia" w:hAnsiTheme="majorEastAsia" w:eastAsiaTheme="majorEastAsia" w:cstheme="majorEastAsia"/>
          <w:b/>
          <w:bCs/>
          <w:lang w:eastAsia="zh-CN"/>
        </w:rPr>
        <w:t>）</w:t>
      </w:r>
    </w:p>
    <w:p w14:paraId="366FD750">
      <w:pPr>
        <w:spacing w:line="360" w:lineRule="auto"/>
        <w:ind w:firstLine="480" w:firstLineChars="200"/>
        <w:rPr>
          <w:rFonts w:ascii="宋体" w:cs="Calibri"/>
          <w:sz w:val="24"/>
        </w:rPr>
      </w:pPr>
      <w:r>
        <w:rPr>
          <w:rFonts w:hint="eastAsia" w:ascii="宋体" w:hAnsi="宋体" w:cs="Calibri"/>
          <w:sz w:val="24"/>
        </w:rPr>
        <w:t>本表适用于取得境外所得的纳税人填报。纳税人应根据税法、《财政部</w:t>
      </w:r>
      <w:r>
        <w:rPr>
          <w:rFonts w:ascii="宋体" w:hAnsi="宋体" w:cs="Calibri"/>
          <w:sz w:val="24"/>
        </w:rPr>
        <w:t xml:space="preserve"> </w:t>
      </w:r>
      <w:r>
        <w:rPr>
          <w:rFonts w:hint="eastAsia" w:ascii="宋体" w:hAnsi="宋体" w:cs="Calibri"/>
          <w:sz w:val="24"/>
        </w:rPr>
        <w:t>国家税务总局关于企业境外所得税收抵免有关问题的通知》（财税〔</w:t>
      </w:r>
      <w:r>
        <w:rPr>
          <w:rFonts w:ascii="宋体" w:hAnsi="宋体" w:cs="Calibri"/>
          <w:sz w:val="24"/>
        </w:rPr>
        <w:t>2009</w:t>
      </w:r>
      <w:r>
        <w:rPr>
          <w:rFonts w:hint="eastAsia" w:ascii="宋体" w:hAnsi="宋体" w:cs="Calibri"/>
          <w:sz w:val="24"/>
        </w:rPr>
        <w:t>〕</w:t>
      </w:r>
      <w:r>
        <w:rPr>
          <w:rFonts w:ascii="宋体" w:hAnsi="宋体" w:cs="Calibri"/>
          <w:sz w:val="24"/>
        </w:rPr>
        <w:t>125</w:t>
      </w:r>
      <w:r>
        <w:rPr>
          <w:rFonts w:hint="eastAsia" w:ascii="宋体" w:hAnsi="宋体" w:cs="Calibri"/>
          <w:sz w:val="24"/>
        </w:rPr>
        <w:t>号）和《国家税务总局关于发布〈企业境外所得税收抵免操作指南〉的公告》（国家税务总局公告</w:t>
      </w:r>
      <w:r>
        <w:rPr>
          <w:rFonts w:ascii="宋体" w:hAnsi="宋体" w:cs="Calibri"/>
          <w:sz w:val="24"/>
        </w:rPr>
        <w:t>2010</w:t>
      </w:r>
      <w:r>
        <w:rPr>
          <w:rFonts w:hint="eastAsia" w:ascii="宋体" w:hAnsi="宋体" w:cs="Calibri"/>
          <w:sz w:val="24"/>
        </w:rPr>
        <w:t>年第</w:t>
      </w:r>
      <w:r>
        <w:rPr>
          <w:rFonts w:ascii="宋体" w:hAnsi="宋体" w:cs="Calibri"/>
          <w:sz w:val="24"/>
        </w:rPr>
        <w:t>1</w:t>
      </w:r>
      <w:r>
        <w:rPr>
          <w:rFonts w:hint="eastAsia" w:ascii="宋体" w:hAnsi="宋体" w:cs="Calibri"/>
          <w:sz w:val="24"/>
        </w:rPr>
        <w:t>号）、</w:t>
      </w:r>
      <w:r>
        <w:rPr>
          <w:rFonts w:hint="eastAsia" w:ascii="宋体" w:hAnsi="宋体"/>
          <w:sz w:val="24"/>
        </w:rPr>
        <w:t>《财政部</w:t>
      </w:r>
      <w:r>
        <w:rPr>
          <w:rFonts w:ascii="宋体" w:hAnsi="宋体"/>
          <w:sz w:val="24"/>
        </w:rPr>
        <w:t xml:space="preserve"> </w:t>
      </w:r>
      <w:r>
        <w:rPr>
          <w:rFonts w:hint="eastAsia" w:ascii="宋体" w:hAnsi="宋体"/>
          <w:sz w:val="24"/>
        </w:rPr>
        <w:t>国家税务总局关于我国石油企业从事油（气）资源开采所得税收抵免有关问题的通知》（财税〔</w:t>
      </w:r>
      <w:r>
        <w:rPr>
          <w:rFonts w:ascii="宋体" w:hAnsi="宋体"/>
          <w:sz w:val="24"/>
        </w:rPr>
        <w:t>2011</w:t>
      </w:r>
      <w:r>
        <w:rPr>
          <w:rFonts w:hint="eastAsia" w:ascii="宋体" w:hAnsi="宋体"/>
          <w:sz w:val="24"/>
        </w:rPr>
        <w:t>〕</w:t>
      </w:r>
      <w:r>
        <w:rPr>
          <w:rFonts w:ascii="宋体" w:hAnsi="宋体"/>
          <w:sz w:val="24"/>
        </w:rPr>
        <w:t>23</w:t>
      </w:r>
      <w:r>
        <w:rPr>
          <w:rFonts w:hint="eastAsia" w:ascii="宋体" w:hAnsi="宋体"/>
          <w:sz w:val="24"/>
        </w:rPr>
        <w:t>号）、</w:t>
      </w:r>
      <w:r>
        <w:rPr>
          <w:rFonts w:hint="eastAsia" w:ascii="宋体" w:hAnsi="宋体" w:cs="Calibri"/>
          <w:sz w:val="24"/>
        </w:rPr>
        <w:t>《财政部</w:t>
      </w:r>
      <w:r>
        <w:rPr>
          <w:rFonts w:ascii="宋体" w:hAnsi="宋体" w:cs="Calibri"/>
          <w:sz w:val="24"/>
        </w:rPr>
        <w:t xml:space="preserve"> </w:t>
      </w:r>
      <w:r>
        <w:rPr>
          <w:rFonts w:hint="eastAsia" w:ascii="宋体" w:hAnsi="宋体" w:cs="Calibri"/>
          <w:sz w:val="24"/>
        </w:rPr>
        <w:t>税务总局关于完善企业境外所得税收抵免政策问题的通知》（财税〔</w:t>
      </w:r>
      <w:r>
        <w:rPr>
          <w:rFonts w:ascii="宋体" w:hAnsi="宋体" w:cs="Calibri"/>
          <w:sz w:val="24"/>
        </w:rPr>
        <w:t>2017</w:t>
      </w:r>
      <w:r>
        <w:rPr>
          <w:rFonts w:hint="eastAsia" w:ascii="宋体" w:hAnsi="宋体" w:cs="Calibri"/>
          <w:sz w:val="24"/>
        </w:rPr>
        <w:t>〕</w:t>
      </w:r>
      <w:r>
        <w:rPr>
          <w:rFonts w:ascii="宋体" w:hAnsi="宋体" w:cs="Calibri"/>
          <w:sz w:val="24"/>
        </w:rPr>
        <w:t>84</w:t>
      </w:r>
      <w:r>
        <w:rPr>
          <w:rFonts w:hint="eastAsia" w:ascii="宋体" w:hAnsi="宋体" w:cs="Calibri"/>
          <w:sz w:val="24"/>
        </w:rPr>
        <w:t>号）规定，填报本年来源于或发生于不同国家、地区的所得按照税收规定计算的境外所得纳税调整后所得。对于境外所得税收抵免方式选择“不分国（地区）不分项”的纳税人，也应按照规定计算可抵免境外所得税税额，并按国（地区）别逐行填报。</w:t>
      </w:r>
    </w:p>
    <w:p w14:paraId="04213C7C">
      <w:pPr>
        <w:pStyle w:val="11"/>
        <w:spacing w:before="156"/>
        <w:ind w:firstLine="482"/>
      </w:pPr>
      <w:bookmarkStart w:id="4" w:name="_Toc21703774"/>
      <w:bookmarkStart w:id="5" w:name="_Toc24965079"/>
      <w:bookmarkStart w:id="6" w:name="_Toc21712296"/>
      <w:bookmarkStart w:id="7" w:name="_Toc21711258"/>
      <w:r>
        <w:rPr>
          <w:rFonts w:hint="eastAsia"/>
        </w:rPr>
        <w:t>一、有关项目填报说明</w:t>
      </w:r>
      <w:bookmarkEnd w:id="4"/>
      <w:bookmarkEnd w:id="5"/>
      <w:bookmarkEnd w:id="6"/>
      <w:bookmarkEnd w:id="7"/>
    </w:p>
    <w:p w14:paraId="7BEEAEB8">
      <w:pPr>
        <w:pStyle w:val="9"/>
      </w:pPr>
      <w:r>
        <w:t>1.</w:t>
      </w:r>
      <w:r>
        <w:rPr>
          <w:rFonts w:hint="eastAsia"/>
        </w:rPr>
        <w:t>第</w:t>
      </w:r>
      <w:r>
        <w:t>1</w:t>
      </w:r>
      <w:r>
        <w:rPr>
          <w:rFonts w:hint="eastAsia"/>
        </w:rPr>
        <w:t>列“国家（地区）”：填报纳税人境外所得来源的国家（地区）名称，来源于同一个国家（地区）的境外所得可合并到一行填报。</w:t>
      </w:r>
    </w:p>
    <w:p w14:paraId="66FFAC08">
      <w:pPr>
        <w:pStyle w:val="9"/>
      </w:pPr>
      <w:r>
        <w:t>2.</w:t>
      </w:r>
      <w:r>
        <w:rPr>
          <w:rFonts w:hint="eastAsia"/>
        </w:rPr>
        <w:t>第</w:t>
      </w:r>
      <w:r>
        <w:t>2</w:t>
      </w:r>
      <w:r>
        <w:rPr>
          <w:rFonts w:hint="eastAsia"/>
        </w:rPr>
        <w:t>列至第</w:t>
      </w:r>
      <w:r>
        <w:t>9</w:t>
      </w:r>
      <w:r>
        <w:rPr>
          <w:rFonts w:hint="eastAsia"/>
        </w:rPr>
        <w:t>列“境外税后所得”：填报纳税人取得的来源于境外的税后所得，包含已计入利润总额以及按照税法相关规定已在《纳税调整项目明细表》（</w:t>
      </w:r>
      <w:r>
        <w:t>A105000</w:t>
      </w:r>
      <w:r>
        <w:rPr>
          <w:rFonts w:hint="eastAsia"/>
        </w:rPr>
        <w:t>）进行纳税调整的境外税后所得。</w:t>
      </w:r>
    </w:p>
    <w:p w14:paraId="53445A03">
      <w:pPr>
        <w:pStyle w:val="9"/>
      </w:pPr>
      <w:r>
        <w:t>3.</w:t>
      </w:r>
      <w:r>
        <w:rPr>
          <w:rFonts w:hint="eastAsia"/>
        </w:rPr>
        <w:t>第</w:t>
      </w:r>
      <w:r>
        <w:t>10</w:t>
      </w:r>
      <w:r>
        <w:rPr>
          <w:rFonts w:hint="eastAsia"/>
        </w:rPr>
        <w:t>列“直接缴纳的所得税额”：填报纳税人来源于境外的营业利润所得在境外所缴纳的企业所得税，以及就来源于或发生于境外的股息、红利等权益性投资所得、利息、租金、特许权使用费、财产转让等所得在境外被源泉扣缴的预提所得税。</w:t>
      </w:r>
    </w:p>
    <w:p w14:paraId="2602294A">
      <w:pPr>
        <w:pStyle w:val="9"/>
      </w:pPr>
      <w:r>
        <w:t>4.</w:t>
      </w:r>
      <w:r>
        <w:rPr>
          <w:rFonts w:hint="eastAsia"/>
        </w:rPr>
        <w:t>第</w:t>
      </w:r>
      <w:r>
        <w:t>11</w:t>
      </w:r>
      <w:r>
        <w:rPr>
          <w:rFonts w:hint="eastAsia"/>
        </w:rPr>
        <w:t>列“间接负担的所得税额”：填报纳税人从其直接或者间接控制的外国企业分得的来源于中国境外的股息、红利等权益性投资收益，外国企业在境外实际缴纳的所得税额中属于该项所得负担的部分。</w:t>
      </w:r>
    </w:p>
    <w:p w14:paraId="061EF330">
      <w:pPr>
        <w:pStyle w:val="9"/>
      </w:pPr>
      <w:r>
        <w:t>5.</w:t>
      </w:r>
      <w:r>
        <w:rPr>
          <w:rFonts w:hint="eastAsia"/>
        </w:rPr>
        <w:t>第</w:t>
      </w:r>
      <w:r>
        <w:t>12</w:t>
      </w:r>
      <w:r>
        <w:rPr>
          <w:rFonts w:hint="eastAsia"/>
        </w:rPr>
        <w:t>列“享受税收饶让抵免税额”：填报纳税人从与我国政府订立税收协定（或安排）的国家（地区）取得的所得，按照该国（地区）税收法律享受了免税或减税待遇，且该免税或减税的数额按照税收协定应视同已缴税额的金额。</w:t>
      </w:r>
    </w:p>
    <w:p w14:paraId="279808DA">
      <w:pPr>
        <w:pStyle w:val="9"/>
      </w:pPr>
      <w:r>
        <w:t>6.</w:t>
      </w:r>
      <w:r>
        <w:rPr>
          <w:rFonts w:hint="eastAsia"/>
        </w:rPr>
        <w:t>第</w:t>
      </w:r>
      <w:r>
        <w:t>15</w:t>
      </w:r>
      <w:r>
        <w:rPr>
          <w:rFonts w:hint="eastAsia"/>
        </w:rPr>
        <w:t>列“境外分支机构收入与支出纳税调整额”：填报纳税人境外分支机构收入、支出按照税收规定计算的纳税调整额。</w:t>
      </w:r>
    </w:p>
    <w:p w14:paraId="5A7A7096">
      <w:pPr>
        <w:pStyle w:val="9"/>
      </w:pPr>
      <w:r>
        <w:t>7.</w:t>
      </w:r>
      <w:r>
        <w:rPr>
          <w:rFonts w:hint="eastAsia"/>
        </w:rPr>
        <w:t>第</w:t>
      </w:r>
      <w:r>
        <w:t>16</w:t>
      </w:r>
      <w:r>
        <w:rPr>
          <w:rFonts w:hint="eastAsia"/>
        </w:rPr>
        <w:t>列“境外分支机构调整分摊扣除的有关成本费用”：填报纳税人境外分支机构应合理分摊的总部管理费等有关成本费用，同时在《纳税调整项目明细表》（</w:t>
      </w:r>
      <w:r>
        <w:t>A105000</w:t>
      </w:r>
      <w:r>
        <w:rPr>
          <w:rFonts w:hint="eastAsia"/>
        </w:rPr>
        <w:t>）进行纳税调增。</w:t>
      </w:r>
    </w:p>
    <w:p w14:paraId="23F68659">
      <w:pPr>
        <w:pStyle w:val="9"/>
      </w:pPr>
      <w:r>
        <w:t>8.</w:t>
      </w:r>
      <w:r>
        <w:rPr>
          <w:rFonts w:hint="eastAsia"/>
        </w:rPr>
        <w:t>第</w:t>
      </w:r>
      <w:r>
        <w:t>17</w:t>
      </w:r>
      <w:r>
        <w:rPr>
          <w:rFonts w:hint="eastAsia"/>
        </w:rPr>
        <w:t>列“境外所得对应调整的相关成本费用支出”：填报纳税人实际发生与取得境外所得有关但未直接计入境外所得应纳税所得的成本费用支出，同时在《纳税调整项目明细表》（</w:t>
      </w:r>
      <w:r>
        <w:t>A105000</w:t>
      </w:r>
      <w:r>
        <w:rPr>
          <w:rFonts w:hint="eastAsia"/>
        </w:rPr>
        <w:t>）进行纳税调增。</w:t>
      </w:r>
    </w:p>
    <w:p w14:paraId="08C16B1D">
      <w:pPr>
        <w:pStyle w:val="9"/>
      </w:pPr>
      <w:r>
        <w:t>9.</w:t>
      </w:r>
      <w:r>
        <w:rPr>
          <w:rFonts w:hint="eastAsia"/>
        </w:rPr>
        <w:t>第</w:t>
      </w:r>
      <w:r>
        <w:t>18</w:t>
      </w:r>
      <w:r>
        <w:rPr>
          <w:rFonts w:hint="eastAsia"/>
        </w:rPr>
        <w:t>列“境外所得纳税调整后所得”：填报第</w:t>
      </w:r>
      <w:r>
        <w:t>14+15-16-17</w:t>
      </w:r>
      <w:r>
        <w:rPr>
          <w:rFonts w:hint="eastAsia"/>
        </w:rPr>
        <w:t>列的金额。</w:t>
      </w:r>
    </w:p>
    <w:p w14:paraId="7C8190EA">
      <w:pPr>
        <w:pStyle w:val="11"/>
        <w:spacing w:before="156"/>
        <w:ind w:firstLine="482"/>
      </w:pPr>
      <w:bookmarkStart w:id="8" w:name="_Toc21703775"/>
      <w:bookmarkStart w:id="9" w:name="_Toc21711259"/>
      <w:bookmarkStart w:id="10" w:name="_Toc24965080"/>
      <w:bookmarkStart w:id="11" w:name="_Toc21712297"/>
      <w:r>
        <w:rPr>
          <w:rFonts w:hint="eastAsia"/>
        </w:rPr>
        <w:t>二、表内、表间关系</w:t>
      </w:r>
      <w:bookmarkEnd w:id="8"/>
      <w:bookmarkEnd w:id="9"/>
      <w:bookmarkEnd w:id="10"/>
      <w:bookmarkEnd w:id="11"/>
    </w:p>
    <w:p w14:paraId="0653CB2D">
      <w:pPr>
        <w:pStyle w:val="12"/>
      </w:pPr>
      <w:bookmarkStart w:id="12" w:name="_Toc21712298"/>
      <w:bookmarkStart w:id="13" w:name="_Toc21711260"/>
      <w:bookmarkStart w:id="14" w:name="_Toc24965081"/>
      <w:bookmarkStart w:id="15" w:name="_Toc21703776"/>
      <w:r>
        <w:rPr>
          <w:rFonts w:hint="eastAsia"/>
        </w:rPr>
        <w:t>（一）表内关系</w:t>
      </w:r>
      <w:bookmarkEnd w:id="12"/>
      <w:bookmarkEnd w:id="13"/>
      <w:bookmarkEnd w:id="14"/>
      <w:bookmarkEnd w:id="15"/>
    </w:p>
    <w:p w14:paraId="1D575A6A">
      <w:pPr>
        <w:pStyle w:val="9"/>
      </w:pPr>
      <w:r>
        <w:t>1.</w:t>
      </w:r>
      <w:r>
        <w:rPr>
          <w:rFonts w:hint="eastAsia"/>
        </w:rPr>
        <w:t>第</w:t>
      </w:r>
      <w:r>
        <w:t>9</w:t>
      </w:r>
      <w:r>
        <w:rPr>
          <w:rFonts w:hint="eastAsia"/>
        </w:rPr>
        <w:t>列＝第</w:t>
      </w:r>
      <w:r>
        <w:t>2+3+</w:t>
      </w:r>
      <w:r>
        <w:rPr>
          <w:rFonts w:hint="eastAsia"/>
        </w:rPr>
        <w:t>…</w:t>
      </w:r>
      <w:r>
        <w:t>+8</w:t>
      </w:r>
      <w:r>
        <w:rPr>
          <w:rFonts w:hint="eastAsia"/>
        </w:rPr>
        <w:t>列。</w:t>
      </w:r>
    </w:p>
    <w:p w14:paraId="2E257D13">
      <w:pPr>
        <w:pStyle w:val="9"/>
      </w:pPr>
      <w:r>
        <w:t>2.</w:t>
      </w:r>
      <w:r>
        <w:rPr>
          <w:rFonts w:hint="eastAsia"/>
        </w:rPr>
        <w:t>第</w:t>
      </w:r>
      <w:r>
        <w:t>13</w:t>
      </w:r>
      <w:r>
        <w:rPr>
          <w:rFonts w:hint="eastAsia"/>
        </w:rPr>
        <w:t>列＝第</w:t>
      </w:r>
      <w:r>
        <w:t>10+11+12</w:t>
      </w:r>
      <w:r>
        <w:rPr>
          <w:rFonts w:hint="eastAsia"/>
        </w:rPr>
        <w:t>列。</w:t>
      </w:r>
    </w:p>
    <w:p w14:paraId="17B46B7D">
      <w:pPr>
        <w:pStyle w:val="9"/>
      </w:pPr>
      <w:r>
        <w:t>3.</w:t>
      </w:r>
      <w:r>
        <w:rPr>
          <w:rFonts w:hint="eastAsia"/>
        </w:rPr>
        <w:t>第</w:t>
      </w:r>
      <w:r>
        <w:t>14</w:t>
      </w:r>
      <w:r>
        <w:rPr>
          <w:rFonts w:hint="eastAsia"/>
        </w:rPr>
        <w:t>列＝第</w:t>
      </w:r>
      <w:r>
        <w:t>9+10+11</w:t>
      </w:r>
      <w:r>
        <w:rPr>
          <w:rFonts w:hint="eastAsia"/>
        </w:rPr>
        <w:t>列。</w:t>
      </w:r>
    </w:p>
    <w:p w14:paraId="5FA5EB79">
      <w:pPr>
        <w:pStyle w:val="9"/>
      </w:pPr>
      <w:r>
        <w:t>4.</w:t>
      </w:r>
      <w:r>
        <w:rPr>
          <w:rFonts w:hint="eastAsia"/>
        </w:rPr>
        <w:t>第</w:t>
      </w:r>
      <w:r>
        <w:t>18</w:t>
      </w:r>
      <w:r>
        <w:rPr>
          <w:rFonts w:hint="eastAsia"/>
        </w:rPr>
        <w:t>列＝第</w:t>
      </w:r>
      <w:r>
        <w:t>14+15-16-17</w:t>
      </w:r>
      <w:r>
        <w:rPr>
          <w:rFonts w:hint="eastAsia"/>
        </w:rPr>
        <w:t>列。</w:t>
      </w:r>
    </w:p>
    <w:p w14:paraId="137F615E">
      <w:pPr>
        <w:pStyle w:val="12"/>
      </w:pPr>
      <w:bookmarkStart w:id="16" w:name="_Toc21712299"/>
      <w:bookmarkStart w:id="17" w:name="_Toc21703777"/>
      <w:bookmarkStart w:id="18" w:name="_Toc24965082"/>
      <w:bookmarkStart w:id="19" w:name="_Toc21711261"/>
      <w:r>
        <w:rPr>
          <w:rFonts w:hint="eastAsia"/>
        </w:rPr>
        <w:t>（二）表间关系</w:t>
      </w:r>
      <w:bookmarkEnd w:id="16"/>
      <w:bookmarkEnd w:id="17"/>
      <w:bookmarkEnd w:id="18"/>
      <w:bookmarkEnd w:id="19"/>
    </w:p>
    <w:p w14:paraId="4CDFA5D0">
      <w:pPr>
        <w:pStyle w:val="9"/>
      </w:pPr>
      <w:r>
        <w:t>1.</w:t>
      </w:r>
      <w:r>
        <w:rPr>
          <w:rFonts w:hint="eastAsia"/>
        </w:rPr>
        <w:t>若选择“分国（地区）不分项”的境外所得抵免方式，第</w:t>
      </w:r>
      <w:r>
        <w:t>13</w:t>
      </w:r>
      <w:r>
        <w:rPr>
          <w:rFonts w:hint="eastAsia"/>
        </w:rPr>
        <w:t>列各行＝表</w:t>
      </w:r>
      <w:r>
        <w:t>A108000</w:t>
      </w:r>
      <w:r>
        <w:rPr>
          <w:rFonts w:hint="eastAsia"/>
        </w:rPr>
        <w:t>第</w:t>
      </w:r>
      <w:r>
        <w:t>10</w:t>
      </w:r>
      <w:r>
        <w:rPr>
          <w:rFonts w:hint="eastAsia"/>
        </w:rPr>
        <w:t>列相应行次；若选择“不分国（地区）不分项”</w:t>
      </w:r>
      <w:r>
        <w:t xml:space="preserve"> </w:t>
      </w:r>
      <w:r>
        <w:rPr>
          <w:rFonts w:hint="eastAsia"/>
        </w:rPr>
        <w:t>的境外所得抵免方式，第</w:t>
      </w:r>
      <w:r>
        <w:t>13</w:t>
      </w:r>
      <w:r>
        <w:rPr>
          <w:rFonts w:hint="eastAsia"/>
        </w:rPr>
        <w:t>列合计＝表</w:t>
      </w:r>
      <w:r>
        <w:t>A108000</w:t>
      </w:r>
      <w:r>
        <w:rPr>
          <w:rFonts w:hint="eastAsia"/>
        </w:rPr>
        <w:t>第</w:t>
      </w:r>
      <w:r>
        <w:t>1</w:t>
      </w:r>
      <w:r>
        <w:rPr>
          <w:rFonts w:hint="eastAsia"/>
        </w:rPr>
        <w:t>行第</w:t>
      </w:r>
      <w:r>
        <w:t>10</w:t>
      </w:r>
      <w:r>
        <w:rPr>
          <w:rFonts w:hint="eastAsia"/>
        </w:rPr>
        <w:t>列。</w:t>
      </w:r>
    </w:p>
    <w:p w14:paraId="703166FE">
      <w:pPr>
        <w:pStyle w:val="9"/>
      </w:pPr>
      <w:r>
        <w:t>2.</w:t>
      </w:r>
      <w:r>
        <w:rPr>
          <w:rFonts w:hint="eastAsia"/>
        </w:rPr>
        <w:t>若选择“分国（地区）不分项”的境外所得抵免方式，第</w:t>
      </w:r>
      <w:r>
        <w:t>14</w:t>
      </w:r>
      <w:r>
        <w:rPr>
          <w:rFonts w:hint="eastAsia"/>
        </w:rPr>
        <w:t>列各行＝表</w:t>
      </w:r>
      <w:r>
        <w:t>A108000</w:t>
      </w:r>
      <w:r>
        <w:rPr>
          <w:rFonts w:hint="eastAsia"/>
        </w:rPr>
        <w:t>第</w:t>
      </w:r>
      <w:r>
        <w:t>2</w:t>
      </w:r>
      <w:r>
        <w:rPr>
          <w:rFonts w:hint="eastAsia"/>
        </w:rPr>
        <w:t>列相应行次；若选择“不分国（地区）不分项”</w:t>
      </w:r>
      <w:r>
        <w:t xml:space="preserve"> </w:t>
      </w:r>
      <w:r>
        <w:rPr>
          <w:rFonts w:hint="eastAsia"/>
        </w:rPr>
        <w:t>的境外所得抵免方式，第</w:t>
      </w:r>
      <w:r>
        <w:t>14</w:t>
      </w:r>
      <w:r>
        <w:rPr>
          <w:rFonts w:hint="eastAsia"/>
        </w:rPr>
        <w:t>列合计＝表</w:t>
      </w:r>
      <w:r>
        <w:t>A108000</w:t>
      </w:r>
      <w:r>
        <w:rPr>
          <w:rFonts w:hint="eastAsia"/>
        </w:rPr>
        <w:t>第</w:t>
      </w:r>
      <w:r>
        <w:t>1</w:t>
      </w:r>
      <w:r>
        <w:rPr>
          <w:rFonts w:hint="eastAsia"/>
        </w:rPr>
        <w:t>行第</w:t>
      </w:r>
      <w:r>
        <w:t>2</w:t>
      </w:r>
      <w:r>
        <w:rPr>
          <w:rFonts w:hint="eastAsia"/>
        </w:rPr>
        <w:t>列。</w:t>
      </w:r>
    </w:p>
    <w:p w14:paraId="3EFCDA29">
      <w:pPr>
        <w:pStyle w:val="9"/>
      </w:pPr>
      <w:r>
        <w:t>3.</w:t>
      </w:r>
      <w:r>
        <w:rPr>
          <w:rFonts w:hint="eastAsia"/>
        </w:rPr>
        <w:t>第</w:t>
      </w:r>
      <w:r>
        <w:t>14</w:t>
      </w:r>
      <w:r>
        <w:rPr>
          <w:rFonts w:hint="eastAsia"/>
        </w:rPr>
        <w:t>列合计</w:t>
      </w:r>
      <w:r>
        <w:t>-</w:t>
      </w:r>
      <w:r>
        <w:rPr>
          <w:rFonts w:hint="eastAsia"/>
        </w:rPr>
        <w:t>第</w:t>
      </w:r>
      <w:r>
        <w:t>11</w:t>
      </w:r>
      <w:r>
        <w:rPr>
          <w:rFonts w:hint="eastAsia"/>
        </w:rPr>
        <w:t>列合计＝表</w:t>
      </w:r>
      <w:r>
        <w:t>A100000</w:t>
      </w:r>
      <w:r>
        <w:rPr>
          <w:rFonts w:hint="eastAsia"/>
        </w:rPr>
        <w:t>第</w:t>
      </w:r>
      <w:r>
        <w:t>14</w:t>
      </w:r>
      <w:r>
        <w:rPr>
          <w:rFonts w:hint="eastAsia"/>
        </w:rPr>
        <w:t>行。</w:t>
      </w:r>
    </w:p>
    <w:p w14:paraId="4A14B3AC">
      <w:pPr>
        <w:pStyle w:val="9"/>
      </w:pPr>
      <w:r>
        <w:t>4.</w:t>
      </w:r>
      <w:r>
        <w:rPr>
          <w:rFonts w:hint="eastAsia"/>
        </w:rPr>
        <w:t>第</w:t>
      </w:r>
      <w:r>
        <w:t>16</w:t>
      </w:r>
      <w:r>
        <w:rPr>
          <w:rFonts w:hint="eastAsia"/>
        </w:rPr>
        <w:t>列合计</w:t>
      </w:r>
      <w:r>
        <w:t>+</w:t>
      </w:r>
      <w:r>
        <w:rPr>
          <w:rFonts w:hint="eastAsia"/>
        </w:rPr>
        <w:t>第</w:t>
      </w:r>
      <w:r>
        <w:t>17</w:t>
      </w:r>
      <w:r>
        <w:rPr>
          <w:rFonts w:hint="eastAsia"/>
        </w:rPr>
        <w:t>列合计＝表</w:t>
      </w:r>
      <w:r>
        <w:t>A105000</w:t>
      </w:r>
      <w:r>
        <w:rPr>
          <w:rFonts w:hint="eastAsia"/>
        </w:rPr>
        <w:t>第</w:t>
      </w:r>
      <w:r>
        <w:t>28</w:t>
      </w:r>
      <w:r>
        <w:rPr>
          <w:rFonts w:hint="eastAsia"/>
        </w:rPr>
        <w:t>行第</w:t>
      </w:r>
      <w:r>
        <w:t>3</w:t>
      </w:r>
      <w:r>
        <w:rPr>
          <w:rFonts w:hint="eastAsia"/>
        </w:rPr>
        <w:t>列。</w:t>
      </w:r>
    </w:p>
    <w:p w14:paraId="1191632B">
      <w:pPr>
        <w:pStyle w:val="9"/>
        <w:rPr>
          <w:rFonts w:hint="eastAsia"/>
        </w:rPr>
      </w:pPr>
      <w:r>
        <w:t>5.</w:t>
      </w:r>
      <w:r>
        <w:rPr>
          <w:rFonts w:hint="eastAsia"/>
        </w:rPr>
        <w:t>若选择“分国（地区）不分项”的境外所得抵免方式，第</w:t>
      </w:r>
      <w:r>
        <w:t>18</w:t>
      </w:r>
      <w:r>
        <w:rPr>
          <w:rFonts w:hint="eastAsia"/>
        </w:rPr>
        <w:t>列相应行次＝表</w:t>
      </w:r>
      <w:r>
        <w:t>A108000</w:t>
      </w:r>
      <w:r>
        <w:rPr>
          <w:rFonts w:hint="eastAsia"/>
        </w:rPr>
        <w:t>第</w:t>
      </w:r>
      <w:r>
        <w:t>3</w:t>
      </w:r>
      <w:r>
        <w:rPr>
          <w:rFonts w:hint="eastAsia"/>
        </w:rPr>
        <w:t>列相应行次；若选择“不分国（地区）不分项”</w:t>
      </w:r>
      <w:r>
        <w:t xml:space="preserve"> </w:t>
      </w:r>
      <w:r>
        <w:rPr>
          <w:rFonts w:hint="eastAsia"/>
        </w:rPr>
        <w:t>的境外所得抵免方式，第</w:t>
      </w:r>
      <w:r>
        <w:t>18</w:t>
      </w:r>
      <w:r>
        <w:rPr>
          <w:rFonts w:hint="eastAsia"/>
        </w:rPr>
        <w:t>列合计＝表</w:t>
      </w:r>
      <w:r>
        <w:t>A108000</w:t>
      </w:r>
      <w:r>
        <w:rPr>
          <w:rFonts w:hint="eastAsia"/>
        </w:rPr>
        <w:t>第</w:t>
      </w:r>
      <w:r>
        <w:t>1</w:t>
      </w:r>
      <w:r>
        <w:rPr>
          <w:rFonts w:hint="eastAsia"/>
        </w:rPr>
        <w:t>行第</w:t>
      </w:r>
      <w:r>
        <w:t>3</w:t>
      </w:r>
      <w:r>
        <w:rPr>
          <w:rFonts w:hint="eastAsia"/>
        </w:rPr>
        <w:t>列。</w:t>
      </w:r>
    </w:p>
    <w:p w14:paraId="75EBA7CB">
      <w:pPr>
        <w:pStyle w:val="9"/>
        <w:rPr>
          <w:rFonts w:hint="eastAsia"/>
        </w:rPr>
      </w:pPr>
    </w:p>
    <w:p w14:paraId="24F2ADBD">
      <w:pPr>
        <w:pStyle w:val="13"/>
        <w:tabs>
          <w:tab w:val="clear" w:pos="4200"/>
        </w:tabs>
        <w:spacing w:before="156" w:after="156"/>
        <w:rPr>
          <w:rFonts w:hint="eastAsia" w:ascii="宋体" w:hAnsi="宋体" w:eastAsia="宋体" w:cs="宋体"/>
          <w:color w:val="auto"/>
          <w:lang w:val="zh-CN"/>
        </w:rPr>
      </w:pPr>
      <w:bookmarkStart w:id="20" w:name="_Toc176972072"/>
      <w:bookmarkStart w:id="21" w:name="_Toc54267980"/>
      <w:bookmarkStart w:id="22" w:name="_Toc529672343"/>
      <w:bookmarkStart w:id="23" w:name="_Toc31746037_WPSOffice_Level1"/>
      <w:bookmarkStart w:id="24" w:name="_Toc27989766"/>
      <w:bookmarkStart w:id="25" w:name="_Toc199338586_WPSOffice_Level1"/>
      <w:bookmarkStart w:id="26" w:name="_Toc2010231562"/>
      <w:r>
        <w:rPr>
          <w:rFonts w:hint="eastAsia" w:ascii="宋体" w:hAnsi="宋体" w:eastAsia="宋体" w:cs="宋体"/>
          <w:color w:val="auto"/>
          <w:lang w:val="zh-CN"/>
        </w:rPr>
        <w:t>A108010</w:t>
      </w:r>
      <w:r>
        <w:rPr>
          <w:rFonts w:hint="eastAsia" w:ascii="宋体" w:hAnsi="宋体" w:eastAsia="宋体" w:cs="宋体"/>
          <w:color w:val="auto"/>
          <w:lang w:val="zh-CN"/>
        </w:rPr>
        <w:tab/>
      </w:r>
      <w:r>
        <w:rPr>
          <w:rFonts w:hint="eastAsia" w:ascii="宋体" w:hAnsi="宋体" w:eastAsia="宋体" w:cs="宋体"/>
          <w:color w:val="auto"/>
          <w:lang w:val="zh-CN"/>
        </w:rPr>
        <w:t>《境外所得纳税调整后所得明细表》填报说明</w:t>
      </w:r>
      <w:bookmarkEnd w:id="20"/>
      <w:bookmarkEnd w:id="21"/>
      <w:bookmarkEnd w:id="22"/>
      <w:bookmarkEnd w:id="23"/>
      <w:bookmarkEnd w:id="24"/>
      <w:bookmarkEnd w:id="25"/>
      <w:bookmarkEnd w:id="26"/>
      <w:r>
        <w:rPr>
          <w:rFonts w:hint="eastAsia" w:ascii="宋体" w:hAnsi="宋体" w:eastAsia="宋体" w:cs="宋体"/>
          <w:color w:val="auto"/>
          <w:lang w:val="zh-CN"/>
        </w:rPr>
        <w:t>（</w:t>
      </w:r>
      <w:r>
        <w:rPr>
          <w:rFonts w:hint="eastAsia" w:ascii="宋体" w:hAnsi="宋体" w:eastAsia="宋体" w:cs="宋体"/>
          <w:color w:val="auto"/>
          <w:lang w:val="en-US" w:eastAsia="zh-CN"/>
        </w:rPr>
        <w:t>2024新</w:t>
      </w:r>
      <w:bookmarkStart w:id="51" w:name="_GoBack"/>
      <w:bookmarkEnd w:id="51"/>
      <w:r>
        <w:rPr>
          <w:rFonts w:hint="eastAsia" w:ascii="宋体" w:hAnsi="宋体" w:eastAsia="宋体" w:cs="宋体"/>
          <w:color w:val="auto"/>
          <w:lang w:val="zh-CN"/>
        </w:rPr>
        <w:t>）</w:t>
      </w:r>
    </w:p>
    <w:p w14:paraId="5325B4DE">
      <w:pPr>
        <w:pStyle w:val="14"/>
        <w:ind w:firstLine="480"/>
        <w:rPr>
          <w:rFonts w:hint="eastAsia" w:ascii="宋体" w:hAnsi="宋体" w:eastAsia="宋体" w:cs="宋体"/>
          <w:color w:val="auto"/>
        </w:rPr>
      </w:pPr>
      <w:r>
        <w:rPr>
          <w:rFonts w:hint="eastAsia" w:ascii="宋体" w:hAnsi="宋体" w:eastAsia="宋体" w:cs="宋体"/>
          <w:color w:val="auto"/>
        </w:rPr>
        <w:t>本表适用于取得境外所得的纳税人填报。纳税人应根据税法、《财政部 国家税务总局关于企业境外所得税收抵免有关问题的通知》（财税〔2009〕125号）、《国家税务总局关于发布〈企业境外所得税收抵免操作指南〉的公告》（2010年第1号）、《财政部 国家税务总局关于我国石油企业从事油（气）资源开采所得税收抵免有关问题的通知》（财税〔2011〕23号）、《财政部 税务总局关于完善企业境外所得税收抵免政策问题的通知》（财税〔2017〕84号）、《财政部 税务总局关于海南自由贸易港企业所得税优惠政策的通知》（财税〔2020〕31号）</w:t>
      </w:r>
      <w:r>
        <w:rPr>
          <w:rFonts w:hint="eastAsia" w:ascii="宋体" w:hAnsi="宋体" w:eastAsia="宋体" w:cs="宋体"/>
          <w:color w:val="auto"/>
          <w:lang w:eastAsia="zh-CN"/>
        </w:rPr>
        <w:t>、《财政部</w:t>
      </w:r>
      <w:r>
        <w:rPr>
          <w:rFonts w:hint="eastAsia" w:ascii="宋体" w:hAnsi="宋体" w:eastAsia="宋体" w:cs="宋体"/>
          <w:color w:val="auto"/>
          <w:lang w:val="en-US" w:eastAsia="zh-CN"/>
        </w:rPr>
        <w:t xml:space="preserve"> 税务总局关于横琴粤澳深度合作区企业所得税优惠政策的通知</w:t>
      </w:r>
      <w:r>
        <w:rPr>
          <w:rFonts w:hint="eastAsia" w:ascii="宋体" w:hAnsi="宋体" w:eastAsia="宋体" w:cs="宋体"/>
          <w:color w:val="auto"/>
          <w:lang w:eastAsia="zh-CN"/>
        </w:rPr>
        <w:t>》（财税〔202</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lang w:val="en-US" w:eastAsia="zh-CN"/>
        </w:rPr>
        <w:t>19</w:t>
      </w:r>
      <w:r>
        <w:rPr>
          <w:rFonts w:hint="eastAsia" w:ascii="宋体" w:hAnsi="宋体" w:eastAsia="宋体" w:cs="宋体"/>
          <w:color w:val="auto"/>
          <w:lang w:eastAsia="zh-CN"/>
        </w:rPr>
        <w:t>号）</w:t>
      </w:r>
      <w:r>
        <w:rPr>
          <w:rFonts w:hint="eastAsia" w:ascii="宋体" w:hAnsi="宋体" w:eastAsia="宋体" w:cs="宋体"/>
          <w:color w:val="auto"/>
        </w:rPr>
        <w:t>等规定，填报本年来源于或发生于不同国家、地区的所得按照税收规定计算的境外所得纳税调整后所得。对于境外所得税收抵免方式选择“不分国（地区）不分项”的纳税人，也应按照规定计算可抵免境外所得税税额，并按国（地区）别逐行填报。</w:t>
      </w:r>
    </w:p>
    <w:p w14:paraId="48B6E612">
      <w:pPr>
        <w:pStyle w:val="7"/>
        <w:ind w:firstLine="480"/>
        <w:jc w:val="both"/>
        <w:outlineLvl w:val="1"/>
        <w:rPr>
          <w:rFonts w:hint="eastAsia"/>
          <w:color w:val="auto"/>
          <w:sz w:val="24"/>
          <w:szCs w:val="24"/>
        </w:rPr>
      </w:pPr>
      <w:bookmarkStart w:id="27" w:name="_Toc1484455596_WPSOffice_Level1"/>
      <w:bookmarkStart w:id="28" w:name="_Toc250958996_WPSOffice_Level1"/>
      <w:bookmarkStart w:id="29" w:name="_Toc54267981"/>
      <w:bookmarkStart w:id="30" w:name="_Toc1969756843"/>
      <w:r>
        <w:rPr>
          <w:rFonts w:hint="eastAsia"/>
          <w:color w:val="auto"/>
          <w:sz w:val="24"/>
          <w:szCs w:val="24"/>
        </w:rPr>
        <w:t>一、有关项目填报说明</w:t>
      </w:r>
      <w:bookmarkEnd w:id="27"/>
      <w:bookmarkEnd w:id="28"/>
      <w:bookmarkEnd w:id="29"/>
      <w:bookmarkEnd w:id="30"/>
    </w:p>
    <w:p w14:paraId="151A3434">
      <w:pPr>
        <w:pStyle w:val="14"/>
        <w:ind w:firstLine="480"/>
        <w:rPr>
          <w:rFonts w:hint="eastAsia" w:ascii="宋体" w:hAnsi="宋体" w:eastAsia="宋体" w:cs="宋体"/>
          <w:color w:val="auto"/>
        </w:rPr>
      </w:pPr>
      <w:r>
        <w:rPr>
          <w:rFonts w:hint="eastAsia" w:ascii="宋体" w:hAnsi="宋体" w:eastAsia="宋体" w:cs="宋体"/>
          <w:color w:val="auto"/>
        </w:rPr>
        <w:t>1.第1列“国家（地区）”：填报纳税人境外所得来源的国家（地区）名称，来源于同一个国家（地区）的境外所得可合并到一行填报。</w:t>
      </w:r>
    </w:p>
    <w:p w14:paraId="49751516">
      <w:pPr>
        <w:pStyle w:val="14"/>
        <w:ind w:firstLine="480"/>
        <w:rPr>
          <w:rFonts w:hint="eastAsia" w:ascii="宋体" w:hAnsi="宋体" w:eastAsia="宋体" w:cs="宋体"/>
          <w:color w:val="auto"/>
        </w:rPr>
      </w:pPr>
      <w:r>
        <w:rPr>
          <w:rFonts w:hint="eastAsia" w:ascii="宋体" w:hAnsi="宋体" w:eastAsia="宋体" w:cs="宋体"/>
          <w:color w:val="auto"/>
        </w:rPr>
        <w:t>2.第2列至第9列“境外税后所得”：填报纳税人取得的来源于境外的税后所得，包含已计入利润总额以及按照税法相关规定已在《纳税调整项目明细表》（A105000）进行纳税调整的境外税后所得。</w:t>
      </w:r>
    </w:p>
    <w:p w14:paraId="6E6DBA28">
      <w:pPr>
        <w:pStyle w:val="14"/>
        <w:ind w:firstLine="480"/>
        <w:rPr>
          <w:rFonts w:hint="eastAsia" w:ascii="宋体" w:hAnsi="宋体" w:eastAsia="宋体" w:cs="宋体"/>
          <w:color w:val="auto"/>
        </w:rPr>
      </w:pPr>
      <w:r>
        <w:rPr>
          <w:rFonts w:hint="eastAsia" w:ascii="宋体" w:hAnsi="宋体" w:eastAsia="宋体" w:cs="宋体"/>
          <w:color w:val="auto"/>
        </w:rPr>
        <w:t>3.第10列“直接缴纳的所得税额”：填报纳税人来源于境外的营业利润所得在境外所缴纳的企业所得税，以及就来源于或发生于境外的股息、红利等权益性投资所得、利息、租金、特许权使用费、财产转让等所得在境外被源泉扣缴的预提所得税。</w:t>
      </w:r>
    </w:p>
    <w:p w14:paraId="61E00052">
      <w:pPr>
        <w:pStyle w:val="14"/>
        <w:ind w:firstLine="480"/>
        <w:rPr>
          <w:rFonts w:hint="eastAsia" w:ascii="宋体" w:hAnsi="宋体" w:eastAsia="宋体" w:cs="宋体"/>
          <w:color w:val="auto"/>
        </w:rPr>
      </w:pPr>
      <w:r>
        <w:rPr>
          <w:rFonts w:hint="eastAsia" w:ascii="宋体" w:hAnsi="宋体" w:eastAsia="宋体" w:cs="宋体"/>
          <w:color w:val="auto"/>
        </w:rPr>
        <w:t>4.第11列“间接负担的所得税额”：填报纳税人从其直接或者间接控制的外国企业分得的来源于中国境外的股息、红利等权益性投资收益，外国企业在境外实际缴纳的所得税额中属于该项所得负担的部分。</w:t>
      </w:r>
    </w:p>
    <w:p w14:paraId="2516F705">
      <w:pPr>
        <w:pStyle w:val="14"/>
        <w:ind w:firstLine="480"/>
        <w:rPr>
          <w:rFonts w:hint="eastAsia" w:ascii="宋体" w:hAnsi="宋体" w:eastAsia="宋体" w:cs="宋体"/>
          <w:color w:val="auto"/>
        </w:rPr>
      </w:pPr>
      <w:r>
        <w:rPr>
          <w:rFonts w:hint="eastAsia" w:ascii="宋体" w:hAnsi="宋体" w:eastAsia="宋体" w:cs="宋体"/>
          <w:color w:val="auto"/>
        </w:rPr>
        <w:t>5.第12列“享受税收饶让抵免税额”：填报纳税人从与我国政府订立税收协定（或安排）的国家（地区）取得的所得，按照该国（地区）税收法律享受了免税或减税待遇，且该免税或减税的数额按照税收协定应视同已缴税额的金额。</w:t>
      </w:r>
    </w:p>
    <w:p w14:paraId="459A3A4C">
      <w:pPr>
        <w:pStyle w:val="14"/>
        <w:ind w:firstLine="480"/>
        <w:rPr>
          <w:rFonts w:hint="eastAsia" w:ascii="宋体" w:hAnsi="宋体" w:eastAsia="宋体" w:cs="宋体"/>
          <w:color w:val="auto"/>
        </w:rPr>
      </w:pPr>
      <w:r>
        <w:rPr>
          <w:rFonts w:hint="eastAsia" w:ascii="宋体" w:hAnsi="宋体" w:eastAsia="宋体" w:cs="宋体"/>
          <w:color w:val="auto"/>
        </w:rPr>
        <w:t>6.第15列“境外分支机构收入与支出纳税调整额”：填报纳税人境外分支机构收入、支出按照税收规定计算的纳税调整额。</w:t>
      </w:r>
    </w:p>
    <w:p w14:paraId="0A5D6F36">
      <w:pPr>
        <w:pStyle w:val="14"/>
        <w:ind w:firstLine="480"/>
        <w:rPr>
          <w:rFonts w:hint="eastAsia" w:ascii="宋体" w:hAnsi="宋体" w:eastAsia="宋体" w:cs="宋体"/>
          <w:color w:val="auto"/>
        </w:rPr>
      </w:pPr>
      <w:r>
        <w:rPr>
          <w:rFonts w:hint="eastAsia" w:ascii="宋体" w:hAnsi="宋体" w:eastAsia="宋体" w:cs="宋体"/>
          <w:color w:val="auto"/>
        </w:rPr>
        <w:t>7.第16列“境外分支机构调整分摊扣除的有关成本费用”：填报纳税人境外分支机构应合理分摊的总部管理费等有关成本费用，同时在《纳税调整项目明细表》（A105000）进行纳税调增。</w:t>
      </w:r>
    </w:p>
    <w:p w14:paraId="0D0FE075">
      <w:pPr>
        <w:pStyle w:val="14"/>
        <w:ind w:firstLine="480"/>
        <w:rPr>
          <w:rFonts w:hint="eastAsia" w:ascii="宋体" w:hAnsi="宋体" w:eastAsia="宋体" w:cs="宋体"/>
          <w:color w:val="auto"/>
        </w:rPr>
      </w:pPr>
      <w:r>
        <w:rPr>
          <w:rFonts w:hint="eastAsia" w:ascii="宋体" w:hAnsi="宋体" w:eastAsia="宋体" w:cs="宋体"/>
          <w:color w:val="auto"/>
        </w:rPr>
        <w:t>8.第17列“境外所得对应调整的相关成本费用支出”：填报纳税人实际发生与取得境外所得有关但未直接计入境外所得应纳税所得的成本费用支出，同时在《纳税调整项目明细表》（A105000）进行纳税调增。</w:t>
      </w:r>
    </w:p>
    <w:p w14:paraId="79B15FA4">
      <w:pPr>
        <w:pStyle w:val="14"/>
        <w:ind w:firstLine="480"/>
        <w:rPr>
          <w:rFonts w:hint="eastAsia" w:ascii="宋体" w:hAnsi="宋体" w:eastAsia="宋体" w:cs="宋体"/>
          <w:color w:val="auto"/>
        </w:rPr>
      </w:pPr>
      <w:r>
        <w:rPr>
          <w:rFonts w:hint="eastAsia" w:ascii="宋体" w:hAnsi="宋体" w:eastAsia="宋体" w:cs="宋体"/>
          <w:color w:val="auto"/>
        </w:rPr>
        <w:t>9.第18列“境外所得纳税调整后所得”：填报第14＋15－16－17列的金额。</w:t>
      </w:r>
    </w:p>
    <w:p w14:paraId="0DC850CB">
      <w:pPr>
        <w:pStyle w:val="14"/>
        <w:ind w:firstLine="480"/>
        <w:rPr>
          <w:rFonts w:hint="eastAsia" w:ascii="宋体" w:hAnsi="宋体" w:eastAsia="宋体" w:cs="宋体"/>
          <w:color w:val="auto"/>
        </w:rPr>
      </w:pPr>
      <w:r>
        <w:rPr>
          <w:rFonts w:hint="eastAsia" w:ascii="宋体" w:hAnsi="宋体" w:eastAsia="宋体" w:cs="宋体"/>
          <w:color w:val="auto"/>
        </w:rPr>
        <w:t>10.第19列至第26列“其中：新增境外直接投资所得”：填报在海南自由贸易港</w:t>
      </w:r>
      <w:r>
        <w:rPr>
          <w:rFonts w:hint="eastAsia" w:ascii="宋体" w:hAnsi="宋体" w:eastAsia="宋体" w:cs="宋体"/>
          <w:color w:val="auto"/>
          <w:lang w:eastAsia="zh-CN"/>
        </w:rPr>
        <w:t>、</w:t>
      </w:r>
      <w:r>
        <w:rPr>
          <w:rFonts w:hint="eastAsia" w:ascii="宋体" w:hAnsi="宋体" w:eastAsia="宋体" w:cs="宋体"/>
          <w:color w:val="auto"/>
        </w:rPr>
        <w:t>横琴粤澳深度合作区等特定地区设立的旅游业、现代服务业、高新技术产业企业新增境外直接投资取得的所得。</w:t>
      </w:r>
    </w:p>
    <w:p w14:paraId="792C7B6E">
      <w:pPr>
        <w:pStyle w:val="14"/>
        <w:ind w:firstLine="480"/>
        <w:rPr>
          <w:rFonts w:hint="eastAsia" w:ascii="宋体" w:hAnsi="宋体" w:eastAsia="宋体" w:cs="宋体"/>
          <w:color w:val="auto"/>
        </w:rPr>
      </w:pPr>
      <w:r>
        <w:rPr>
          <w:rFonts w:hint="eastAsia" w:ascii="宋体" w:hAnsi="宋体" w:eastAsia="宋体" w:cs="宋体"/>
          <w:color w:val="auto"/>
        </w:rPr>
        <w:t>11.第19列“营业利润”：填报纳税人已计入本年利润总额的新设立境外分支机构营业利润。</w:t>
      </w:r>
    </w:p>
    <w:p w14:paraId="40292FB2">
      <w:pPr>
        <w:pStyle w:val="14"/>
        <w:ind w:firstLine="480"/>
        <w:rPr>
          <w:rFonts w:hint="eastAsia" w:ascii="宋体" w:hAnsi="宋体" w:eastAsia="宋体" w:cs="宋体"/>
          <w:color w:val="auto"/>
        </w:rPr>
      </w:pPr>
      <w:r>
        <w:rPr>
          <w:rFonts w:hint="eastAsia" w:ascii="宋体" w:hAnsi="宋体" w:eastAsia="宋体" w:cs="宋体"/>
          <w:color w:val="auto"/>
        </w:rPr>
        <w:t>12.第20列“调整分摊扣除的有关成本费用”：填报纳税人境外新设立分支机构本年应合理分摊的总部管理费等有关成本费用。</w:t>
      </w:r>
    </w:p>
    <w:p w14:paraId="30688FD4">
      <w:pPr>
        <w:pStyle w:val="14"/>
        <w:ind w:firstLine="480"/>
        <w:rPr>
          <w:rFonts w:hint="eastAsia" w:ascii="宋体" w:hAnsi="宋体" w:eastAsia="宋体" w:cs="宋体"/>
          <w:color w:val="auto"/>
        </w:rPr>
      </w:pPr>
      <w:r>
        <w:rPr>
          <w:rFonts w:hint="eastAsia" w:ascii="宋体" w:hAnsi="宋体" w:eastAsia="宋体" w:cs="宋体"/>
          <w:color w:val="auto"/>
        </w:rPr>
        <w:t>13.第21列“纳税调整额”：填报纳税人境外新设立分支机构收入、扣除等按照税收规定计算的纳税调整额。</w:t>
      </w:r>
    </w:p>
    <w:p w14:paraId="0A17284F">
      <w:pPr>
        <w:pStyle w:val="14"/>
        <w:ind w:firstLine="480"/>
        <w:rPr>
          <w:rFonts w:hint="eastAsia" w:ascii="宋体" w:hAnsi="宋体" w:eastAsia="宋体" w:cs="宋体"/>
          <w:color w:val="auto"/>
        </w:rPr>
      </w:pPr>
      <w:r>
        <w:rPr>
          <w:rFonts w:hint="eastAsia" w:ascii="宋体" w:hAnsi="宋体" w:eastAsia="宋体" w:cs="宋体"/>
          <w:color w:val="auto"/>
        </w:rPr>
        <w:t>14.第22列“纳税调整后所得”：填报第19－20＋21列的金额，若为负数则填0。</w:t>
      </w:r>
    </w:p>
    <w:p w14:paraId="2F1AB02C">
      <w:pPr>
        <w:pStyle w:val="14"/>
        <w:ind w:firstLine="480"/>
        <w:rPr>
          <w:rFonts w:hint="eastAsia" w:ascii="宋体" w:hAnsi="宋体" w:eastAsia="宋体" w:cs="宋体"/>
          <w:color w:val="auto"/>
        </w:rPr>
      </w:pPr>
      <w:r>
        <w:rPr>
          <w:rFonts w:hint="eastAsia" w:ascii="宋体" w:hAnsi="宋体" w:eastAsia="宋体" w:cs="宋体"/>
          <w:color w:val="auto"/>
        </w:rPr>
        <w:t>15.第23列“境外所得税额”：填报纳税人新设立的境外分支机构本年营业利润按照中国境外税收法律以及相关规定应当缴纳并已实际缴纳的企业所得税性质的税款，包括从与我国政府订立税收协定（或安排）的国家（地区）取得的新设立的境外分支机构的营业利润按照该国（地区）税收法律享受了免税或减税待遇的税额，且该免税或减税的数额按照税收协定应视同已缴税额的金额。</w:t>
      </w:r>
    </w:p>
    <w:p w14:paraId="08ACD902">
      <w:pPr>
        <w:pStyle w:val="14"/>
        <w:ind w:firstLine="480"/>
        <w:rPr>
          <w:rFonts w:hint="eastAsia" w:ascii="宋体" w:hAnsi="宋体" w:eastAsia="宋体" w:cs="宋体"/>
          <w:color w:val="auto"/>
        </w:rPr>
      </w:pPr>
      <w:r>
        <w:rPr>
          <w:rFonts w:hint="eastAsia" w:ascii="宋体" w:hAnsi="宋体" w:eastAsia="宋体" w:cs="宋体"/>
          <w:color w:val="auto"/>
        </w:rPr>
        <w:t>16.第24列“对应的股息所得”：填报纳税人本年从其持股比例超过20%（含）的境外子公司分回的来源于中国境外的股息、红利等权益性投资收益中，属于新增直接投资所对应的股息、红利等权益性投资收益，包括按照税法规定进行纳税调整的股息、红利等权益性投资收益。</w:t>
      </w:r>
    </w:p>
    <w:p w14:paraId="7BE6FC68">
      <w:pPr>
        <w:pStyle w:val="14"/>
        <w:ind w:firstLine="480"/>
        <w:rPr>
          <w:rFonts w:hint="eastAsia" w:ascii="宋体" w:hAnsi="宋体" w:eastAsia="宋体" w:cs="宋体"/>
          <w:color w:val="auto"/>
        </w:rPr>
      </w:pPr>
      <w:r>
        <w:rPr>
          <w:rFonts w:hint="eastAsia" w:ascii="宋体" w:hAnsi="宋体" w:eastAsia="宋体" w:cs="宋体"/>
          <w:color w:val="auto"/>
        </w:rPr>
        <w:t>17.第25列“对应的股息境外所得税额”：填报纳税人本年从其持股比例超过20%（含）的境外子公司分回的来源于中国境外的股息、红利等权益性投资收益中，属于新增直接投资所对应的股息、红利等权益性投资收益已缴境外所得税，包含如下：</w:t>
      </w:r>
    </w:p>
    <w:p w14:paraId="4562928C">
      <w:pPr>
        <w:pStyle w:val="14"/>
        <w:ind w:firstLine="480"/>
        <w:rPr>
          <w:rFonts w:hint="eastAsia" w:ascii="宋体" w:hAnsi="宋体" w:eastAsia="宋体" w:cs="宋体"/>
          <w:color w:val="auto"/>
        </w:rPr>
      </w:pPr>
      <w:r>
        <w:rPr>
          <w:rFonts w:hint="eastAsia" w:ascii="宋体" w:hAnsi="宋体" w:eastAsia="宋体" w:cs="宋体"/>
          <w:color w:val="auto"/>
        </w:rPr>
        <w:t>一是在境外被源泉扣缴的预提所得税；</w:t>
      </w:r>
    </w:p>
    <w:p w14:paraId="0316F00E">
      <w:pPr>
        <w:pStyle w:val="14"/>
        <w:ind w:firstLine="480"/>
        <w:rPr>
          <w:rFonts w:hint="eastAsia" w:ascii="宋体" w:hAnsi="宋体" w:eastAsia="宋体" w:cs="宋体"/>
          <w:color w:val="auto"/>
        </w:rPr>
      </w:pPr>
      <w:r>
        <w:rPr>
          <w:rFonts w:hint="eastAsia" w:ascii="宋体" w:hAnsi="宋体" w:eastAsia="宋体" w:cs="宋体"/>
          <w:color w:val="auto"/>
        </w:rPr>
        <w:t>二是间接负担的境外所得税；</w:t>
      </w:r>
    </w:p>
    <w:p w14:paraId="034DA72C">
      <w:pPr>
        <w:pStyle w:val="14"/>
        <w:ind w:firstLine="480"/>
        <w:rPr>
          <w:rFonts w:hint="eastAsia" w:ascii="宋体" w:hAnsi="宋体" w:eastAsia="宋体" w:cs="宋体"/>
          <w:color w:val="auto"/>
        </w:rPr>
      </w:pPr>
      <w:r>
        <w:rPr>
          <w:rFonts w:hint="eastAsia" w:ascii="宋体" w:hAnsi="宋体" w:eastAsia="宋体" w:cs="宋体"/>
          <w:color w:val="auto"/>
        </w:rPr>
        <w:t>三是享受了与我国政府订立税收协定（或安排）的国家（地区）给予的免税或减税待遇，且该免税或减税的数额按照税收协定应视同已缴税额的金额。</w:t>
      </w:r>
    </w:p>
    <w:p w14:paraId="7596E7BC">
      <w:pPr>
        <w:pStyle w:val="14"/>
        <w:ind w:firstLine="480"/>
        <w:rPr>
          <w:rFonts w:hint="eastAsia" w:ascii="宋体" w:hAnsi="宋体" w:eastAsia="宋体" w:cs="宋体"/>
          <w:color w:val="auto"/>
        </w:rPr>
      </w:pPr>
      <w:r>
        <w:rPr>
          <w:rFonts w:hint="eastAsia" w:ascii="宋体" w:hAnsi="宋体" w:eastAsia="宋体" w:cs="宋体"/>
          <w:color w:val="auto"/>
        </w:rPr>
        <w:t>18.第26列“境外享受免税政策的所得小计”：填报纳税人按照</w:t>
      </w:r>
      <w:r>
        <w:rPr>
          <w:rFonts w:hint="eastAsia" w:ascii="宋体" w:hAnsi="宋体" w:eastAsia="宋体" w:cs="宋体"/>
          <w:color w:val="auto"/>
          <w:lang w:eastAsia="zh-CN"/>
        </w:rPr>
        <w:t>政策</w:t>
      </w:r>
      <w:r>
        <w:rPr>
          <w:rFonts w:hint="eastAsia" w:ascii="宋体" w:hAnsi="宋体" w:eastAsia="宋体" w:cs="宋体"/>
          <w:color w:val="auto"/>
        </w:rPr>
        <w:t>规定享受免税的境外所得金额，金额等于第22＋24列。</w:t>
      </w:r>
    </w:p>
    <w:p w14:paraId="61F3AD1A">
      <w:pPr>
        <w:pStyle w:val="7"/>
        <w:ind w:firstLine="480"/>
        <w:jc w:val="both"/>
        <w:outlineLvl w:val="1"/>
        <w:rPr>
          <w:rFonts w:hint="eastAsia"/>
          <w:color w:val="auto"/>
          <w:sz w:val="24"/>
          <w:szCs w:val="24"/>
        </w:rPr>
      </w:pPr>
      <w:bookmarkStart w:id="31" w:name="_Toc1633711810_WPSOffice_Level1"/>
      <w:bookmarkStart w:id="32" w:name="_Toc922538384"/>
      <w:bookmarkStart w:id="33" w:name="_Toc54267982"/>
      <w:bookmarkStart w:id="34" w:name="_Toc808659191_WPSOffice_Level1"/>
      <w:r>
        <w:rPr>
          <w:rFonts w:hint="eastAsia"/>
          <w:color w:val="auto"/>
          <w:sz w:val="24"/>
          <w:szCs w:val="24"/>
        </w:rPr>
        <w:t>二、表内、表间关系</w:t>
      </w:r>
      <w:bookmarkEnd w:id="31"/>
      <w:bookmarkEnd w:id="32"/>
      <w:bookmarkEnd w:id="33"/>
      <w:bookmarkEnd w:id="34"/>
    </w:p>
    <w:p w14:paraId="102C027B">
      <w:pPr>
        <w:pStyle w:val="15"/>
        <w:ind w:firstLine="480"/>
        <w:rPr>
          <w:rFonts w:hint="eastAsia"/>
          <w:color w:val="auto"/>
        </w:rPr>
      </w:pPr>
      <w:bookmarkStart w:id="35" w:name="_Toc54267983"/>
      <w:bookmarkStart w:id="36" w:name="_Toc1138330731_WPSOffice_Level2"/>
      <w:bookmarkStart w:id="37" w:name="_Toc1127608957_WPSOffice_Level2"/>
      <w:r>
        <w:rPr>
          <w:rFonts w:hint="eastAsia"/>
          <w:color w:val="auto"/>
        </w:rPr>
        <w:t>（一）表内关系</w:t>
      </w:r>
      <w:bookmarkEnd w:id="35"/>
      <w:bookmarkEnd w:id="36"/>
      <w:bookmarkEnd w:id="37"/>
    </w:p>
    <w:p w14:paraId="1F116318">
      <w:pPr>
        <w:pStyle w:val="14"/>
        <w:ind w:firstLine="480"/>
        <w:rPr>
          <w:rFonts w:hint="eastAsia" w:ascii="宋体" w:hAnsi="宋体" w:eastAsia="宋体" w:cs="宋体"/>
          <w:color w:val="auto"/>
        </w:rPr>
      </w:pPr>
      <w:bookmarkStart w:id="38" w:name="_Toc773340212_WPSOffice_Level3"/>
      <w:r>
        <w:rPr>
          <w:rFonts w:hint="eastAsia" w:ascii="宋体" w:hAnsi="宋体" w:eastAsia="宋体" w:cs="宋体"/>
          <w:color w:val="auto"/>
        </w:rPr>
        <w:t>1.第9列＝第2＋3＋…＋8列。</w:t>
      </w:r>
      <w:bookmarkEnd w:id="38"/>
    </w:p>
    <w:p w14:paraId="726F97EC">
      <w:pPr>
        <w:pStyle w:val="14"/>
        <w:ind w:firstLine="480"/>
        <w:rPr>
          <w:rFonts w:hint="eastAsia" w:ascii="宋体" w:hAnsi="宋体" w:eastAsia="宋体" w:cs="宋体"/>
          <w:color w:val="auto"/>
        </w:rPr>
      </w:pPr>
      <w:bookmarkStart w:id="39" w:name="_Toc1855843208_WPSOffice_Level3"/>
      <w:r>
        <w:rPr>
          <w:rFonts w:hint="eastAsia" w:ascii="宋体" w:hAnsi="宋体" w:eastAsia="宋体" w:cs="宋体"/>
          <w:color w:val="auto"/>
        </w:rPr>
        <w:t>2.第13列＝第10＋11＋12列。</w:t>
      </w:r>
      <w:bookmarkEnd w:id="39"/>
    </w:p>
    <w:p w14:paraId="48F9225F">
      <w:pPr>
        <w:pStyle w:val="14"/>
        <w:ind w:firstLine="480"/>
        <w:rPr>
          <w:rFonts w:hint="eastAsia" w:ascii="宋体" w:hAnsi="宋体" w:eastAsia="宋体" w:cs="宋体"/>
          <w:color w:val="auto"/>
        </w:rPr>
      </w:pPr>
      <w:bookmarkStart w:id="40" w:name="_Toc1361112916_WPSOffice_Level3"/>
      <w:r>
        <w:rPr>
          <w:rFonts w:hint="eastAsia" w:ascii="宋体" w:hAnsi="宋体" w:eastAsia="宋体" w:cs="宋体"/>
          <w:color w:val="auto"/>
        </w:rPr>
        <w:t>3.第14列＝第9＋10＋11列。</w:t>
      </w:r>
      <w:bookmarkEnd w:id="40"/>
    </w:p>
    <w:p w14:paraId="67E134A4">
      <w:pPr>
        <w:pStyle w:val="14"/>
        <w:ind w:firstLine="480"/>
        <w:rPr>
          <w:rFonts w:hint="eastAsia" w:ascii="宋体" w:hAnsi="宋体" w:eastAsia="宋体" w:cs="宋体"/>
          <w:color w:val="auto"/>
        </w:rPr>
      </w:pPr>
      <w:bookmarkStart w:id="41" w:name="_Toc1460002745_WPSOffice_Level3"/>
      <w:r>
        <w:rPr>
          <w:rFonts w:hint="eastAsia" w:ascii="宋体" w:hAnsi="宋体" w:eastAsia="宋体" w:cs="宋体"/>
          <w:color w:val="auto"/>
        </w:rPr>
        <w:t>4.第18列＝第14＋15－16－17列。</w:t>
      </w:r>
      <w:bookmarkEnd w:id="41"/>
    </w:p>
    <w:p w14:paraId="253EAA3F">
      <w:pPr>
        <w:pStyle w:val="14"/>
        <w:ind w:firstLine="480"/>
        <w:rPr>
          <w:rFonts w:hint="eastAsia" w:ascii="宋体" w:hAnsi="宋体" w:eastAsia="宋体" w:cs="宋体"/>
          <w:color w:val="auto"/>
          <w:lang w:val="en"/>
        </w:rPr>
      </w:pPr>
      <w:bookmarkStart w:id="42" w:name="_Toc329588109_WPSOffice_Level3"/>
      <w:r>
        <w:rPr>
          <w:rFonts w:hint="eastAsia" w:ascii="宋体" w:hAnsi="宋体" w:eastAsia="宋体" w:cs="宋体"/>
          <w:color w:val="auto"/>
        </w:rPr>
        <w:t>5.第22列＝第19－20＋21列。</w:t>
      </w:r>
      <w:bookmarkEnd w:id="42"/>
      <w:r>
        <w:rPr>
          <w:rFonts w:hint="eastAsia" w:ascii="宋体" w:hAnsi="宋体" w:eastAsia="宋体" w:cs="宋体"/>
          <w:color w:val="auto"/>
        </w:rPr>
        <w:t>当第19－20＋21列＜0时，第22列＝0。</w:t>
      </w:r>
    </w:p>
    <w:p w14:paraId="41DAAFA7">
      <w:pPr>
        <w:pStyle w:val="14"/>
        <w:ind w:firstLine="480"/>
        <w:rPr>
          <w:rFonts w:hint="eastAsia" w:ascii="宋体" w:hAnsi="宋体" w:eastAsia="宋体" w:cs="宋体"/>
          <w:color w:val="auto"/>
        </w:rPr>
      </w:pPr>
      <w:bookmarkStart w:id="43" w:name="_Toc869000868_WPSOffice_Level3"/>
      <w:r>
        <w:rPr>
          <w:rFonts w:hint="eastAsia" w:ascii="宋体" w:hAnsi="宋体" w:eastAsia="宋体" w:cs="宋体"/>
          <w:color w:val="auto"/>
        </w:rPr>
        <w:t>6.第26列＝第22＋24列。</w:t>
      </w:r>
      <w:bookmarkEnd w:id="43"/>
    </w:p>
    <w:p w14:paraId="6E80A335">
      <w:pPr>
        <w:pStyle w:val="15"/>
        <w:ind w:firstLine="480"/>
        <w:rPr>
          <w:rFonts w:hint="eastAsia"/>
          <w:color w:val="auto"/>
        </w:rPr>
      </w:pPr>
      <w:bookmarkStart w:id="44" w:name="_Toc54267984"/>
      <w:bookmarkStart w:id="45" w:name="_Toc991789515_WPSOffice_Level2"/>
      <w:bookmarkStart w:id="46" w:name="_Toc738767668_WPSOffice_Level2"/>
      <w:r>
        <w:rPr>
          <w:rFonts w:hint="eastAsia"/>
          <w:color w:val="auto"/>
        </w:rPr>
        <w:t>（二）表间关系</w:t>
      </w:r>
      <w:bookmarkEnd w:id="44"/>
      <w:bookmarkEnd w:id="45"/>
      <w:bookmarkEnd w:id="46"/>
    </w:p>
    <w:p w14:paraId="02DEB43B">
      <w:pPr>
        <w:pStyle w:val="14"/>
        <w:ind w:firstLine="480"/>
        <w:rPr>
          <w:rFonts w:hint="eastAsia" w:ascii="宋体" w:hAnsi="宋体" w:eastAsia="宋体" w:cs="宋体"/>
          <w:color w:val="auto"/>
        </w:rPr>
      </w:pPr>
      <w:bookmarkStart w:id="47" w:name="_Hlk49938596"/>
      <w:r>
        <w:rPr>
          <w:rFonts w:hint="eastAsia" w:ascii="宋体" w:hAnsi="宋体" w:eastAsia="宋体" w:cs="宋体"/>
          <w:color w:val="auto"/>
        </w:rPr>
        <w:t>1.若选择“分国（地区）不分项”的境外所得抵免方式，本表</w:t>
      </w:r>
      <w:bookmarkStart w:id="48" w:name="_Hlk49938082"/>
      <w:r>
        <w:rPr>
          <w:rFonts w:hint="eastAsia" w:ascii="宋体" w:hAnsi="宋体" w:eastAsia="宋体" w:cs="宋体"/>
          <w:color w:val="auto"/>
        </w:rPr>
        <w:t>第13列各行－第23列各行－第25列各行</w:t>
      </w:r>
      <w:bookmarkEnd w:id="48"/>
      <w:r>
        <w:rPr>
          <w:rFonts w:hint="eastAsia" w:ascii="宋体" w:hAnsi="宋体" w:eastAsia="宋体" w:cs="宋体"/>
          <w:color w:val="auto"/>
        </w:rPr>
        <w:t>＝表A108000第10列相应行次；若选择“不分国（地区）不分项”的境外所得抵免方式，本表第13列合计－第23列合计－第25列合计＝表A108000第1行第10列。</w:t>
      </w:r>
    </w:p>
    <w:bookmarkEnd w:id="47"/>
    <w:p w14:paraId="2DB3BDD5">
      <w:pPr>
        <w:pStyle w:val="14"/>
        <w:ind w:firstLine="480"/>
        <w:rPr>
          <w:rFonts w:hint="eastAsia" w:ascii="宋体" w:hAnsi="宋体" w:eastAsia="宋体" w:cs="宋体"/>
          <w:color w:val="auto"/>
        </w:rPr>
      </w:pPr>
      <w:r>
        <w:rPr>
          <w:rFonts w:hint="eastAsia" w:ascii="宋体" w:hAnsi="宋体" w:eastAsia="宋体" w:cs="宋体"/>
          <w:color w:val="auto"/>
        </w:rPr>
        <w:t>2.</w:t>
      </w:r>
      <w:bookmarkStart w:id="49" w:name="_Hlk49938301"/>
      <w:r>
        <w:rPr>
          <w:rFonts w:hint="eastAsia" w:ascii="宋体" w:hAnsi="宋体" w:eastAsia="宋体" w:cs="宋体"/>
          <w:color w:val="auto"/>
        </w:rPr>
        <w:t>若选择“分国（地区）不分项”的境外所得抵免方式，本表第14列各行－第19列各行－第24列各行＝表A108000第2列相应行次；若选择“不分国（地区）不分项”的境外所得抵免方式，本表第14列合计－第19列合计－第24列合计＝表A108000第1行第2列。</w:t>
      </w:r>
    </w:p>
    <w:bookmarkEnd w:id="49"/>
    <w:p w14:paraId="658DBC76">
      <w:pPr>
        <w:pStyle w:val="14"/>
        <w:ind w:firstLine="480"/>
        <w:rPr>
          <w:rFonts w:hint="eastAsia" w:ascii="宋体" w:hAnsi="宋体" w:eastAsia="宋体" w:cs="宋体"/>
          <w:color w:val="auto"/>
        </w:rPr>
      </w:pPr>
      <w:r>
        <w:rPr>
          <w:rFonts w:hint="eastAsia" w:ascii="宋体" w:hAnsi="宋体" w:eastAsia="宋体" w:cs="宋体"/>
          <w:color w:val="auto"/>
        </w:rPr>
        <w:t>3.第14列合计－第11列合计＝表A100000第19行。</w:t>
      </w:r>
    </w:p>
    <w:p w14:paraId="42250094">
      <w:pPr>
        <w:pStyle w:val="14"/>
        <w:ind w:firstLine="480"/>
        <w:rPr>
          <w:rFonts w:hint="eastAsia" w:ascii="宋体" w:hAnsi="宋体" w:eastAsia="宋体" w:cs="宋体"/>
          <w:color w:val="auto"/>
        </w:rPr>
      </w:pPr>
      <w:r>
        <w:rPr>
          <w:rFonts w:hint="eastAsia" w:ascii="宋体" w:hAnsi="宋体" w:eastAsia="宋体" w:cs="宋体"/>
          <w:color w:val="auto"/>
        </w:rPr>
        <w:t>4.第16列合计＋第17列合计＝表A105000第28行第3列。</w:t>
      </w:r>
    </w:p>
    <w:p w14:paraId="30A48507">
      <w:pPr>
        <w:pStyle w:val="14"/>
        <w:ind w:firstLine="480"/>
        <w:rPr>
          <w:rFonts w:hint="eastAsia" w:ascii="宋体" w:hAnsi="宋体" w:eastAsia="宋体" w:cs="宋体"/>
          <w:color w:val="auto"/>
        </w:rPr>
      </w:pPr>
      <w:r>
        <w:rPr>
          <w:rFonts w:hint="eastAsia" w:ascii="宋体" w:hAnsi="宋体" w:eastAsia="宋体" w:cs="宋体"/>
          <w:color w:val="auto"/>
        </w:rPr>
        <w:t>5.若选择“分国（地区）不分项”的境外所得抵免方式，本表第18列各行</w:t>
      </w:r>
      <w:bookmarkStart w:id="50" w:name="_Hlk49937995"/>
      <w:r>
        <w:rPr>
          <w:rFonts w:hint="eastAsia" w:ascii="宋体" w:hAnsi="宋体" w:eastAsia="宋体" w:cs="宋体"/>
          <w:color w:val="auto"/>
        </w:rPr>
        <w:t>－第26列</w:t>
      </w:r>
      <w:bookmarkEnd w:id="50"/>
      <w:r>
        <w:rPr>
          <w:rFonts w:hint="eastAsia" w:ascii="宋体" w:hAnsi="宋体" w:eastAsia="宋体" w:cs="宋体"/>
          <w:color w:val="auto"/>
        </w:rPr>
        <w:t>各行＝表A108000第3列相应行次；若选择“不分国（地区）不分项” 的境外所得抵免方式，本表第18列合计－第26列合计＝表A108000第1行第3列。</w:t>
      </w:r>
    </w:p>
    <w:p w14:paraId="315C3FD8">
      <w:pPr>
        <w:pStyle w:val="9"/>
        <w:rPr>
          <w:rFonts w:hint="eastAsia"/>
        </w:rPr>
      </w:pPr>
    </w:p>
    <w:p w14:paraId="1EB3B95F"/>
    <w:sectPr>
      <w:pgSz w:w="11906" w:h="16838"/>
      <w:pgMar w:top="1928" w:right="1418" w:bottom="1985"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5032B1D"/>
    <w:rsid w:val="143534B6"/>
    <w:rsid w:val="35032B1D"/>
    <w:rsid w:val="391D3EBE"/>
    <w:rsid w:val="4CFC467E"/>
    <w:rsid w:val="6FC7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2"/>
    <w:basedOn w:val="8"/>
    <w:qFormat/>
    <w:uiPriority w:val="0"/>
    <w:pPr>
      <w:tabs>
        <w:tab w:val="center" w:pos="4678"/>
        <w:tab w:val="center" w:pos="6521"/>
      </w:tabs>
    </w:p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next w:val="1"/>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3">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 w:type="paragraph" w:customStyle="1" w:styleId="14">
    <w:name w:val="填报说明正文"/>
    <w:basedOn w:val="1"/>
    <w:qFormat/>
    <w:uiPriority w:val="0"/>
    <w:pPr>
      <w:spacing w:line="480" w:lineRule="exact"/>
      <w:ind w:firstLine="640" w:firstLineChars="200"/>
    </w:pPr>
    <w:rPr>
      <w:rFonts w:eastAsia="CESI宋体-GB2312"/>
      <w:sz w:val="24"/>
    </w:rPr>
  </w:style>
  <w:style w:type="paragraph" w:customStyle="1" w:styleId="15">
    <w:name w:val="SBBT3"/>
    <w:basedOn w:val="1"/>
    <w:next w:val="1"/>
    <w:qFormat/>
    <w:uiPriority w:val="0"/>
    <w:pPr>
      <w:spacing w:line="360" w:lineRule="auto"/>
      <w:ind w:firstLine="200" w:firstLineChars="200"/>
      <w:outlineLvl w:val="2"/>
    </w:pPr>
    <w:rPr>
      <w:rFonts w:ascii="黑体" w:hAnsi="黑体" w:eastAsia="楷体_GB2312"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559</Words>
  <Characters>632</Characters>
  <Lines>0</Lines>
  <Paragraphs>0</Paragraphs>
  <TotalTime>0</TotalTime>
  <ScaleCrop>false</ScaleCrop>
  <LinksUpToDate>false</LinksUpToDate>
  <CharactersWithSpaces>662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2024-08-10T15:46:00Z</dcterms:created>
  <dc:creator>www.shuiwu114.com</dc:creator>
  <cp:lastModifiedBy>www.shuiwu114.com</cp:lastModifiedBy>
  <dcterms:modified xsi:type="dcterms:W3CDTF">2025-01-21T15:25:50Z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8AB355BC1BD84854B282DC44EA35B43E_11</vt:lpwstr>
  </property>
  <property fmtid="{D5CDD505-2E9C-101B-9397-08002B2CF9AE}" pid="4" name="KSOTemplateDocerSaveRecord">
    <vt:lpwstr>eyJoZGlkIjoiMDY0MGNkMTU3OWQzNDA3NjVmODJmMjIxMTIxOTBhNjUiLCJ1c2VySWQiOiIxMDczMTkyOTA3In0=</vt:lpwstr>
  </property>
</Properties>
</file>