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8A7F">
      <w:pPr>
        <w:spacing w:before="62" w:line="225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附表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sz w:val="31"/>
          <w:szCs w:val="31"/>
        </w:rPr>
        <w:t>1-2</w:t>
      </w:r>
    </w:p>
    <w:p w14:paraId="178F7B6A">
      <w:pPr>
        <w:spacing w:line="305" w:lineRule="auto"/>
        <w:rPr>
          <w:rFonts w:ascii="Arial"/>
          <w:sz w:val="21"/>
        </w:rPr>
      </w:pPr>
    </w:p>
    <w:p w14:paraId="184213E8">
      <w:pPr>
        <w:spacing w:line="305" w:lineRule="auto"/>
        <w:rPr>
          <w:rFonts w:ascii="Arial"/>
          <w:sz w:val="21"/>
        </w:rPr>
      </w:pPr>
    </w:p>
    <w:p w14:paraId="5272397E">
      <w:pPr>
        <w:pStyle w:val="2"/>
        <w:spacing w:before="113" w:line="494" w:lineRule="exact"/>
        <w:ind w:left="2719"/>
        <w:outlineLvl w:val="0"/>
        <w:rPr>
          <w:b/>
          <w:bCs/>
          <w:spacing w:val="5"/>
          <w:position w:val="2"/>
          <w:sz w:val="35"/>
          <w:szCs w:val="35"/>
        </w:rPr>
      </w:pPr>
      <w:r>
        <w:rPr>
          <w:b/>
          <w:bCs/>
          <w:spacing w:val="5"/>
          <w:position w:val="2"/>
          <w:sz w:val="35"/>
          <w:szCs w:val="35"/>
        </w:rPr>
        <w:t>本期准予扣除税额计算表</w:t>
      </w:r>
    </w:p>
    <w:p w14:paraId="601B4ECF">
      <w:pPr>
        <w:pStyle w:val="2"/>
        <w:spacing w:before="113" w:line="494" w:lineRule="exact"/>
        <w:ind w:left="2719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（成品油消费税纳税人适用）</w:t>
      </w:r>
    </w:p>
    <w:p w14:paraId="42A68C92">
      <w:pPr>
        <w:spacing w:line="250" w:lineRule="auto"/>
        <w:rPr>
          <w:rFonts w:ascii="Arial"/>
          <w:sz w:val="21"/>
        </w:rPr>
      </w:pPr>
    </w:p>
    <w:p w14:paraId="19BE00B3">
      <w:pPr>
        <w:spacing w:line="250" w:lineRule="auto"/>
        <w:rPr>
          <w:rFonts w:ascii="Arial"/>
          <w:sz w:val="21"/>
        </w:rPr>
      </w:pPr>
    </w:p>
    <w:p w14:paraId="4FC13692">
      <w:pPr>
        <w:spacing w:line="251" w:lineRule="auto"/>
        <w:rPr>
          <w:rFonts w:ascii="Arial"/>
          <w:sz w:val="21"/>
        </w:rPr>
      </w:pPr>
    </w:p>
    <w:p w14:paraId="576E9FBE">
      <w:pPr>
        <w:pStyle w:val="2"/>
        <w:spacing w:before="65" w:line="228" w:lineRule="auto"/>
        <w:ind w:left="6483"/>
      </w:pPr>
      <w:r>
        <w:rPr>
          <w:spacing w:val="8"/>
        </w:rPr>
        <w:t>金额单位：元（列至角分）</w:t>
      </w:r>
    </w:p>
    <w:p w14:paraId="246A3482">
      <w:pPr>
        <w:spacing w:before="58" w:line="214" w:lineRule="auto"/>
        <w:ind w:left="222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一、扣除税额及库存计算</w:t>
      </w:r>
    </w:p>
    <w:tbl>
      <w:tblPr>
        <w:tblStyle w:val="5"/>
        <w:tblW w:w="9229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158"/>
        <w:gridCol w:w="1158"/>
        <w:gridCol w:w="1159"/>
        <w:gridCol w:w="1159"/>
        <w:gridCol w:w="1158"/>
        <w:gridCol w:w="1299"/>
        <w:gridCol w:w="1028"/>
      </w:tblGrid>
      <w:tr w14:paraId="0ADBE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10" w:type="dxa"/>
            <w:vAlign w:val="top"/>
          </w:tcPr>
          <w:p w14:paraId="1B06720D">
            <w:pPr>
              <w:spacing w:line="311" w:lineRule="auto"/>
              <w:rPr>
                <w:rFonts w:ascii="Arial"/>
                <w:sz w:val="21"/>
              </w:rPr>
            </w:pPr>
          </w:p>
          <w:p w14:paraId="14C9A2D6">
            <w:pPr>
              <w:pStyle w:val="6"/>
              <w:spacing w:before="65" w:line="280" w:lineRule="auto"/>
              <w:ind w:left="351" w:right="134" w:hanging="207"/>
            </w:pPr>
            <w:r>
              <w:rPr>
                <w:spacing w:val="6"/>
              </w:rPr>
              <w:t>扣除油品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类别</w:t>
            </w:r>
          </w:p>
        </w:tc>
        <w:tc>
          <w:tcPr>
            <w:tcW w:w="1158" w:type="dxa"/>
            <w:vAlign w:val="top"/>
          </w:tcPr>
          <w:p w14:paraId="0A81CAF5">
            <w:pPr>
              <w:spacing w:line="311" w:lineRule="auto"/>
              <w:rPr>
                <w:rFonts w:ascii="Arial"/>
                <w:sz w:val="21"/>
              </w:rPr>
            </w:pPr>
          </w:p>
          <w:p w14:paraId="4DB2AE66">
            <w:pPr>
              <w:pStyle w:val="6"/>
              <w:spacing w:before="65" w:line="280" w:lineRule="auto"/>
              <w:ind w:left="373" w:right="159" w:hanging="208"/>
            </w:pPr>
            <w:r>
              <w:rPr>
                <w:spacing w:val="6"/>
              </w:rPr>
              <w:t>上期库存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数量</w:t>
            </w:r>
          </w:p>
        </w:tc>
        <w:tc>
          <w:tcPr>
            <w:tcW w:w="1158" w:type="dxa"/>
            <w:vAlign w:val="top"/>
          </w:tcPr>
          <w:p w14:paraId="1076FF16">
            <w:pPr>
              <w:spacing w:line="311" w:lineRule="auto"/>
              <w:rPr>
                <w:rFonts w:ascii="Arial"/>
                <w:sz w:val="21"/>
              </w:rPr>
            </w:pPr>
          </w:p>
          <w:p w14:paraId="71A896B0">
            <w:pPr>
              <w:pStyle w:val="6"/>
              <w:spacing w:before="65" w:line="280" w:lineRule="auto"/>
              <w:ind w:left="163" w:right="158" w:firstLine="1"/>
            </w:pPr>
            <w:r>
              <w:rPr>
                <w:spacing w:val="7"/>
              </w:rPr>
              <w:t>本期外购</w:t>
            </w:r>
            <w:r>
              <w:t xml:space="preserve"> </w:t>
            </w:r>
            <w:r>
              <w:rPr>
                <w:spacing w:val="7"/>
              </w:rPr>
              <w:t>入库数量</w:t>
            </w:r>
          </w:p>
        </w:tc>
        <w:tc>
          <w:tcPr>
            <w:tcW w:w="1159" w:type="dxa"/>
            <w:vAlign w:val="top"/>
          </w:tcPr>
          <w:p w14:paraId="0725A26A">
            <w:pPr>
              <w:pStyle w:val="6"/>
              <w:spacing w:before="217" w:line="285" w:lineRule="auto"/>
              <w:ind w:left="167" w:right="158" w:hanging="2"/>
              <w:jc w:val="both"/>
            </w:pPr>
            <w:r>
              <w:rPr>
                <w:spacing w:val="7"/>
              </w:rPr>
              <w:t>委托加工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收回连续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生产数量</w:t>
            </w:r>
          </w:p>
        </w:tc>
        <w:tc>
          <w:tcPr>
            <w:tcW w:w="1159" w:type="dxa"/>
            <w:vAlign w:val="top"/>
          </w:tcPr>
          <w:p w14:paraId="377EED74">
            <w:pPr>
              <w:spacing w:line="311" w:lineRule="auto"/>
              <w:rPr>
                <w:rFonts w:ascii="Arial"/>
                <w:sz w:val="21"/>
              </w:rPr>
            </w:pPr>
          </w:p>
          <w:p w14:paraId="27082D57">
            <w:pPr>
              <w:pStyle w:val="6"/>
              <w:spacing w:before="65" w:line="280" w:lineRule="auto"/>
              <w:ind w:left="166" w:right="160" w:hanging="2"/>
            </w:pPr>
            <w:r>
              <w:rPr>
                <w:spacing w:val="7"/>
              </w:rPr>
              <w:t>本期准予</w:t>
            </w:r>
            <w:r>
              <w:t xml:space="preserve"> </w:t>
            </w:r>
            <w:r>
              <w:rPr>
                <w:spacing w:val="6"/>
              </w:rPr>
              <w:t>扣除数量</w:t>
            </w:r>
          </w:p>
        </w:tc>
        <w:tc>
          <w:tcPr>
            <w:tcW w:w="1158" w:type="dxa"/>
            <w:vAlign w:val="top"/>
          </w:tcPr>
          <w:p w14:paraId="2C39F303">
            <w:pPr>
              <w:spacing w:line="311" w:lineRule="auto"/>
              <w:rPr>
                <w:rFonts w:ascii="Arial"/>
                <w:sz w:val="21"/>
              </w:rPr>
            </w:pPr>
          </w:p>
          <w:p w14:paraId="225BFB5F">
            <w:pPr>
              <w:pStyle w:val="6"/>
              <w:spacing w:before="65" w:line="280" w:lineRule="auto"/>
              <w:ind w:left="166" w:right="159" w:hanging="2"/>
            </w:pPr>
            <w:r>
              <w:rPr>
                <w:spacing w:val="7"/>
              </w:rPr>
              <w:t>本期准予</w:t>
            </w:r>
            <w:r>
              <w:t xml:space="preserve"> </w:t>
            </w:r>
            <w:r>
              <w:rPr>
                <w:spacing w:val="6"/>
              </w:rPr>
              <w:t>扣除税额</w:t>
            </w:r>
          </w:p>
        </w:tc>
        <w:tc>
          <w:tcPr>
            <w:tcW w:w="1299" w:type="dxa"/>
            <w:vAlign w:val="top"/>
          </w:tcPr>
          <w:p w14:paraId="5A72D26E">
            <w:pPr>
              <w:pStyle w:val="6"/>
              <w:spacing w:before="59" w:line="228" w:lineRule="auto"/>
              <w:ind w:left="132"/>
            </w:pPr>
            <w:r>
              <w:rPr>
                <w:spacing w:val="7"/>
              </w:rPr>
              <w:t>本期领用未</w:t>
            </w:r>
          </w:p>
          <w:p w14:paraId="3ACB2848">
            <w:pPr>
              <w:pStyle w:val="6"/>
              <w:spacing w:before="72" w:line="229" w:lineRule="auto"/>
              <w:ind w:left="133"/>
            </w:pPr>
            <w:r>
              <w:rPr>
                <w:spacing w:val="7"/>
              </w:rPr>
              <w:t>用于连续生</w:t>
            </w:r>
          </w:p>
          <w:p w14:paraId="66CE9392">
            <w:pPr>
              <w:pStyle w:val="6"/>
              <w:spacing w:before="71" w:line="228" w:lineRule="auto"/>
              <w:ind w:left="131"/>
            </w:pPr>
            <w:r>
              <w:rPr>
                <w:spacing w:val="8"/>
              </w:rPr>
              <w:t>产不准予扣</w:t>
            </w:r>
          </w:p>
          <w:p w14:paraId="33F06855">
            <w:pPr>
              <w:pStyle w:val="6"/>
              <w:spacing w:before="72" w:line="228" w:lineRule="auto"/>
              <w:ind w:left="355"/>
            </w:pPr>
            <w:r>
              <w:rPr>
                <w:spacing w:val="2"/>
              </w:rPr>
              <w:t>除数量</w:t>
            </w:r>
          </w:p>
        </w:tc>
        <w:tc>
          <w:tcPr>
            <w:tcW w:w="1028" w:type="dxa"/>
            <w:vAlign w:val="top"/>
          </w:tcPr>
          <w:p w14:paraId="31ABC8C5">
            <w:pPr>
              <w:spacing w:line="311" w:lineRule="auto"/>
              <w:rPr>
                <w:rFonts w:ascii="Arial"/>
                <w:sz w:val="21"/>
              </w:rPr>
            </w:pPr>
          </w:p>
          <w:p w14:paraId="6D398946">
            <w:pPr>
              <w:pStyle w:val="6"/>
              <w:spacing w:before="65" w:line="280" w:lineRule="auto"/>
              <w:ind w:left="204" w:right="196" w:firstLine="3"/>
            </w:pPr>
            <w:r>
              <w:rPr>
                <w:spacing w:val="6"/>
              </w:rPr>
              <w:t>期末库</w:t>
            </w:r>
            <w:r>
              <w:t xml:space="preserve"> </w:t>
            </w:r>
            <w:r>
              <w:rPr>
                <w:spacing w:val="7"/>
              </w:rPr>
              <w:t>存数量</w:t>
            </w:r>
          </w:p>
        </w:tc>
      </w:tr>
      <w:tr w14:paraId="3F09F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10" w:type="dxa"/>
            <w:vAlign w:val="top"/>
          </w:tcPr>
          <w:p w14:paraId="052470CE">
            <w:pPr>
              <w:pStyle w:val="6"/>
              <w:spacing w:before="248" w:line="189" w:lineRule="auto"/>
              <w:ind w:left="523"/>
            </w:pPr>
            <w:r>
              <w:t>1</w:t>
            </w:r>
          </w:p>
        </w:tc>
        <w:tc>
          <w:tcPr>
            <w:tcW w:w="1158" w:type="dxa"/>
            <w:vAlign w:val="top"/>
          </w:tcPr>
          <w:p w14:paraId="6EDAB027">
            <w:pPr>
              <w:pStyle w:val="6"/>
              <w:spacing w:before="248" w:line="189" w:lineRule="auto"/>
              <w:ind w:left="533"/>
            </w:pPr>
            <w:r>
              <w:t>2</w:t>
            </w:r>
          </w:p>
        </w:tc>
        <w:tc>
          <w:tcPr>
            <w:tcW w:w="1158" w:type="dxa"/>
            <w:vAlign w:val="top"/>
          </w:tcPr>
          <w:p w14:paraId="7A20003A">
            <w:pPr>
              <w:pStyle w:val="6"/>
              <w:spacing w:before="248" w:line="189" w:lineRule="auto"/>
              <w:ind w:left="536"/>
            </w:pPr>
            <w:r>
              <w:t>3</w:t>
            </w:r>
          </w:p>
        </w:tc>
        <w:tc>
          <w:tcPr>
            <w:tcW w:w="1159" w:type="dxa"/>
            <w:vAlign w:val="top"/>
          </w:tcPr>
          <w:p w14:paraId="06979C2C">
            <w:pPr>
              <w:pStyle w:val="6"/>
              <w:spacing w:before="248" w:line="189" w:lineRule="auto"/>
              <w:ind w:left="532"/>
            </w:pPr>
            <w:r>
              <w:t>4</w:t>
            </w:r>
          </w:p>
        </w:tc>
        <w:tc>
          <w:tcPr>
            <w:tcW w:w="1159" w:type="dxa"/>
            <w:vAlign w:val="top"/>
          </w:tcPr>
          <w:p w14:paraId="2D0D75FD">
            <w:pPr>
              <w:pStyle w:val="6"/>
              <w:spacing w:before="250" w:line="187" w:lineRule="auto"/>
              <w:ind w:left="537"/>
            </w:pPr>
            <w:r>
              <w:t>5</w:t>
            </w:r>
          </w:p>
        </w:tc>
        <w:tc>
          <w:tcPr>
            <w:tcW w:w="1158" w:type="dxa"/>
            <w:vAlign w:val="top"/>
          </w:tcPr>
          <w:p w14:paraId="7039E506">
            <w:pPr>
              <w:pStyle w:val="6"/>
              <w:spacing w:before="248" w:line="189" w:lineRule="auto"/>
              <w:ind w:left="535"/>
            </w:pPr>
            <w:r>
              <w:t>6</w:t>
            </w:r>
          </w:p>
        </w:tc>
        <w:tc>
          <w:tcPr>
            <w:tcW w:w="1299" w:type="dxa"/>
            <w:vAlign w:val="top"/>
          </w:tcPr>
          <w:p w14:paraId="31BC13C3">
            <w:pPr>
              <w:spacing w:before="242" w:line="186" w:lineRule="auto"/>
              <w:ind w:left="595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z w:val="20"/>
                <w:szCs w:val="20"/>
              </w:rPr>
              <w:t>7</w:t>
            </w:r>
          </w:p>
        </w:tc>
        <w:tc>
          <w:tcPr>
            <w:tcW w:w="1028" w:type="dxa"/>
            <w:vAlign w:val="top"/>
          </w:tcPr>
          <w:p w14:paraId="410C9679">
            <w:pPr>
              <w:pStyle w:val="6"/>
              <w:spacing w:before="57" w:line="265" w:lineRule="auto"/>
              <w:ind w:left="308" w:right="142" w:hanging="155"/>
            </w:pPr>
            <w:r>
              <w:rPr>
                <w:spacing w:val="3"/>
              </w:rPr>
              <w:t>8=2+3+4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-5-7</w:t>
            </w:r>
          </w:p>
        </w:tc>
      </w:tr>
      <w:tr w14:paraId="79D13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10" w:type="dxa"/>
            <w:vAlign w:val="top"/>
          </w:tcPr>
          <w:p w14:paraId="5BE43D39">
            <w:pPr>
              <w:pStyle w:val="6"/>
              <w:spacing w:before="87" w:line="232" w:lineRule="auto"/>
              <w:ind w:left="212"/>
            </w:pPr>
            <w:r>
              <w:t>汽</w:t>
            </w:r>
            <w:r>
              <w:rPr>
                <w:spacing w:val="11"/>
              </w:rPr>
              <w:t xml:space="preserve">  </w:t>
            </w:r>
            <w:r>
              <w:t>油</w:t>
            </w:r>
          </w:p>
        </w:tc>
        <w:tc>
          <w:tcPr>
            <w:tcW w:w="1158" w:type="dxa"/>
            <w:vAlign w:val="top"/>
          </w:tcPr>
          <w:p w14:paraId="2529D5F9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971030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1ED3F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6508EF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33DFA2F0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300C53D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587B268">
            <w:pPr>
              <w:rPr>
                <w:rFonts w:ascii="Arial"/>
                <w:sz w:val="21"/>
              </w:rPr>
            </w:pPr>
          </w:p>
        </w:tc>
      </w:tr>
      <w:tr w14:paraId="1A29E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10" w:type="dxa"/>
            <w:vAlign w:val="top"/>
          </w:tcPr>
          <w:p w14:paraId="40E1AA54">
            <w:pPr>
              <w:pStyle w:val="6"/>
              <w:spacing w:before="88" w:line="229" w:lineRule="auto"/>
              <w:ind w:left="212"/>
            </w:pPr>
            <w:r>
              <w:t>柴</w:t>
            </w:r>
            <w:r>
              <w:rPr>
                <w:spacing w:val="11"/>
              </w:rPr>
              <w:t xml:space="preserve">  </w:t>
            </w:r>
            <w:r>
              <w:t>油</w:t>
            </w:r>
          </w:p>
        </w:tc>
        <w:tc>
          <w:tcPr>
            <w:tcW w:w="1158" w:type="dxa"/>
            <w:vAlign w:val="top"/>
          </w:tcPr>
          <w:p w14:paraId="485DF3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DE1C2B0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D965A6A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156402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69927C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E198845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5C6AFF02">
            <w:pPr>
              <w:rPr>
                <w:rFonts w:ascii="Arial"/>
                <w:sz w:val="21"/>
              </w:rPr>
            </w:pPr>
          </w:p>
        </w:tc>
      </w:tr>
      <w:tr w14:paraId="113D5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10" w:type="dxa"/>
            <w:vAlign w:val="top"/>
          </w:tcPr>
          <w:p w14:paraId="69559FD1">
            <w:pPr>
              <w:pStyle w:val="6"/>
              <w:spacing w:before="87" w:line="230" w:lineRule="auto"/>
              <w:ind w:left="213"/>
            </w:pPr>
            <w:r>
              <w:rPr>
                <w:spacing w:val="6"/>
              </w:rPr>
              <w:t>石脑油</w:t>
            </w:r>
          </w:p>
        </w:tc>
        <w:tc>
          <w:tcPr>
            <w:tcW w:w="1158" w:type="dxa"/>
            <w:vAlign w:val="top"/>
          </w:tcPr>
          <w:p w14:paraId="1C51F9F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4128EE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7F85ED1D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1DF97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294A39C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5D75437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190BE13">
            <w:pPr>
              <w:rPr>
                <w:rFonts w:ascii="Arial"/>
                <w:sz w:val="21"/>
              </w:rPr>
            </w:pPr>
          </w:p>
        </w:tc>
      </w:tr>
      <w:tr w14:paraId="1B947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10" w:type="dxa"/>
            <w:vAlign w:val="top"/>
          </w:tcPr>
          <w:p w14:paraId="60C37F18">
            <w:pPr>
              <w:pStyle w:val="6"/>
              <w:spacing w:before="87" w:line="229" w:lineRule="auto"/>
              <w:ind w:left="214"/>
            </w:pPr>
            <w:r>
              <w:rPr>
                <w:spacing w:val="6"/>
              </w:rPr>
              <w:t>润滑油</w:t>
            </w:r>
          </w:p>
        </w:tc>
        <w:tc>
          <w:tcPr>
            <w:tcW w:w="1158" w:type="dxa"/>
            <w:vAlign w:val="top"/>
          </w:tcPr>
          <w:p w14:paraId="3D02023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449E82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2AEA2F9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E5ACDF2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7DA1C37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2443D0C7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4F4124A9">
            <w:pPr>
              <w:rPr>
                <w:rFonts w:ascii="Arial"/>
                <w:sz w:val="21"/>
              </w:rPr>
            </w:pPr>
          </w:p>
        </w:tc>
      </w:tr>
      <w:tr w14:paraId="3188D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10" w:type="dxa"/>
            <w:vAlign w:val="top"/>
          </w:tcPr>
          <w:p w14:paraId="379F698C">
            <w:pPr>
              <w:pStyle w:val="6"/>
              <w:spacing w:before="88" w:line="229" w:lineRule="auto"/>
              <w:ind w:left="211"/>
            </w:pPr>
            <w:r>
              <w:rPr>
                <w:spacing w:val="7"/>
              </w:rPr>
              <w:t>燃料油</w:t>
            </w:r>
          </w:p>
        </w:tc>
        <w:tc>
          <w:tcPr>
            <w:tcW w:w="1158" w:type="dxa"/>
            <w:vAlign w:val="top"/>
          </w:tcPr>
          <w:p w14:paraId="21774B26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21C22A1F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4D75C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03A9C3D4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50EBB43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235590FE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2EE94B0B">
            <w:pPr>
              <w:rPr>
                <w:rFonts w:ascii="Arial"/>
                <w:sz w:val="21"/>
              </w:rPr>
            </w:pPr>
          </w:p>
        </w:tc>
      </w:tr>
      <w:tr w14:paraId="5AC29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10" w:type="dxa"/>
            <w:vAlign w:val="top"/>
          </w:tcPr>
          <w:p w14:paraId="51FEF37A">
            <w:pPr>
              <w:pStyle w:val="6"/>
              <w:spacing w:before="90" w:line="230" w:lineRule="auto"/>
              <w:ind w:left="352"/>
            </w:pPr>
            <w:r>
              <w:rPr>
                <w:spacing w:val="4"/>
              </w:rPr>
              <w:t>合计</w:t>
            </w:r>
          </w:p>
        </w:tc>
        <w:tc>
          <w:tcPr>
            <w:tcW w:w="1158" w:type="dxa"/>
            <w:vAlign w:val="top"/>
          </w:tcPr>
          <w:p w14:paraId="1EEF867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CBD81B7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4EA98ED5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3EC136E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07A5A9E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A6C5399"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 w14:paraId="075102C0">
            <w:pPr>
              <w:rPr>
                <w:rFonts w:ascii="Arial"/>
                <w:sz w:val="21"/>
              </w:rPr>
            </w:pPr>
          </w:p>
        </w:tc>
      </w:tr>
    </w:tbl>
    <w:p w14:paraId="11C9FC55">
      <w:pPr>
        <w:spacing w:line="304" w:lineRule="auto"/>
        <w:rPr>
          <w:rFonts w:ascii="Arial"/>
          <w:sz w:val="21"/>
        </w:rPr>
      </w:pPr>
    </w:p>
    <w:p w14:paraId="2CCC6CD0">
      <w:pPr>
        <w:spacing w:line="305" w:lineRule="auto"/>
        <w:rPr>
          <w:rFonts w:ascii="Arial"/>
          <w:sz w:val="21"/>
        </w:rPr>
      </w:pPr>
    </w:p>
    <w:p w14:paraId="2748DD3B">
      <w:pPr>
        <w:spacing w:line="305" w:lineRule="auto"/>
        <w:rPr>
          <w:rFonts w:ascii="Arial"/>
          <w:sz w:val="21"/>
        </w:rPr>
      </w:pPr>
    </w:p>
    <w:p w14:paraId="4E93FEE9">
      <w:pPr>
        <w:spacing w:before="78" w:line="214" w:lineRule="auto"/>
        <w:ind w:left="221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二、润滑油基础油（废矿物油）和变性燃料乙醇领用存</w:t>
      </w:r>
    </w:p>
    <w:tbl>
      <w:tblPr>
        <w:tblStyle w:val="5"/>
        <w:tblW w:w="9229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664"/>
        <w:gridCol w:w="1841"/>
        <w:gridCol w:w="2126"/>
        <w:gridCol w:w="1856"/>
      </w:tblGrid>
      <w:tr w14:paraId="0DCA4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742" w:type="dxa"/>
            <w:vAlign w:val="top"/>
          </w:tcPr>
          <w:p w14:paraId="1ECC6EBD">
            <w:pPr>
              <w:pStyle w:val="6"/>
              <w:spacing w:before="259" w:line="228" w:lineRule="auto"/>
              <w:ind w:left="457"/>
            </w:pPr>
            <w:r>
              <w:rPr>
                <w:spacing w:val="7"/>
              </w:rPr>
              <w:t>产品名称</w:t>
            </w:r>
          </w:p>
        </w:tc>
        <w:tc>
          <w:tcPr>
            <w:tcW w:w="1664" w:type="dxa"/>
            <w:vAlign w:val="top"/>
          </w:tcPr>
          <w:p w14:paraId="5312C1B5">
            <w:pPr>
              <w:pStyle w:val="6"/>
              <w:spacing w:before="259" w:line="228" w:lineRule="auto"/>
              <w:ind w:left="207"/>
            </w:pPr>
            <w:r>
              <w:rPr>
                <w:spacing w:val="7"/>
              </w:rPr>
              <w:t>上期库存数量</w:t>
            </w:r>
          </w:p>
        </w:tc>
        <w:tc>
          <w:tcPr>
            <w:tcW w:w="1841" w:type="dxa"/>
            <w:vAlign w:val="top"/>
          </w:tcPr>
          <w:p w14:paraId="55B44607">
            <w:pPr>
              <w:pStyle w:val="6"/>
              <w:spacing w:before="258" w:line="228" w:lineRule="auto"/>
              <w:ind w:left="297"/>
            </w:pPr>
            <w:r>
              <w:rPr>
                <w:spacing w:val="8"/>
              </w:rPr>
              <w:t>本期入库数量</w:t>
            </w:r>
          </w:p>
        </w:tc>
        <w:tc>
          <w:tcPr>
            <w:tcW w:w="2126" w:type="dxa"/>
            <w:vAlign w:val="top"/>
          </w:tcPr>
          <w:p w14:paraId="556871AD">
            <w:pPr>
              <w:pStyle w:val="6"/>
              <w:spacing w:before="258" w:line="228" w:lineRule="auto"/>
              <w:ind w:left="229"/>
            </w:pPr>
            <w:r>
              <w:rPr>
                <w:spacing w:val="8"/>
              </w:rPr>
              <w:t>本期生产领用数量</w:t>
            </w:r>
          </w:p>
        </w:tc>
        <w:tc>
          <w:tcPr>
            <w:tcW w:w="1856" w:type="dxa"/>
            <w:vAlign w:val="top"/>
          </w:tcPr>
          <w:p w14:paraId="22AB0978">
            <w:pPr>
              <w:pStyle w:val="6"/>
              <w:spacing w:before="259" w:line="228" w:lineRule="auto"/>
              <w:ind w:left="306"/>
            </w:pPr>
            <w:r>
              <w:rPr>
                <w:spacing w:val="7"/>
              </w:rPr>
              <w:t>期末库存数量</w:t>
            </w:r>
          </w:p>
        </w:tc>
      </w:tr>
      <w:tr w14:paraId="58E4E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742" w:type="dxa"/>
            <w:vAlign w:val="top"/>
          </w:tcPr>
          <w:p w14:paraId="065D4032">
            <w:pPr>
              <w:pStyle w:val="6"/>
              <w:spacing w:before="88" w:line="189" w:lineRule="auto"/>
              <w:ind w:left="840"/>
            </w:pPr>
            <w:r>
              <w:t>1</w:t>
            </w:r>
          </w:p>
        </w:tc>
        <w:tc>
          <w:tcPr>
            <w:tcW w:w="1664" w:type="dxa"/>
            <w:vAlign w:val="top"/>
          </w:tcPr>
          <w:p w14:paraId="5FF8EB13">
            <w:pPr>
              <w:pStyle w:val="6"/>
              <w:spacing w:before="88" w:line="189" w:lineRule="auto"/>
              <w:ind w:left="786"/>
            </w:pPr>
            <w:r>
              <w:t>2</w:t>
            </w:r>
          </w:p>
        </w:tc>
        <w:tc>
          <w:tcPr>
            <w:tcW w:w="1841" w:type="dxa"/>
            <w:vAlign w:val="top"/>
          </w:tcPr>
          <w:p w14:paraId="2F9DA89E">
            <w:pPr>
              <w:pStyle w:val="6"/>
              <w:spacing w:before="88" w:line="189" w:lineRule="auto"/>
              <w:ind w:left="876"/>
            </w:pPr>
            <w:r>
              <w:t>3</w:t>
            </w:r>
          </w:p>
        </w:tc>
        <w:tc>
          <w:tcPr>
            <w:tcW w:w="2126" w:type="dxa"/>
            <w:vAlign w:val="top"/>
          </w:tcPr>
          <w:p w14:paraId="0795550C">
            <w:pPr>
              <w:pStyle w:val="6"/>
              <w:spacing w:before="88" w:line="189" w:lineRule="auto"/>
              <w:ind w:left="1015"/>
            </w:pPr>
            <w:r>
              <w:t>4</w:t>
            </w:r>
          </w:p>
        </w:tc>
        <w:tc>
          <w:tcPr>
            <w:tcW w:w="1856" w:type="dxa"/>
            <w:vAlign w:val="top"/>
          </w:tcPr>
          <w:p w14:paraId="6C351430">
            <w:pPr>
              <w:pStyle w:val="6"/>
              <w:spacing w:before="55" w:line="238" w:lineRule="auto"/>
              <w:ind w:left="569"/>
            </w:pPr>
            <w:r>
              <w:rPr>
                <w:spacing w:val="3"/>
              </w:rPr>
              <w:t>5=2+3-4</w:t>
            </w:r>
          </w:p>
        </w:tc>
      </w:tr>
      <w:tr w14:paraId="12559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42" w:type="dxa"/>
            <w:vAlign w:val="top"/>
          </w:tcPr>
          <w:p w14:paraId="15DD80E3">
            <w:pPr>
              <w:pStyle w:val="6"/>
              <w:spacing w:before="55" w:line="266" w:lineRule="auto"/>
              <w:ind w:left="222" w:right="274" w:hanging="8"/>
            </w:pPr>
            <w:r>
              <w:rPr>
                <w:spacing w:val="7"/>
              </w:rPr>
              <w:t>润滑油基础油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（废矿物油）</w:t>
            </w:r>
          </w:p>
        </w:tc>
        <w:tc>
          <w:tcPr>
            <w:tcW w:w="1664" w:type="dxa"/>
            <w:vAlign w:val="top"/>
          </w:tcPr>
          <w:p w14:paraId="56908FB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326D1F56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39D3455F"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 w14:paraId="3D7C2AB3">
            <w:pPr>
              <w:rPr>
                <w:rFonts w:ascii="Arial"/>
                <w:sz w:val="21"/>
              </w:rPr>
            </w:pPr>
          </w:p>
        </w:tc>
      </w:tr>
      <w:tr w14:paraId="4349D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42" w:type="dxa"/>
            <w:vAlign w:val="top"/>
          </w:tcPr>
          <w:p w14:paraId="2F82EE31">
            <w:pPr>
              <w:pStyle w:val="6"/>
              <w:spacing w:before="189" w:line="229" w:lineRule="auto"/>
              <w:ind w:left="212"/>
            </w:pPr>
            <w:r>
              <w:rPr>
                <w:spacing w:val="8"/>
              </w:rPr>
              <w:t>变性燃料乙醇</w:t>
            </w:r>
          </w:p>
        </w:tc>
        <w:tc>
          <w:tcPr>
            <w:tcW w:w="1664" w:type="dxa"/>
            <w:vAlign w:val="top"/>
          </w:tcPr>
          <w:p w14:paraId="64DCB1CF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vAlign w:val="top"/>
          </w:tcPr>
          <w:p w14:paraId="2BA069AE"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 w14:paraId="23D4E972">
            <w:pPr>
              <w:rPr>
                <w:rFonts w:ascii="Arial"/>
                <w:sz w:val="21"/>
              </w:rPr>
            </w:pPr>
          </w:p>
        </w:tc>
        <w:tc>
          <w:tcPr>
            <w:tcW w:w="1856" w:type="dxa"/>
            <w:vAlign w:val="top"/>
          </w:tcPr>
          <w:p w14:paraId="386DD68A">
            <w:pPr>
              <w:rPr>
                <w:rFonts w:ascii="Arial"/>
                <w:sz w:val="21"/>
              </w:rPr>
            </w:pPr>
          </w:p>
        </w:tc>
      </w:tr>
    </w:tbl>
    <w:p w14:paraId="0415CD79">
      <w:pPr>
        <w:rPr>
          <w:rFonts w:ascii="Arial"/>
          <w:sz w:val="21"/>
        </w:rPr>
      </w:pPr>
    </w:p>
    <w:p w14:paraId="4C5000F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121" w:right="1376" w:bottom="1155" w:left="1217" w:header="0" w:footer="992" w:gutter="0"/>
          <w:cols w:space="720" w:num="1"/>
        </w:sectPr>
      </w:pPr>
    </w:p>
    <w:p w14:paraId="7DE60769">
      <w:pPr>
        <w:spacing w:line="426" w:lineRule="auto"/>
        <w:rPr>
          <w:rFonts w:ascii="Arial"/>
          <w:sz w:val="21"/>
        </w:rPr>
      </w:pPr>
    </w:p>
    <w:p w14:paraId="041A3A4A">
      <w:pPr>
        <w:spacing w:before="91" w:line="218" w:lineRule="auto"/>
        <w:ind w:left="84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0"/>
          <w:sz w:val="28"/>
          <w:szCs w:val="28"/>
        </w:rPr>
        <w:t>《本期准予扣除税额计算表（成品油消费税纳税人适用）》填表说明</w:t>
      </w:r>
    </w:p>
    <w:p w14:paraId="68A06A32">
      <w:pPr>
        <w:spacing w:line="252" w:lineRule="auto"/>
        <w:rPr>
          <w:rFonts w:ascii="Arial"/>
          <w:sz w:val="21"/>
        </w:rPr>
      </w:pPr>
    </w:p>
    <w:p w14:paraId="16283950">
      <w:pPr>
        <w:pStyle w:val="2"/>
        <w:spacing w:before="65"/>
        <w:ind w:right="2" w:firstLine="423"/>
      </w:pPr>
      <w:r>
        <w:rPr>
          <w:spacing w:val="10"/>
        </w:rPr>
        <w:t>一、本表由外购（含进口）或委托加工收回已税汽油、柴油、石脑油、润滑油、燃料油</w:t>
      </w:r>
      <w:r>
        <w:rPr>
          <w:spacing w:val="9"/>
        </w:rPr>
        <w:t>（以下简称</w:t>
      </w:r>
      <w:r>
        <w:t xml:space="preserve"> </w:t>
      </w:r>
      <w:r>
        <w:rPr>
          <w:spacing w:val="9"/>
        </w:rPr>
        <w:t>应税油品）用于连续生产应税消费品的成品油消费税纳税人填写。</w:t>
      </w:r>
    </w:p>
    <w:p w14:paraId="564CD1F5">
      <w:pPr>
        <w:pStyle w:val="2"/>
        <w:spacing w:before="23" w:line="228" w:lineRule="auto"/>
        <w:ind w:left="424"/>
      </w:pPr>
      <w:r>
        <w:rPr>
          <w:spacing w:val="4"/>
        </w:rPr>
        <w:t>二、本表变性燃料乙醇的计量单位为“吨</w:t>
      </w:r>
      <w:r>
        <w:rPr>
          <w:spacing w:val="-60"/>
        </w:rPr>
        <w:t xml:space="preserve"> </w:t>
      </w:r>
      <w:r>
        <w:rPr>
          <w:spacing w:val="4"/>
        </w:rPr>
        <w:t>”，其余计量单位全部为“升</w:t>
      </w:r>
      <w:r>
        <w:rPr>
          <w:spacing w:val="-70"/>
        </w:rPr>
        <w:t xml:space="preserve"> </w:t>
      </w:r>
      <w:r>
        <w:rPr>
          <w:spacing w:val="4"/>
        </w:rPr>
        <w:t>”。</w:t>
      </w:r>
    </w:p>
    <w:p w14:paraId="4A8FE944">
      <w:pPr>
        <w:pStyle w:val="2"/>
        <w:spacing w:before="28"/>
        <w:ind w:left="6" w:firstLine="414"/>
      </w:pPr>
      <w:r>
        <w:rPr>
          <w:spacing w:val="4"/>
        </w:rPr>
        <w:t>三、本表第一部分第</w:t>
      </w:r>
      <w:r>
        <w:rPr>
          <w:spacing w:val="-24"/>
        </w:rPr>
        <w:t xml:space="preserve"> </w:t>
      </w:r>
      <w:r>
        <w:rPr>
          <w:spacing w:val="4"/>
        </w:rPr>
        <w:t>2</w:t>
      </w:r>
      <w:r>
        <w:rPr>
          <w:spacing w:val="-38"/>
        </w:rPr>
        <w:t xml:space="preserve"> </w:t>
      </w:r>
      <w:r>
        <w:rPr>
          <w:spacing w:val="4"/>
        </w:rPr>
        <w:t>栏“上期库存数量</w:t>
      </w:r>
      <w:r>
        <w:rPr>
          <w:spacing w:val="-72"/>
        </w:rPr>
        <w:t xml:space="preserve"> </w:t>
      </w:r>
      <w:r>
        <w:rPr>
          <w:spacing w:val="4"/>
        </w:rPr>
        <w:t>”：按本表上期第一部分第8</w:t>
      </w:r>
      <w:r>
        <w:rPr>
          <w:spacing w:val="-38"/>
        </w:rPr>
        <w:t xml:space="preserve"> </w:t>
      </w:r>
      <w:r>
        <w:rPr>
          <w:spacing w:val="4"/>
        </w:rPr>
        <w:t>栏“期末库存数量</w:t>
      </w:r>
      <w:r>
        <w:rPr>
          <w:spacing w:val="-73"/>
        </w:rPr>
        <w:t xml:space="preserve"> </w:t>
      </w:r>
      <w:r>
        <w:rPr>
          <w:spacing w:val="4"/>
        </w:rPr>
        <w:t>”的数值填</w:t>
      </w:r>
      <w:r>
        <w:t xml:space="preserve"> </w:t>
      </w:r>
      <w:r>
        <w:rPr>
          <w:spacing w:val="-3"/>
        </w:rPr>
        <w:t>写。</w:t>
      </w:r>
    </w:p>
    <w:p w14:paraId="7F9BC43B">
      <w:pPr>
        <w:pStyle w:val="2"/>
        <w:spacing w:before="19" w:line="244" w:lineRule="auto"/>
        <w:ind w:firstLine="439"/>
      </w:pPr>
      <w:r>
        <w:rPr>
          <w:spacing w:val="4"/>
        </w:rPr>
        <w:t>四、本表第一部分第</w:t>
      </w:r>
      <w:r>
        <w:rPr>
          <w:spacing w:val="-35"/>
        </w:rPr>
        <w:t xml:space="preserve"> </w:t>
      </w:r>
      <w:r>
        <w:rPr>
          <w:spacing w:val="4"/>
        </w:rPr>
        <w:t>3</w:t>
      </w:r>
      <w:r>
        <w:rPr>
          <w:spacing w:val="-38"/>
        </w:rPr>
        <w:t xml:space="preserve"> </w:t>
      </w:r>
      <w:r>
        <w:rPr>
          <w:spacing w:val="4"/>
        </w:rPr>
        <w:t>栏“本期外购入库数量</w:t>
      </w:r>
      <w:r>
        <w:rPr>
          <w:spacing w:val="-72"/>
        </w:rPr>
        <w:t xml:space="preserve"> </w:t>
      </w:r>
      <w:r>
        <w:rPr>
          <w:spacing w:val="4"/>
        </w:rPr>
        <w:t>”：填写纳</w:t>
      </w:r>
      <w:r>
        <w:rPr>
          <w:spacing w:val="3"/>
        </w:rPr>
        <w:t>税人本期外购、进口用于连续生产的应税油</w:t>
      </w:r>
      <w:r>
        <w:t xml:space="preserve"> </w:t>
      </w:r>
      <w:r>
        <w:rPr>
          <w:spacing w:val="10"/>
        </w:rPr>
        <w:t>品数量。不含依据定点直供计划采购的石脑油、燃料油；外购、进口或委托加工收回的甲醇汽油、乙醇</w:t>
      </w:r>
      <w:r>
        <w:t xml:space="preserve"> </w:t>
      </w:r>
      <w:r>
        <w:rPr>
          <w:spacing w:val="8"/>
        </w:rPr>
        <w:t>汽油、纯生物柴油、溶剂油、航空煤油；</w:t>
      </w:r>
      <w:r>
        <w:rPr>
          <w:spacing w:val="-55"/>
        </w:rPr>
        <w:t xml:space="preserve"> </w:t>
      </w:r>
      <w:r>
        <w:rPr>
          <w:spacing w:val="8"/>
        </w:rPr>
        <w:t>以及利用废矿物油生产的油品数量。</w:t>
      </w:r>
    </w:p>
    <w:p w14:paraId="57BAF629">
      <w:pPr>
        <w:pStyle w:val="2"/>
        <w:spacing w:before="27" w:line="244" w:lineRule="auto"/>
        <w:ind w:left="3" w:firstLine="420"/>
      </w:pPr>
      <w:r>
        <w:rPr>
          <w:spacing w:val="4"/>
        </w:rPr>
        <w:t>五、本表第一部分第</w:t>
      </w:r>
      <w:r>
        <w:rPr>
          <w:spacing w:val="-38"/>
        </w:rPr>
        <w:t xml:space="preserve"> </w:t>
      </w:r>
      <w:r>
        <w:rPr>
          <w:spacing w:val="4"/>
        </w:rPr>
        <w:t>4</w:t>
      </w:r>
      <w:r>
        <w:rPr>
          <w:spacing w:val="-38"/>
        </w:rPr>
        <w:t xml:space="preserve"> </w:t>
      </w:r>
      <w:r>
        <w:rPr>
          <w:spacing w:val="4"/>
        </w:rPr>
        <w:t>栏“委托加工收回连续生产数量</w:t>
      </w:r>
      <w:r>
        <w:rPr>
          <w:spacing w:val="-72"/>
        </w:rPr>
        <w:t xml:space="preserve"> </w:t>
      </w:r>
      <w:r>
        <w:rPr>
          <w:spacing w:val="4"/>
        </w:rPr>
        <w:t>”：填写纳税人委托加工收回用于连续生产的</w:t>
      </w:r>
      <w:r>
        <w:t xml:space="preserve"> </w:t>
      </w:r>
      <w:r>
        <w:rPr>
          <w:spacing w:val="10"/>
        </w:rPr>
        <w:t>各种应税油品数量，应与《本期委托加工收回情况报告表》</w:t>
      </w:r>
      <w:r>
        <w:rPr>
          <w:spacing w:val="-59"/>
        </w:rPr>
        <w:t xml:space="preserve"> </w:t>
      </w:r>
      <w:r>
        <w:rPr>
          <w:spacing w:val="10"/>
        </w:rPr>
        <w:t>中第二部分第6</w:t>
      </w:r>
      <w:r>
        <w:rPr>
          <w:spacing w:val="-38"/>
        </w:rPr>
        <w:t xml:space="preserve"> </w:t>
      </w:r>
      <w:r>
        <w:rPr>
          <w:spacing w:val="10"/>
        </w:rPr>
        <w:t>栏中“本期委托加</w:t>
      </w:r>
      <w:r>
        <w:rPr>
          <w:spacing w:val="9"/>
        </w:rPr>
        <w:t>工收回用</w:t>
      </w:r>
      <w:r>
        <w:t xml:space="preserve"> </w:t>
      </w:r>
      <w:r>
        <w:rPr>
          <w:spacing w:val="6"/>
        </w:rPr>
        <w:t>于连续生产数量</w:t>
      </w:r>
      <w:r>
        <w:rPr>
          <w:spacing w:val="-67"/>
        </w:rPr>
        <w:t xml:space="preserve"> </w:t>
      </w:r>
      <w:r>
        <w:rPr>
          <w:spacing w:val="6"/>
        </w:rPr>
        <w:t>”栏对应一致。</w:t>
      </w:r>
    </w:p>
    <w:p w14:paraId="563DF347">
      <w:pPr>
        <w:pStyle w:val="2"/>
        <w:spacing w:before="22" w:line="244" w:lineRule="auto"/>
        <w:ind w:left="2" w:firstLine="420"/>
      </w:pPr>
      <w:r>
        <w:rPr>
          <w:spacing w:val="4"/>
        </w:rPr>
        <w:t>六、本表第一部分第</w:t>
      </w:r>
      <w:r>
        <w:rPr>
          <w:spacing w:val="-36"/>
        </w:rPr>
        <w:t xml:space="preserve"> </w:t>
      </w:r>
      <w:r>
        <w:rPr>
          <w:spacing w:val="4"/>
        </w:rPr>
        <w:t>5</w:t>
      </w:r>
      <w:r>
        <w:rPr>
          <w:spacing w:val="-38"/>
        </w:rPr>
        <w:t xml:space="preserve"> </w:t>
      </w:r>
      <w:r>
        <w:rPr>
          <w:spacing w:val="4"/>
        </w:rPr>
        <w:t>栏“本期准予扣除数量</w:t>
      </w:r>
      <w:r>
        <w:rPr>
          <w:spacing w:val="-72"/>
        </w:rPr>
        <w:t xml:space="preserve"> </w:t>
      </w:r>
      <w:r>
        <w:rPr>
          <w:spacing w:val="4"/>
        </w:rPr>
        <w:t>”：填写纳税人按税法规定在本期申报扣除外购、进口</w:t>
      </w:r>
      <w:r>
        <w:t xml:space="preserve"> </w:t>
      </w:r>
      <w:r>
        <w:rPr>
          <w:spacing w:val="10"/>
        </w:rPr>
        <w:t>或委托加工收回用于连续生产的应税油品数量。本栏次对应的汽油、柴油、润滑油数量应分别小</w:t>
      </w:r>
      <w:r>
        <w:rPr>
          <w:spacing w:val="9"/>
        </w:rPr>
        <w:t>于等于</w:t>
      </w:r>
      <w:r>
        <w:t xml:space="preserve"> </w:t>
      </w:r>
      <w:r>
        <w:rPr>
          <w:spacing w:val="8"/>
        </w:rPr>
        <w:t>主表的汽油、柴油、润滑油“本期销售数量</w:t>
      </w:r>
      <w:r>
        <w:rPr>
          <w:spacing w:val="-70"/>
        </w:rPr>
        <w:t xml:space="preserve"> </w:t>
      </w:r>
      <w:r>
        <w:rPr>
          <w:spacing w:val="8"/>
        </w:rPr>
        <w:t>”栏次的数量。</w:t>
      </w:r>
    </w:p>
    <w:p w14:paraId="428BA097">
      <w:pPr>
        <w:pStyle w:val="2"/>
        <w:spacing w:before="28" w:line="239" w:lineRule="auto"/>
        <w:ind w:left="32" w:firstLine="387"/>
      </w:pPr>
      <w:r>
        <w:rPr>
          <w:spacing w:val="6"/>
        </w:rPr>
        <w:t>七、本表第一部分第6</w:t>
      </w:r>
      <w:r>
        <w:rPr>
          <w:spacing w:val="-37"/>
        </w:rPr>
        <w:t xml:space="preserve"> </w:t>
      </w:r>
      <w:r>
        <w:rPr>
          <w:spacing w:val="6"/>
        </w:rPr>
        <w:t>栏“本期准予扣除税额</w:t>
      </w:r>
      <w:r>
        <w:rPr>
          <w:spacing w:val="-73"/>
        </w:rPr>
        <w:t xml:space="preserve"> </w:t>
      </w:r>
      <w:r>
        <w:rPr>
          <w:spacing w:val="6"/>
        </w:rPr>
        <w:t>”：</w:t>
      </w:r>
      <w:r>
        <w:rPr>
          <w:spacing w:val="5"/>
        </w:rPr>
        <w:t>填写纳税人符合税法规定在本期申报扣除外购、进</w:t>
      </w:r>
      <w:r>
        <w:t xml:space="preserve"> </w:t>
      </w:r>
      <w:r>
        <w:rPr>
          <w:spacing w:val="8"/>
        </w:rPr>
        <w:t>口或委托加工收回用于连续生产的应税油品已纳消费税税额。计算公式为：</w:t>
      </w:r>
    </w:p>
    <w:p w14:paraId="1804AF1F">
      <w:pPr>
        <w:pStyle w:val="2"/>
        <w:spacing w:before="25" w:line="228" w:lineRule="auto"/>
        <w:ind w:left="421"/>
      </w:pPr>
      <w:r>
        <w:rPr>
          <w:spacing w:val="9"/>
        </w:rPr>
        <w:t>本期准予扣除税额=本期准予扣除数量×适用税率</w:t>
      </w:r>
    </w:p>
    <w:p w14:paraId="5DB00383">
      <w:pPr>
        <w:pStyle w:val="2"/>
        <w:spacing w:before="26"/>
        <w:ind w:right="2" w:firstLine="424"/>
      </w:pPr>
      <w:r>
        <w:rPr>
          <w:spacing w:val="4"/>
        </w:rPr>
        <w:t>八、本表第一部分第</w:t>
      </w:r>
      <w:r>
        <w:rPr>
          <w:spacing w:val="-34"/>
        </w:rPr>
        <w:t xml:space="preserve"> </w:t>
      </w:r>
      <w:r>
        <w:rPr>
          <w:spacing w:val="4"/>
        </w:rPr>
        <w:t>7</w:t>
      </w:r>
      <w:r>
        <w:rPr>
          <w:spacing w:val="-38"/>
        </w:rPr>
        <w:t xml:space="preserve"> </w:t>
      </w:r>
      <w:r>
        <w:rPr>
          <w:spacing w:val="4"/>
        </w:rPr>
        <w:t>栏“本期领用未用于连续生产不准予扣除数量</w:t>
      </w:r>
      <w:r>
        <w:rPr>
          <w:spacing w:val="-72"/>
        </w:rPr>
        <w:t xml:space="preserve"> </w:t>
      </w:r>
      <w:r>
        <w:rPr>
          <w:spacing w:val="4"/>
        </w:rPr>
        <w:t>”：填写纳税人由</w:t>
      </w:r>
      <w:r>
        <w:rPr>
          <w:spacing w:val="3"/>
        </w:rPr>
        <w:t>外购、进口或</w:t>
      </w:r>
      <w:r>
        <w:t xml:space="preserve"> </w:t>
      </w:r>
      <w:r>
        <w:rPr>
          <w:spacing w:val="9"/>
        </w:rPr>
        <w:t>委托加工收回的应税油品，未用于连续生产应税成品油而不允许扣除的成品油数量。</w:t>
      </w:r>
    </w:p>
    <w:p w14:paraId="1C2ECCA5">
      <w:pPr>
        <w:pStyle w:val="2"/>
        <w:spacing w:before="23" w:line="228" w:lineRule="auto"/>
        <w:ind w:left="425"/>
      </w:pPr>
      <w:r>
        <w:rPr>
          <w:spacing w:val="7"/>
        </w:rPr>
        <w:t>九、本表第一部分第8</w:t>
      </w:r>
      <w:r>
        <w:rPr>
          <w:spacing w:val="-35"/>
        </w:rPr>
        <w:t xml:space="preserve"> </w:t>
      </w:r>
      <w:r>
        <w:rPr>
          <w:spacing w:val="7"/>
        </w:rPr>
        <w:t>栏“期末库存数量</w:t>
      </w:r>
      <w:r>
        <w:rPr>
          <w:spacing w:val="-70"/>
        </w:rPr>
        <w:t xml:space="preserve"> </w:t>
      </w:r>
      <w:r>
        <w:rPr>
          <w:spacing w:val="7"/>
        </w:rPr>
        <w:t>”：填写期末留存的应税油品库存数量，计算公式为：</w:t>
      </w:r>
    </w:p>
    <w:p w14:paraId="3EDB51A0">
      <w:pPr>
        <w:pStyle w:val="2"/>
        <w:spacing w:before="12" w:line="247" w:lineRule="auto"/>
        <w:ind w:right="2" w:firstLine="422"/>
      </w:pPr>
      <w:r>
        <w:rPr>
          <w:spacing w:val="14"/>
        </w:rPr>
        <w:t>期末库存数量</w:t>
      </w:r>
      <w:r>
        <w:rPr>
          <w:rFonts w:ascii="华文中宋" w:hAnsi="华文中宋" w:eastAsia="华文中宋" w:cs="华文中宋"/>
          <w:spacing w:val="14"/>
        </w:rPr>
        <w:t>=</w:t>
      </w:r>
      <w:r>
        <w:rPr>
          <w:spacing w:val="14"/>
        </w:rPr>
        <w:t>上期库存数量＋本期外购入库数量</w:t>
      </w:r>
      <w:r>
        <w:rPr>
          <w:rFonts w:ascii="华文中宋" w:hAnsi="华文中宋" w:eastAsia="华文中宋" w:cs="华文中宋"/>
          <w:spacing w:val="14"/>
        </w:rPr>
        <w:t>+</w:t>
      </w:r>
      <w:r>
        <w:rPr>
          <w:spacing w:val="14"/>
        </w:rPr>
        <w:t>委托加工</w:t>
      </w:r>
      <w:r>
        <w:rPr>
          <w:spacing w:val="13"/>
        </w:rPr>
        <w:t>收回连续生产数量－本期准予扣除数</w:t>
      </w:r>
      <w:r>
        <w:t xml:space="preserve"> </w:t>
      </w:r>
      <w:r>
        <w:rPr>
          <w:spacing w:val="9"/>
        </w:rPr>
        <w:t>量－本期领用未用于连续生产不准予扣除数量，且期末库存数量≥0。</w:t>
      </w:r>
    </w:p>
    <w:p w14:paraId="0973ECD2">
      <w:pPr>
        <w:pStyle w:val="2"/>
        <w:spacing w:before="24" w:line="244" w:lineRule="auto"/>
        <w:ind w:firstLine="420"/>
      </w:pPr>
      <w:r>
        <w:rPr>
          <w:spacing w:val="-5"/>
        </w:rPr>
        <w:t>十、本表第一部分“合计</w:t>
      </w:r>
      <w:r>
        <w:rPr>
          <w:spacing w:val="-73"/>
        </w:rPr>
        <w:t xml:space="preserve"> </w:t>
      </w:r>
      <w:r>
        <w:rPr>
          <w:spacing w:val="-5"/>
        </w:rPr>
        <w:t>”：填写“上期库存数量</w:t>
      </w:r>
      <w:r>
        <w:rPr>
          <w:spacing w:val="-72"/>
        </w:rPr>
        <w:t xml:space="preserve"> </w:t>
      </w:r>
      <w:r>
        <w:rPr>
          <w:spacing w:val="-5"/>
        </w:rPr>
        <w:t>”、</w:t>
      </w:r>
      <w:r>
        <w:rPr>
          <w:spacing w:val="-6"/>
        </w:rPr>
        <w:t>“本期外购入库数量</w:t>
      </w:r>
      <w:r>
        <w:rPr>
          <w:spacing w:val="-72"/>
        </w:rPr>
        <w:t xml:space="preserve"> </w:t>
      </w:r>
      <w:r>
        <w:rPr>
          <w:spacing w:val="-6"/>
        </w:rPr>
        <w:t>”、“委托加工收回连续生产</w:t>
      </w:r>
      <w:r>
        <w:t xml:space="preserve"> </w:t>
      </w:r>
      <w:r>
        <w:rPr>
          <w:spacing w:val="-9"/>
        </w:rPr>
        <w:t>数量</w:t>
      </w:r>
      <w:r>
        <w:rPr>
          <w:spacing w:val="-72"/>
        </w:rPr>
        <w:t xml:space="preserve"> </w:t>
      </w:r>
      <w:r>
        <w:rPr>
          <w:spacing w:val="-9"/>
        </w:rPr>
        <w:t>”、“本期准予扣除数量</w:t>
      </w:r>
      <w:r>
        <w:rPr>
          <w:spacing w:val="-70"/>
        </w:rPr>
        <w:t xml:space="preserve"> </w:t>
      </w:r>
      <w:r>
        <w:rPr>
          <w:spacing w:val="-9"/>
        </w:rPr>
        <w:t>”、“本期准予扣</w:t>
      </w:r>
      <w:r>
        <w:rPr>
          <w:spacing w:val="-10"/>
        </w:rPr>
        <w:t>除税额</w:t>
      </w:r>
      <w:r>
        <w:rPr>
          <w:spacing w:val="-70"/>
        </w:rPr>
        <w:t xml:space="preserve"> </w:t>
      </w:r>
      <w:r>
        <w:rPr>
          <w:spacing w:val="-10"/>
        </w:rPr>
        <w:t>”、“本期领用未用于连续生产不准予扣除数量</w:t>
      </w:r>
      <w:r>
        <w:rPr>
          <w:spacing w:val="-70"/>
        </w:rPr>
        <w:t xml:space="preserve"> </w:t>
      </w:r>
      <w:r>
        <w:rPr>
          <w:spacing w:val="-10"/>
        </w:rPr>
        <w:t>”、“期</w:t>
      </w:r>
      <w:r>
        <w:t xml:space="preserve"> </w:t>
      </w:r>
      <w:r>
        <w:rPr>
          <w:spacing w:val="5"/>
        </w:rPr>
        <w:t>末库存数量</w:t>
      </w:r>
      <w:r>
        <w:rPr>
          <w:spacing w:val="-71"/>
        </w:rPr>
        <w:t xml:space="preserve"> </w:t>
      </w:r>
      <w:r>
        <w:rPr>
          <w:spacing w:val="5"/>
        </w:rPr>
        <w:t>”合计数。</w:t>
      </w:r>
    </w:p>
    <w:p w14:paraId="4DB34441">
      <w:pPr>
        <w:pStyle w:val="2"/>
        <w:spacing w:before="27" w:line="245" w:lineRule="auto"/>
        <w:ind w:right="2" w:firstLine="421"/>
      </w:pPr>
      <w:r>
        <w:rPr>
          <w:spacing w:val="5"/>
        </w:rPr>
        <w:t>十一、本表第二部分“润滑油基础油（废矿物油）”行：填写利用废矿物油生产的润滑油基础油领用</w:t>
      </w:r>
      <w:r>
        <w:rPr>
          <w:spacing w:val="8"/>
        </w:rPr>
        <w:t xml:space="preserve"> 存情况；本表第二部分第</w:t>
      </w:r>
      <w:r>
        <w:rPr>
          <w:spacing w:val="-32"/>
        </w:rPr>
        <w:t xml:space="preserve"> </w:t>
      </w:r>
      <w:r>
        <w:rPr>
          <w:spacing w:val="8"/>
        </w:rPr>
        <w:t>3</w:t>
      </w:r>
      <w:r>
        <w:rPr>
          <w:spacing w:val="-38"/>
        </w:rPr>
        <w:t xml:space="preserve"> </w:t>
      </w:r>
      <w:r>
        <w:rPr>
          <w:spacing w:val="8"/>
        </w:rPr>
        <w:t>栏“本期入库数量</w:t>
      </w:r>
      <w:r>
        <w:rPr>
          <w:spacing w:val="-70"/>
        </w:rPr>
        <w:t xml:space="preserve"> </w:t>
      </w:r>
      <w:r>
        <w:rPr>
          <w:spacing w:val="8"/>
        </w:rPr>
        <w:t>”包括外购</w:t>
      </w:r>
      <w:r>
        <w:rPr>
          <w:spacing w:val="7"/>
        </w:rPr>
        <w:t>和自产的润滑油基础油（废矿物油）数量。</w:t>
      </w:r>
      <w:r>
        <w:rPr>
          <w:spacing w:val="-50"/>
        </w:rPr>
        <w:t xml:space="preserve"> </w:t>
      </w:r>
      <w:r>
        <w:rPr>
          <w:spacing w:val="7"/>
        </w:rPr>
        <w:t>自</w:t>
      </w:r>
      <w:r>
        <w:t xml:space="preserve"> </w:t>
      </w:r>
      <w:r>
        <w:rPr>
          <w:spacing w:val="9"/>
        </w:rPr>
        <w:t>产的润滑油基础油（废矿物油）应与《本期减（免）税额明细表》润滑油基础油的“减（免）数量</w:t>
      </w:r>
      <w:r>
        <w:rPr>
          <w:spacing w:val="-55"/>
        </w:rPr>
        <w:t xml:space="preserve"> </w:t>
      </w:r>
      <w:r>
        <w:rPr>
          <w:spacing w:val="9"/>
        </w:rPr>
        <w:t>”一</w:t>
      </w:r>
      <w:r>
        <w:t xml:space="preserve"> </w:t>
      </w:r>
      <w:r>
        <w:rPr>
          <w:spacing w:val="9"/>
        </w:rPr>
        <w:t>致。用于连续生产润滑油的其他润滑油基础油数量不填入本行。</w:t>
      </w:r>
    </w:p>
    <w:p w14:paraId="4C27FA83">
      <w:pPr>
        <w:pStyle w:val="2"/>
        <w:spacing w:before="27" w:line="239" w:lineRule="auto"/>
        <w:ind w:left="2" w:right="2" w:firstLine="419"/>
      </w:pPr>
      <w:r>
        <w:rPr>
          <w:spacing w:val="4"/>
        </w:rPr>
        <w:t>十二、本表第二部分第</w:t>
      </w:r>
      <w:r>
        <w:rPr>
          <w:spacing w:val="-35"/>
        </w:rPr>
        <w:t xml:space="preserve"> </w:t>
      </w:r>
      <w:r>
        <w:rPr>
          <w:spacing w:val="4"/>
        </w:rPr>
        <w:t>2</w:t>
      </w:r>
      <w:r>
        <w:rPr>
          <w:spacing w:val="-41"/>
        </w:rPr>
        <w:t xml:space="preserve"> </w:t>
      </w:r>
      <w:r>
        <w:rPr>
          <w:spacing w:val="4"/>
        </w:rPr>
        <w:t>栏“上期库存数量</w:t>
      </w:r>
      <w:r>
        <w:rPr>
          <w:spacing w:val="-72"/>
        </w:rPr>
        <w:t xml:space="preserve"> </w:t>
      </w:r>
      <w:r>
        <w:rPr>
          <w:spacing w:val="4"/>
        </w:rPr>
        <w:t>”：分别按上期《本期准予扣除税额计算表》第二部分的</w:t>
      </w:r>
      <w:r>
        <w:t xml:space="preserve"> </w:t>
      </w:r>
      <w:r>
        <w:rPr>
          <w:spacing w:val="8"/>
        </w:rPr>
        <w:t>润滑油基础油（废矿物油）和变性燃料乙醇的“期末库存数量</w:t>
      </w:r>
      <w:r>
        <w:rPr>
          <w:spacing w:val="-54"/>
        </w:rPr>
        <w:t xml:space="preserve"> </w:t>
      </w:r>
      <w:r>
        <w:rPr>
          <w:spacing w:val="8"/>
        </w:rPr>
        <w:t>”栏数值填写。</w:t>
      </w:r>
    </w:p>
    <w:p w14:paraId="3ED3057C">
      <w:pPr>
        <w:pStyle w:val="2"/>
        <w:spacing w:before="27" w:line="239" w:lineRule="auto"/>
        <w:ind w:left="17" w:firstLine="403"/>
      </w:pPr>
      <w:r>
        <w:rPr>
          <w:spacing w:val="4"/>
        </w:rPr>
        <w:t>十三、本表第二部分第</w:t>
      </w:r>
      <w:r>
        <w:rPr>
          <w:spacing w:val="-33"/>
        </w:rPr>
        <w:t xml:space="preserve"> </w:t>
      </w:r>
      <w:r>
        <w:rPr>
          <w:spacing w:val="4"/>
        </w:rPr>
        <w:t>5</w:t>
      </w:r>
      <w:r>
        <w:rPr>
          <w:spacing w:val="-40"/>
        </w:rPr>
        <w:t xml:space="preserve"> </w:t>
      </w:r>
      <w:r>
        <w:rPr>
          <w:spacing w:val="4"/>
        </w:rPr>
        <w:t>栏“期末库存数量</w:t>
      </w:r>
      <w:r>
        <w:rPr>
          <w:spacing w:val="-72"/>
        </w:rPr>
        <w:t xml:space="preserve"> </w:t>
      </w:r>
      <w:r>
        <w:rPr>
          <w:spacing w:val="4"/>
        </w:rPr>
        <w:t>”：填写期末库存润滑油基础油（废矿物油）和变性燃料</w:t>
      </w:r>
      <w:r>
        <w:t xml:space="preserve"> </w:t>
      </w:r>
      <w:r>
        <w:rPr>
          <w:spacing w:val="6"/>
        </w:rPr>
        <w:t>乙醇的数量，计算公式为：</w:t>
      </w:r>
    </w:p>
    <w:p w14:paraId="108877EC">
      <w:pPr>
        <w:pStyle w:val="2"/>
        <w:spacing w:before="41" w:line="217" w:lineRule="auto"/>
        <w:ind w:left="423"/>
      </w:pPr>
      <w:r>
        <w:rPr>
          <w:spacing w:val="9"/>
        </w:rPr>
        <w:t>期末库存数量=上期库存数量＋本期入库数量-本期生产领用数量，且期末库存数量≥</w:t>
      </w:r>
      <w:r>
        <w:rPr>
          <w:rFonts w:ascii="华文中宋" w:hAnsi="华文中宋" w:eastAsia="华文中宋" w:cs="华文中宋"/>
          <w:spacing w:val="9"/>
        </w:rPr>
        <w:t>0</w:t>
      </w:r>
      <w:r>
        <w:rPr>
          <w:spacing w:val="9"/>
        </w:rPr>
        <w:t>。</w:t>
      </w:r>
    </w:p>
    <w:p w14:paraId="21A7A4F4">
      <w:pPr>
        <w:pStyle w:val="2"/>
        <w:spacing w:before="29"/>
        <w:ind w:right="2" w:firstLine="421"/>
        <w:sectPr>
          <w:footerReference r:id="rId6" w:type="default"/>
          <w:pgSz w:w="11906" w:h="16839"/>
          <w:pgMar w:top="1431" w:right="1261" w:bottom="1157" w:left="1190" w:header="0" w:footer="992" w:gutter="0"/>
          <w:cols w:space="720" w:num="1"/>
        </w:sectPr>
      </w:pPr>
      <w:r>
        <w:rPr>
          <w:spacing w:val="7"/>
        </w:rPr>
        <w:t>十四、本表为</w:t>
      </w:r>
      <w:r>
        <w:rPr>
          <w:spacing w:val="-44"/>
        </w:rPr>
        <w:t xml:space="preserve"> </w:t>
      </w:r>
      <w:r>
        <w:rPr>
          <w:spacing w:val="7"/>
        </w:rPr>
        <w:t>A4</w:t>
      </w:r>
      <w:r>
        <w:rPr>
          <w:spacing w:val="-36"/>
        </w:rPr>
        <w:t xml:space="preserve"> </w:t>
      </w:r>
      <w:r>
        <w:rPr>
          <w:spacing w:val="7"/>
        </w:rPr>
        <w:t>竖式，所有数字小数点后保留两位。一式二份，一份纳税人留存，一份税务机关留</w:t>
      </w:r>
      <w:r>
        <w:t xml:space="preserve"> 存。</w:t>
      </w:r>
      <w:bookmarkStart w:id="0" w:name="_GoBack"/>
      <w:bookmarkEnd w:id="0"/>
    </w:p>
    <w:p w14:paraId="0FB0FDA0">
      <w:pPr>
        <w:pStyle w:val="2"/>
        <w:spacing w:before="65" w:line="228" w:lineRule="auto"/>
      </w:pPr>
    </w:p>
    <w:sectPr>
      <w:footerReference r:id="rId7" w:type="default"/>
      <w:pgSz w:w="16839" w:h="11906"/>
      <w:pgMar w:top="1012" w:right="1437" w:bottom="1156" w:left="1448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0F031">
    <w:pPr>
      <w:spacing w:line="167" w:lineRule="auto"/>
      <w:ind w:left="465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A0FE5">
    <w:pPr>
      <w:spacing w:line="169" w:lineRule="auto"/>
      <w:ind w:left="46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8BDC2">
    <w:pPr>
      <w:spacing w:line="168" w:lineRule="auto"/>
      <w:ind w:left="68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5F9D458D"/>
    <w:rsid w:val="6EFC4A9E"/>
    <w:rsid w:val="798F4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10552</Words>
  <Characters>10940</Characters>
  <TotalTime>7</TotalTime>
  <ScaleCrop>false</ScaleCrop>
  <LinksUpToDate>false</LinksUpToDate>
  <CharactersWithSpaces>11699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2021-06-28T11:09:00Z</dcterms:created>
  <dc:creator>闫镜宇</dc:creator>
  <cp:lastModifiedBy>www.shuiwu114.com</cp:lastModifiedBy>
  <dcterms:modified xsi:type="dcterms:W3CDTF">2024-08-22T05:26:29Z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2024-08-22T12:39:47Z</vt:filetime>
  </property>
  <property fmtid="{D5CDD505-2E9C-101B-9397-08002B2CF9AE}" pid="4" name="KSOProductBuildVer">
    <vt:lpwstr>2052-12.1.0.17147</vt:lpwstr>
  </property>
  <property fmtid="{D5CDD505-2E9C-101B-9397-08002B2CF9AE}" pid="5" name="ICV">
    <vt:lpwstr>C2AA44628D054D7BA7FB224EF9ED40CA_13</vt:lpwstr>
  </property>
</Properties>
</file>