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EC151">
      <w:pPr>
        <w:pStyle w:val="7"/>
        <w:tabs>
          <w:tab w:val="center" w:pos="7230"/>
          <w:tab w:val="clear" w:pos="4678"/>
        </w:tabs>
        <w:ind w:left="283" w:leftChars="135"/>
        <w:rPr>
          <w:rFonts w:cs="Times New Roman"/>
        </w:rPr>
      </w:pPr>
      <w:bookmarkStart w:id="0" w:name="_GoBack"/>
      <w:r>
        <w:rPr>
          <w:rFonts w:cs="Times New Roman"/>
        </w:rPr>
        <w:t xml:space="preserve">F300                       </w:t>
      </w:r>
      <w:r>
        <w:rPr>
          <w:rFonts w:hint="eastAsia" w:cs="Times New Roman"/>
        </w:rPr>
        <w:t>非居民</w:t>
      </w:r>
      <w:r>
        <w:rPr>
          <w:rFonts w:hint="eastAsia"/>
        </w:rPr>
        <w:t>企业机构、场所汇总缴纳所得税税款分配表</w:t>
      </w:r>
    </w:p>
    <w:bookmarkEnd w:id="0"/>
    <w:tbl>
      <w:tblPr>
        <w:tblStyle w:val="4"/>
        <w:tblW w:w="14179" w:type="dxa"/>
        <w:jc w:val="center"/>
        <w:tblLayout w:type="fixed"/>
        <w:tblCellMar>
          <w:top w:w="0" w:type="dxa"/>
          <w:left w:w="108" w:type="dxa"/>
          <w:bottom w:w="0" w:type="dxa"/>
          <w:right w:w="108" w:type="dxa"/>
        </w:tblCellMar>
      </w:tblPr>
      <w:tblGrid>
        <w:gridCol w:w="1024"/>
        <w:gridCol w:w="2552"/>
        <w:gridCol w:w="895"/>
        <w:gridCol w:w="1234"/>
        <w:gridCol w:w="139"/>
        <w:gridCol w:w="1417"/>
        <w:gridCol w:w="1559"/>
        <w:gridCol w:w="1560"/>
        <w:gridCol w:w="1417"/>
        <w:gridCol w:w="2382"/>
      </w:tblGrid>
      <w:tr w14:paraId="5909002B">
        <w:tblPrEx>
          <w:tblCellMar>
            <w:top w:w="0" w:type="dxa"/>
            <w:left w:w="108" w:type="dxa"/>
            <w:bottom w:w="0" w:type="dxa"/>
            <w:right w:w="108" w:type="dxa"/>
          </w:tblCellMar>
        </w:tblPrEx>
        <w:trPr>
          <w:trHeight w:val="285" w:hRule="atLeast"/>
          <w:jc w:val="center"/>
        </w:trPr>
        <w:tc>
          <w:tcPr>
            <w:tcW w:w="14179" w:type="dxa"/>
            <w:gridSpan w:val="10"/>
            <w:tcBorders>
              <w:top w:val="nil"/>
              <w:left w:val="nil"/>
              <w:bottom w:val="nil"/>
              <w:right w:val="nil"/>
            </w:tcBorders>
            <w:noWrap w:val="0"/>
            <w:vAlign w:val="center"/>
          </w:tcPr>
          <w:p w14:paraId="7364A2E9">
            <w:pPr>
              <w:jc w:val="center"/>
              <w:rPr>
                <w:rFonts w:ascii="宋体" w:hAnsi="宋体"/>
                <w:sz w:val="20"/>
                <w:szCs w:val="20"/>
              </w:rPr>
            </w:pPr>
            <w:r>
              <w:rPr>
                <w:rFonts w:hint="eastAsia" w:ascii="宋体" w:hAnsi="宋体" w:cs="宋体"/>
                <w:sz w:val="20"/>
                <w:szCs w:val="20"/>
              </w:rPr>
              <w:t>税款所属期间：</w:t>
            </w:r>
            <w:r>
              <w:rPr>
                <w:rFonts w:ascii="宋体" w:hAnsi="宋体" w:cs="宋体"/>
                <w:sz w:val="20"/>
                <w:szCs w:val="20"/>
              </w:rPr>
              <w:t xml:space="preserve">  </w:t>
            </w:r>
            <w:r>
              <w:rPr>
                <w:rFonts w:hint="eastAsia" w:ascii="宋体" w:hAnsi="宋体" w:cs="宋体"/>
                <w:sz w:val="20"/>
                <w:szCs w:val="20"/>
              </w:rPr>
              <w:t>年</w:t>
            </w:r>
            <w:r>
              <w:rPr>
                <w:rFonts w:ascii="宋体" w:hAnsi="宋体" w:cs="宋体"/>
                <w:sz w:val="20"/>
                <w:szCs w:val="20"/>
              </w:rPr>
              <w:t xml:space="preserve">  </w:t>
            </w:r>
            <w:r>
              <w:rPr>
                <w:rFonts w:hint="eastAsia" w:ascii="宋体" w:hAnsi="宋体" w:cs="宋体"/>
                <w:sz w:val="20"/>
                <w:szCs w:val="20"/>
              </w:rPr>
              <w:t>月</w:t>
            </w:r>
            <w:r>
              <w:rPr>
                <w:rFonts w:ascii="宋体" w:hAnsi="宋体" w:cs="宋体"/>
                <w:sz w:val="20"/>
                <w:szCs w:val="20"/>
              </w:rPr>
              <w:t xml:space="preserve">  </w:t>
            </w:r>
            <w:r>
              <w:rPr>
                <w:rFonts w:hint="eastAsia" w:ascii="宋体" w:hAnsi="宋体" w:cs="宋体"/>
                <w:sz w:val="20"/>
                <w:szCs w:val="20"/>
              </w:rPr>
              <w:t>日至</w:t>
            </w:r>
            <w:r>
              <w:rPr>
                <w:rFonts w:ascii="宋体" w:hAnsi="宋体" w:cs="宋体"/>
                <w:sz w:val="20"/>
                <w:szCs w:val="20"/>
              </w:rPr>
              <w:t xml:space="preserve">  </w:t>
            </w:r>
            <w:r>
              <w:rPr>
                <w:rFonts w:hint="eastAsia" w:ascii="宋体" w:hAnsi="宋体" w:cs="宋体"/>
                <w:sz w:val="20"/>
                <w:szCs w:val="20"/>
              </w:rPr>
              <w:t>年</w:t>
            </w:r>
            <w:r>
              <w:rPr>
                <w:rFonts w:ascii="宋体" w:hAnsi="宋体" w:cs="宋体"/>
                <w:sz w:val="20"/>
                <w:szCs w:val="20"/>
              </w:rPr>
              <w:t xml:space="preserve">  </w:t>
            </w:r>
            <w:r>
              <w:rPr>
                <w:rFonts w:hint="eastAsia" w:ascii="宋体" w:hAnsi="宋体" w:cs="宋体"/>
                <w:sz w:val="20"/>
                <w:szCs w:val="20"/>
              </w:rPr>
              <w:t>月</w:t>
            </w:r>
            <w:r>
              <w:rPr>
                <w:rFonts w:ascii="宋体" w:hAnsi="宋体" w:cs="宋体"/>
                <w:sz w:val="20"/>
                <w:szCs w:val="20"/>
              </w:rPr>
              <w:t xml:space="preserve">  </w:t>
            </w:r>
            <w:r>
              <w:rPr>
                <w:rFonts w:hint="eastAsia" w:ascii="宋体" w:hAnsi="宋体" w:cs="宋体"/>
                <w:sz w:val="20"/>
                <w:szCs w:val="20"/>
              </w:rPr>
              <w:t>日</w:t>
            </w:r>
          </w:p>
        </w:tc>
      </w:tr>
      <w:tr w14:paraId="22B2DA1C">
        <w:tblPrEx>
          <w:tblCellMar>
            <w:top w:w="0" w:type="dxa"/>
            <w:left w:w="108" w:type="dxa"/>
            <w:bottom w:w="0" w:type="dxa"/>
            <w:right w:w="108" w:type="dxa"/>
          </w:tblCellMar>
        </w:tblPrEx>
        <w:trPr>
          <w:trHeight w:val="315" w:hRule="atLeast"/>
          <w:jc w:val="center"/>
        </w:trPr>
        <w:tc>
          <w:tcPr>
            <w:tcW w:w="4471" w:type="dxa"/>
            <w:gridSpan w:val="3"/>
            <w:tcBorders>
              <w:top w:val="nil"/>
              <w:left w:val="nil"/>
              <w:bottom w:val="nil"/>
              <w:right w:val="nil"/>
            </w:tcBorders>
            <w:noWrap/>
            <w:vAlign w:val="center"/>
          </w:tcPr>
          <w:p w14:paraId="35C0688A">
            <w:pPr>
              <w:jc w:val="left"/>
              <w:rPr>
                <w:rFonts w:ascii="宋体" w:hAnsi="宋体"/>
                <w:sz w:val="20"/>
                <w:szCs w:val="20"/>
              </w:rPr>
            </w:pPr>
            <w:r>
              <w:rPr>
                <w:rFonts w:hint="eastAsia" w:ascii="宋体" w:hAnsi="宋体" w:cs="宋体"/>
                <w:sz w:val="20"/>
                <w:szCs w:val="20"/>
              </w:rPr>
              <w:t>主要机构、场所名称</w:t>
            </w:r>
            <w:r>
              <w:rPr>
                <w:rFonts w:ascii="宋体" w:hAnsi="宋体" w:cs="宋体"/>
                <w:sz w:val="24"/>
              </w:rPr>
              <w:t xml:space="preserve">:                                                                   </w:t>
            </w:r>
          </w:p>
        </w:tc>
        <w:tc>
          <w:tcPr>
            <w:tcW w:w="1234" w:type="dxa"/>
            <w:tcBorders>
              <w:top w:val="nil"/>
              <w:left w:val="nil"/>
              <w:bottom w:val="nil"/>
              <w:right w:val="nil"/>
            </w:tcBorders>
            <w:noWrap/>
            <w:vAlign w:val="center"/>
          </w:tcPr>
          <w:p w14:paraId="05347A03">
            <w:pPr>
              <w:jc w:val="left"/>
              <w:rPr>
                <w:rFonts w:ascii="宋体" w:hAnsi="宋体"/>
                <w:sz w:val="20"/>
                <w:szCs w:val="20"/>
              </w:rPr>
            </w:pPr>
          </w:p>
        </w:tc>
        <w:tc>
          <w:tcPr>
            <w:tcW w:w="4675" w:type="dxa"/>
            <w:gridSpan w:val="4"/>
            <w:tcBorders>
              <w:top w:val="nil"/>
              <w:left w:val="nil"/>
              <w:bottom w:val="nil"/>
              <w:right w:val="nil"/>
            </w:tcBorders>
            <w:noWrap/>
            <w:vAlign w:val="center"/>
          </w:tcPr>
          <w:p w14:paraId="7119106F">
            <w:pPr>
              <w:jc w:val="left"/>
              <w:rPr>
                <w:rFonts w:ascii="宋体" w:hAnsi="宋体"/>
                <w:sz w:val="20"/>
                <w:szCs w:val="20"/>
              </w:rPr>
            </w:pPr>
          </w:p>
        </w:tc>
        <w:tc>
          <w:tcPr>
            <w:tcW w:w="3799" w:type="dxa"/>
            <w:gridSpan w:val="2"/>
            <w:tcBorders>
              <w:top w:val="nil"/>
              <w:left w:val="nil"/>
              <w:bottom w:val="nil"/>
              <w:right w:val="nil"/>
            </w:tcBorders>
            <w:noWrap/>
            <w:vAlign w:val="center"/>
          </w:tcPr>
          <w:p w14:paraId="7C6F53AC">
            <w:pPr>
              <w:jc w:val="center"/>
              <w:rPr>
                <w:rFonts w:ascii="宋体" w:hAnsi="宋体"/>
                <w:sz w:val="20"/>
                <w:szCs w:val="20"/>
              </w:rPr>
            </w:pPr>
          </w:p>
        </w:tc>
      </w:tr>
      <w:tr w14:paraId="344C2566">
        <w:tblPrEx>
          <w:tblCellMar>
            <w:top w:w="0" w:type="dxa"/>
            <w:left w:w="108" w:type="dxa"/>
            <w:bottom w:w="0" w:type="dxa"/>
            <w:right w:w="108" w:type="dxa"/>
          </w:tblCellMar>
        </w:tblPrEx>
        <w:trPr>
          <w:trHeight w:val="285" w:hRule="atLeast"/>
          <w:jc w:val="center"/>
        </w:trPr>
        <w:tc>
          <w:tcPr>
            <w:tcW w:w="5844" w:type="dxa"/>
            <w:gridSpan w:val="5"/>
            <w:tcBorders>
              <w:top w:val="nil"/>
              <w:left w:val="nil"/>
              <w:bottom w:val="single" w:color="auto" w:sz="12" w:space="0"/>
              <w:right w:val="nil"/>
            </w:tcBorders>
            <w:noWrap/>
            <w:vAlign w:val="center"/>
          </w:tcPr>
          <w:p w14:paraId="1E4CA96A">
            <w:pPr>
              <w:jc w:val="left"/>
              <w:rPr>
                <w:rFonts w:ascii="宋体" w:hAnsi="宋体"/>
                <w:sz w:val="20"/>
                <w:szCs w:val="20"/>
              </w:rPr>
            </w:pPr>
            <w:r>
              <w:rPr>
                <w:rFonts w:hint="eastAsia" w:ascii="宋体" w:hAnsi="宋体" w:cs="宋体"/>
                <w:sz w:val="20"/>
                <w:szCs w:val="20"/>
              </w:rPr>
              <w:t>主要机构、场所纳税人识别号（统一社会信用代码）：</w:t>
            </w:r>
          </w:p>
        </w:tc>
        <w:tc>
          <w:tcPr>
            <w:tcW w:w="4536" w:type="dxa"/>
            <w:gridSpan w:val="3"/>
            <w:tcBorders>
              <w:top w:val="nil"/>
              <w:left w:val="nil"/>
              <w:bottom w:val="single" w:color="auto" w:sz="12" w:space="0"/>
              <w:right w:val="nil"/>
            </w:tcBorders>
            <w:noWrap/>
            <w:vAlign w:val="center"/>
          </w:tcPr>
          <w:p w14:paraId="2A83D1CB">
            <w:pPr>
              <w:jc w:val="left"/>
              <w:rPr>
                <w:rFonts w:ascii="宋体" w:hAnsi="宋体"/>
                <w:sz w:val="20"/>
                <w:szCs w:val="20"/>
              </w:rPr>
            </w:pPr>
            <w:r>
              <w:rPr>
                <w:rFonts w:hint="eastAsia" w:ascii="宋体" w:hAnsi="宋体" w:cs="宋体"/>
                <w:sz w:val="20"/>
                <w:szCs w:val="20"/>
              </w:rPr>
              <w:t>　</w:t>
            </w:r>
          </w:p>
        </w:tc>
        <w:tc>
          <w:tcPr>
            <w:tcW w:w="3799" w:type="dxa"/>
            <w:gridSpan w:val="2"/>
            <w:tcBorders>
              <w:top w:val="nil"/>
              <w:left w:val="nil"/>
              <w:bottom w:val="single" w:color="auto" w:sz="12" w:space="0"/>
              <w:right w:val="nil"/>
            </w:tcBorders>
            <w:noWrap/>
            <w:vAlign w:val="center"/>
          </w:tcPr>
          <w:p w14:paraId="3E36F364">
            <w:pPr>
              <w:jc w:val="center"/>
              <w:rPr>
                <w:rFonts w:ascii="宋体" w:hAnsi="宋体"/>
                <w:sz w:val="20"/>
                <w:szCs w:val="20"/>
              </w:rPr>
            </w:pPr>
            <w:r>
              <w:rPr>
                <w:rFonts w:hint="eastAsia" w:ascii="宋体" w:hAnsi="宋体" w:cs="宋体"/>
                <w:sz w:val="20"/>
                <w:szCs w:val="20"/>
              </w:rPr>
              <w:t>金额单位</w:t>
            </w:r>
            <w:r>
              <w:rPr>
                <w:rFonts w:ascii="宋体" w:hAnsi="宋体" w:cs="宋体"/>
                <w:sz w:val="20"/>
                <w:szCs w:val="20"/>
              </w:rPr>
              <w:t xml:space="preserve">: </w:t>
            </w:r>
            <w:r>
              <w:rPr>
                <w:rFonts w:hint="eastAsia" w:ascii="宋体" w:hAnsi="宋体" w:cs="宋体"/>
                <w:sz w:val="20"/>
                <w:szCs w:val="20"/>
              </w:rPr>
              <w:t>元（列至角分）</w:t>
            </w:r>
          </w:p>
        </w:tc>
      </w:tr>
      <w:tr w14:paraId="14DCF22F">
        <w:tblPrEx>
          <w:tblCellMar>
            <w:top w:w="0" w:type="dxa"/>
            <w:left w:w="108" w:type="dxa"/>
            <w:bottom w:w="0" w:type="dxa"/>
            <w:right w:w="108" w:type="dxa"/>
          </w:tblCellMar>
        </w:tblPrEx>
        <w:trPr>
          <w:trHeight w:val="270" w:hRule="atLeast"/>
          <w:jc w:val="center"/>
        </w:trPr>
        <w:tc>
          <w:tcPr>
            <w:tcW w:w="3576" w:type="dxa"/>
            <w:gridSpan w:val="2"/>
            <w:tcBorders>
              <w:top w:val="single" w:color="auto" w:sz="12" w:space="0"/>
              <w:left w:val="single" w:color="auto" w:sz="12" w:space="0"/>
              <w:bottom w:val="single" w:color="auto" w:sz="6" w:space="0"/>
              <w:right w:val="single" w:color="auto" w:sz="6" w:space="0"/>
            </w:tcBorders>
            <w:noWrap w:val="0"/>
            <w:vAlign w:val="center"/>
          </w:tcPr>
          <w:p w14:paraId="6CE12DF5">
            <w:pPr>
              <w:jc w:val="center"/>
              <w:rPr>
                <w:rFonts w:ascii="宋体" w:hAnsi="宋体"/>
                <w:sz w:val="20"/>
                <w:szCs w:val="20"/>
              </w:rPr>
            </w:pPr>
            <w:r>
              <w:rPr>
                <w:rFonts w:hint="eastAsia" w:ascii="宋体" w:hAnsi="宋体" w:cs="宋体"/>
                <w:kern w:val="0"/>
                <w:sz w:val="20"/>
                <w:szCs w:val="20"/>
              </w:rPr>
              <w:t>可分摊所得税额</w:t>
            </w:r>
          </w:p>
        </w:tc>
        <w:tc>
          <w:tcPr>
            <w:tcW w:w="2268" w:type="dxa"/>
            <w:gridSpan w:val="3"/>
            <w:tcBorders>
              <w:top w:val="single" w:color="auto" w:sz="12" w:space="0"/>
              <w:left w:val="single" w:color="auto" w:sz="6" w:space="0"/>
              <w:bottom w:val="single" w:color="auto" w:sz="6" w:space="0"/>
              <w:right w:val="single" w:color="auto" w:sz="6" w:space="0"/>
            </w:tcBorders>
            <w:noWrap/>
            <w:vAlign w:val="center"/>
          </w:tcPr>
          <w:p w14:paraId="5CB232D8">
            <w:pPr>
              <w:jc w:val="center"/>
              <w:rPr>
                <w:rFonts w:ascii="宋体" w:hAnsi="宋体" w:cs="宋体"/>
                <w:sz w:val="20"/>
                <w:szCs w:val="20"/>
              </w:rPr>
            </w:pPr>
            <w:r>
              <w:rPr>
                <w:rFonts w:hint="eastAsia" w:ascii="宋体" w:hAnsi="宋体" w:cs="宋体"/>
                <w:sz w:val="20"/>
                <w:szCs w:val="20"/>
              </w:rPr>
              <w:t>主要机构、场所</w:t>
            </w:r>
          </w:p>
          <w:p w14:paraId="4BC38A13">
            <w:pPr>
              <w:jc w:val="center"/>
              <w:rPr>
                <w:rFonts w:ascii="宋体" w:hAnsi="宋体" w:cs="宋体"/>
                <w:sz w:val="20"/>
                <w:szCs w:val="20"/>
              </w:rPr>
            </w:pPr>
            <w:r>
              <w:rPr>
                <w:rFonts w:hint="eastAsia" w:ascii="宋体" w:hAnsi="宋体" w:cs="宋体"/>
                <w:sz w:val="20"/>
                <w:szCs w:val="20"/>
              </w:rPr>
              <w:t>直接分摊所得税额</w:t>
            </w:r>
          </w:p>
          <w:p w14:paraId="040CB490">
            <w:pPr>
              <w:rPr>
                <w:rFonts w:ascii="宋体" w:hAnsi="宋体"/>
                <w:sz w:val="20"/>
                <w:szCs w:val="20"/>
              </w:rPr>
            </w:pPr>
          </w:p>
        </w:tc>
        <w:tc>
          <w:tcPr>
            <w:tcW w:w="4536" w:type="dxa"/>
            <w:gridSpan w:val="3"/>
            <w:tcBorders>
              <w:top w:val="single" w:color="auto" w:sz="12" w:space="0"/>
              <w:left w:val="single" w:color="auto" w:sz="6" w:space="0"/>
              <w:bottom w:val="single" w:color="auto" w:sz="6" w:space="0"/>
              <w:right w:val="single" w:color="auto" w:sz="6" w:space="0"/>
            </w:tcBorders>
            <w:noWrap w:val="0"/>
            <w:vAlign w:val="center"/>
          </w:tcPr>
          <w:p w14:paraId="3691E6B3">
            <w:pPr>
              <w:jc w:val="center"/>
              <w:rPr>
                <w:rFonts w:ascii="宋体" w:hAnsi="宋体"/>
                <w:sz w:val="20"/>
                <w:szCs w:val="20"/>
              </w:rPr>
            </w:pPr>
            <w:r>
              <w:rPr>
                <w:rFonts w:hint="eastAsia" w:ascii="宋体" w:hAnsi="宋体" w:cs="宋体"/>
                <w:sz w:val="20"/>
                <w:szCs w:val="20"/>
              </w:rPr>
              <w:t>主要机构、场所财政集中分配所得税额</w:t>
            </w:r>
          </w:p>
        </w:tc>
        <w:tc>
          <w:tcPr>
            <w:tcW w:w="3799" w:type="dxa"/>
            <w:gridSpan w:val="2"/>
            <w:tcBorders>
              <w:top w:val="single" w:color="auto" w:sz="12" w:space="0"/>
              <w:left w:val="single" w:color="auto" w:sz="6" w:space="0"/>
              <w:bottom w:val="single" w:color="auto" w:sz="6" w:space="0"/>
              <w:right w:val="single" w:color="auto" w:sz="12" w:space="0"/>
            </w:tcBorders>
            <w:noWrap w:val="0"/>
            <w:vAlign w:val="center"/>
          </w:tcPr>
          <w:p w14:paraId="748035F2">
            <w:pPr>
              <w:jc w:val="center"/>
              <w:rPr>
                <w:rFonts w:ascii="宋体" w:hAnsi="宋体"/>
                <w:sz w:val="20"/>
                <w:szCs w:val="20"/>
              </w:rPr>
            </w:pPr>
            <w:r>
              <w:rPr>
                <w:rFonts w:hint="eastAsia" w:ascii="宋体" w:hAnsi="宋体" w:cs="宋体"/>
                <w:sz w:val="20"/>
                <w:szCs w:val="20"/>
              </w:rPr>
              <w:t>主体生产经营业务分摊所得税额</w:t>
            </w:r>
          </w:p>
        </w:tc>
      </w:tr>
      <w:tr w14:paraId="594FD5C5">
        <w:tblPrEx>
          <w:tblCellMar>
            <w:top w:w="0" w:type="dxa"/>
            <w:left w:w="108" w:type="dxa"/>
            <w:bottom w:w="0" w:type="dxa"/>
            <w:right w:w="108" w:type="dxa"/>
          </w:tblCellMar>
        </w:tblPrEx>
        <w:trPr>
          <w:trHeight w:val="456" w:hRule="atLeast"/>
          <w:jc w:val="center"/>
        </w:trPr>
        <w:tc>
          <w:tcPr>
            <w:tcW w:w="3576" w:type="dxa"/>
            <w:gridSpan w:val="2"/>
            <w:tcBorders>
              <w:top w:val="single" w:color="auto" w:sz="6" w:space="0"/>
              <w:left w:val="single" w:color="auto" w:sz="12" w:space="0"/>
              <w:bottom w:val="single" w:color="auto" w:sz="12" w:space="0"/>
              <w:right w:val="single" w:color="auto" w:sz="6" w:space="0"/>
            </w:tcBorders>
            <w:noWrap w:val="0"/>
            <w:vAlign w:val="center"/>
          </w:tcPr>
          <w:p w14:paraId="1869001F">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12" w:space="0"/>
              <w:right w:val="single" w:color="auto" w:sz="6" w:space="0"/>
            </w:tcBorders>
            <w:noWrap w:val="0"/>
            <w:vAlign w:val="center"/>
          </w:tcPr>
          <w:p w14:paraId="37F52D72">
            <w:pPr>
              <w:jc w:val="center"/>
              <w:rPr>
                <w:rFonts w:ascii="宋体" w:hAnsi="宋体"/>
                <w:sz w:val="20"/>
                <w:szCs w:val="20"/>
              </w:rPr>
            </w:pPr>
          </w:p>
        </w:tc>
        <w:tc>
          <w:tcPr>
            <w:tcW w:w="4536" w:type="dxa"/>
            <w:gridSpan w:val="3"/>
            <w:tcBorders>
              <w:top w:val="single" w:color="auto" w:sz="6" w:space="0"/>
              <w:left w:val="single" w:color="auto" w:sz="6" w:space="0"/>
              <w:bottom w:val="single" w:color="auto" w:sz="12" w:space="0"/>
              <w:right w:val="single" w:color="auto" w:sz="6" w:space="0"/>
            </w:tcBorders>
            <w:noWrap w:val="0"/>
            <w:vAlign w:val="center"/>
          </w:tcPr>
          <w:p w14:paraId="3E7D46BC">
            <w:pPr>
              <w:jc w:val="center"/>
              <w:rPr>
                <w:rFonts w:ascii="宋体" w:hAnsi="宋体"/>
                <w:sz w:val="20"/>
                <w:szCs w:val="20"/>
              </w:rPr>
            </w:pPr>
          </w:p>
        </w:tc>
        <w:tc>
          <w:tcPr>
            <w:tcW w:w="3799" w:type="dxa"/>
            <w:gridSpan w:val="2"/>
            <w:tcBorders>
              <w:top w:val="single" w:color="auto" w:sz="6" w:space="0"/>
              <w:left w:val="single" w:color="auto" w:sz="6" w:space="0"/>
              <w:bottom w:val="single" w:color="auto" w:sz="12" w:space="0"/>
              <w:right w:val="single" w:color="auto" w:sz="12" w:space="0"/>
            </w:tcBorders>
            <w:noWrap w:val="0"/>
            <w:vAlign w:val="center"/>
          </w:tcPr>
          <w:p w14:paraId="6F2B2B9C">
            <w:pPr>
              <w:jc w:val="center"/>
              <w:rPr>
                <w:rFonts w:ascii="宋体" w:hAnsi="宋体"/>
                <w:sz w:val="20"/>
                <w:szCs w:val="20"/>
              </w:rPr>
            </w:pPr>
            <w:r>
              <w:rPr>
                <w:rFonts w:hint="eastAsia" w:ascii="宋体" w:hAnsi="宋体" w:cs="宋体"/>
                <w:sz w:val="20"/>
                <w:szCs w:val="20"/>
              </w:rPr>
              <w:t>　</w:t>
            </w:r>
          </w:p>
        </w:tc>
      </w:tr>
      <w:tr w14:paraId="7EE10AD6">
        <w:tblPrEx>
          <w:tblCellMar>
            <w:top w:w="0" w:type="dxa"/>
            <w:left w:w="108" w:type="dxa"/>
            <w:bottom w:w="0" w:type="dxa"/>
            <w:right w:w="108" w:type="dxa"/>
          </w:tblCellMar>
        </w:tblPrEx>
        <w:trPr>
          <w:trHeight w:val="270" w:hRule="atLeast"/>
          <w:jc w:val="center"/>
        </w:trPr>
        <w:tc>
          <w:tcPr>
            <w:tcW w:w="1024" w:type="dxa"/>
            <w:vMerge w:val="restart"/>
            <w:tcBorders>
              <w:top w:val="single" w:color="auto" w:sz="12" w:space="0"/>
              <w:left w:val="single" w:color="auto" w:sz="12" w:space="0"/>
              <w:bottom w:val="single" w:color="auto" w:sz="6" w:space="0"/>
              <w:right w:val="single" w:color="auto" w:sz="6" w:space="0"/>
            </w:tcBorders>
            <w:noWrap w:val="0"/>
            <w:textDirection w:val="tbRlV"/>
            <w:vAlign w:val="top"/>
          </w:tcPr>
          <w:p w14:paraId="74C0187D">
            <w:pPr>
              <w:jc w:val="center"/>
              <w:rPr>
                <w:rFonts w:hint="eastAsia" w:ascii="宋体" w:hAnsi="宋体" w:cs="宋体"/>
                <w:sz w:val="20"/>
                <w:szCs w:val="20"/>
              </w:rPr>
            </w:pPr>
            <w:r>
              <w:rPr>
                <w:rFonts w:hint="eastAsia" w:ascii="宋体" w:hAnsi="宋体" w:cs="宋体"/>
                <w:sz w:val="20"/>
                <w:szCs w:val="20"/>
              </w:rPr>
              <w:t>分摊所得税情况</w:t>
            </w:r>
          </w:p>
          <w:p w14:paraId="6EC955D1">
            <w:pPr>
              <w:jc w:val="center"/>
              <w:rPr>
                <w:rFonts w:ascii="宋体" w:hAnsi="宋体"/>
                <w:sz w:val="20"/>
                <w:szCs w:val="20"/>
              </w:rPr>
            </w:pPr>
            <w:r>
              <w:rPr>
                <w:rFonts w:hint="eastAsia" w:ascii="宋体" w:hAnsi="宋体" w:cs="宋体"/>
                <w:sz w:val="20"/>
                <w:szCs w:val="20"/>
              </w:rPr>
              <w:t>主体生产经营业务</w:t>
            </w:r>
          </w:p>
        </w:tc>
        <w:tc>
          <w:tcPr>
            <w:tcW w:w="2552" w:type="dxa"/>
            <w:vMerge w:val="restart"/>
            <w:tcBorders>
              <w:top w:val="single" w:color="auto" w:sz="12" w:space="0"/>
              <w:left w:val="single" w:color="auto" w:sz="6" w:space="0"/>
              <w:bottom w:val="single" w:color="auto" w:sz="6" w:space="0"/>
              <w:right w:val="single" w:color="auto" w:sz="6" w:space="0"/>
            </w:tcBorders>
            <w:noWrap w:val="0"/>
            <w:vAlign w:val="center"/>
          </w:tcPr>
          <w:p w14:paraId="1A4DC7BF">
            <w:pPr>
              <w:jc w:val="center"/>
              <w:rPr>
                <w:rFonts w:ascii="宋体" w:hAnsi="宋体"/>
                <w:sz w:val="20"/>
                <w:szCs w:val="20"/>
              </w:rPr>
            </w:pPr>
            <w:r>
              <w:rPr>
                <w:rFonts w:hint="eastAsia" w:ascii="宋体" w:hAnsi="宋体" w:cs="宋体"/>
                <w:sz w:val="20"/>
                <w:szCs w:val="20"/>
              </w:rPr>
              <w:t>从事主体生产经营业务的机构、场所统一社会信用代码（纳税人识别号）</w:t>
            </w:r>
          </w:p>
        </w:tc>
        <w:tc>
          <w:tcPr>
            <w:tcW w:w="2268" w:type="dxa"/>
            <w:gridSpan w:val="3"/>
            <w:vMerge w:val="restart"/>
            <w:tcBorders>
              <w:top w:val="single" w:color="auto" w:sz="12" w:space="0"/>
              <w:left w:val="single" w:color="auto" w:sz="6" w:space="0"/>
              <w:bottom w:val="single" w:color="auto" w:sz="6" w:space="0"/>
              <w:right w:val="single" w:color="auto" w:sz="6" w:space="0"/>
            </w:tcBorders>
            <w:noWrap w:val="0"/>
            <w:vAlign w:val="center"/>
          </w:tcPr>
          <w:p w14:paraId="4F2FA267">
            <w:pPr>
              <w:jc w:val="center"/>
              <w:rPr>
                <w:rFonts w:ascii="宋体" w:hAnsi="宋体"/>
                <w:sz w:val="20"/>
                <w:szCs w:val="20"/>
              </w:rPr>
            </w:pPr>
            <w:r>
              <w:rPr>
                <w:rFonts w:hint="eastAsia" w:ascii="宋体" w:hAnsi="宋体" w:cs="宋体"/>
                <w:sz w:val="20"/>
                <w:szCs w:val="20"/>
              </w:rPr>
              <w:t>从事主体生产经营业务的机构、场所名称</w:t>
            </w:r>
          </w:p>
        </w:tc>
        <w:tc>
          <w:tcPr>
            <w:tcW w:w="4536" w:type="dxa"/>
            <w:gridSpan w:val="3"/>
            <w:tcBorders>
              <w:top w:val="single" w:color="auto" w:sz="12" w:space="0"/>
              <w:left w:val="single" w:color="auto" w:sz="6" w:space="0"/>
              <w:bottom w:val="single" w:color="auto" w:sz="6" w:space="0"/>
              <w:right w:val="single" w:color="auto" w:sz="6" w:space="0"/>
            </w:tcBorders>
            <w:noWrap/>
            <w:vAlign w:val="center"/>
          </w:tcPr>
          <w:p w14:paraId="65BC02F8">
            <w:pPr>
              <w:jc w:val="center"/>
              <w:rPr>
                <w:rFonts w:ascii="宋体" w:hAnsi="宋体"/>
                <w:sz w:val="20"/>
                <w:szCs w:val="20"/>
              </w:rPr>
            </w:pPr>
            <w:r>
              <w:rPr>
                <w:rFonts w:hint="eastAsia" w:ascii="宋体" w:hAnsi="宋体" w:cs="宋体"/>
                <w:sz w:val="20"/>
                <w:szCs w:val="20"/>
              </w:rPr>
              <w:t>三项因素</w:t>
            </w:r>
          </w:p>
        </w:tc>
        <w:tc>
          <w:tcPr>
            <w:tcW w:w="1417" w:type="dxa"/>
            <w:vMerge w:val="restart"/>
            <w:tcBorders>
              <w:top w:val="single" w:color="auto" w:sz="12" w:space="0"/>
              <w:left w:val="single" w:color="auto" w:sz="6" w:space="0"/>
              <w:bottom w:val="single" w:color="auto" w:sz="6" w:space="0"/>
              <w:right w:val="single" w:color="auto" w:sz="6" w:space="0"/>
            </w:tcBorders>
            <w:noWrap w:val="0"/>
            <w:vAlign w:val="center"/>
          </w:tcPr>
          <w:p w14:paraId="33D3BB17">
            <w:pPr>
              <w:jc w:val="center"/>
              <w:rPr>
                <w:rFonts w:ascii="宋体" w:hAnsi="宋体"/>
                <w:sz w:val="20"/>
                <w:szCs w:val="20"/>
              </w:rPr>
            </w:pPr>
            <w:r>
              <w:rPr>
                <w:rFonts w:hint="eastAsia" w:ascii="宋体" w:hAnsi="宋体" w:cs="宋体"/>
                <w:sz w:val="20"/>
                <w:szCs w:val="20"/>
              </w:rPr>
              <w:t>分配比例</w:t>
            </w:r>
          </w:p>
        </w:tc>
        <w:tc>
          <w:tcPr>
            <w:tcW w:w="2382" w:type="dxa"/>
            <w:vMerge w:val="restart"/>
            <w:tcBorders>
              <w:top w:val="single" w:color="auto" w:sz="12" w:space="0"/>
              <w:left w:val="single" w:color="auto" w:sz="6" w:space="0"/>
              <w:bottom w:val="single" w:color="auto" w:sz="6" w:space="0"/>
              <w:right w:val="single" w:color="auto" w:sz="12" w:space="0"/>
            </w:tcBorders>
            <w:noWrap w:val="0"/>
            <w:vAlign w:val="center"/>
          </w:tcPr>
          <w:p w14:paraId="72ECEABB">
            <w:pPr>
              <w:jc w:val="center"/>
              <w:rPr>
                <w:rFonts w:ascii="宋体" w:hAnsi="宋体"/>
                <w:sz w:val="20"/>
                <w:szCs w:val="20"/>
              </w:rPr>
            </w:pPr>
            <w:r>
              <w:rPr>
                <w:rFonts w:hint="eastAsia" w:ascii="宋体" w:hAnsi="宋体" w:cs="宋体"/>
                <w:sz w:val="20"/>
                <w:szCs w:val="20"/>
              </w:rPr>
              <w:t>分配所得税额</w:t>
            </w:r>
          </w:p>
        </w:tc>
      </w:tr>
      <w:tr w14:paraId="006B124B">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661CEB80">
            <w:pPr>
              <w:jc w:val="left"/>
              <w:rPr>
                <w:rFonts w:ascii="宋体" w:hAnsi="宋体"/>
                <w:sz w:val="20"/>
                <w:szCs w:val="20"/>
              </w:rPr>
            </w:pPr>
          </w:p>
        </w:tc>
        <w:tc>
          <w:tcPr>
            <w:tcW w:w="2552" w:type="dxa"/>
            <w:vMerge w:val="continue"/>
            <w:tcBorders>
              <w:top w:val="single" w:color="auto" w:sz="6" w:space="0"/>
              <w:left w:val="single" w:color="auto" w:sz="6" w:space="0"/>
              <w:bottom w:val="single" w:color="auto" w:sz="6" w:space="0"/>
              <w:right w:val="single" w:color="auto" w:sz="6" w:space="0"/>
            </w:tcBorders>
            <w:noWrap w:val="0"/>
            <w:vAlign w:val="center"/>
          </w:tcPr>
          <w:p w14:paraId="5F813582">
            <w:pPr>
              <w:jc w:val="left"/>
              <w:rPr>
                <w:rFonts w:ascii="宋体" w:hAnsi="宋体"/>
                <w:sz w:val="20"/>
                <w:szCs w:val="20"/>
              </w:rPr>
            </w:pPr>
          </w:p>
        </w:tc>
        <w:tc>
          <w:tcPr>
            <w:tcW w:w="2268" w:type="dxa"/>
            <w:gridSpan w:val="3"/>
            <w:vMerge w:val="continue"/>
            <w:tcBorders>
              <w:top w:val="single" w:color="auto" w:sz="6" w:space="0"/>
              <w:left w:val="single" w:color="auto" w:sz="6" w:space="0"/>
              <w:bottom w:val="single" w:color="auto" w:sz="6" w:space="0"/>
              <w:right w:val="single" w:color="auto" w:sz="6" w:space="0"/>
            </w:tcBorders>
            <w:noWrap w:val="0"/>
            <w:vAlign w:val="center"/>
          </w:tcPr>
          <w:p w14:paraId="6D23AD1E">
            <w:pPr>
              <w:jc w:val="left"/>
              <w:rPr>
                <w:rFonts w:ascii="宋体" w:hAnsi="宋体"/>
                <w:sz w:val="20"/>
                <w:szCs w:val="20"/>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2ED8DD3">
            <w:pPr>
              <w:jc w:val="center"/>
              <w:rPr>
                <w:rFonts w:ascii="宋体" w:hAnsi="宋体"/>
                <w:sz w:val="20"/>
                <w:szCs w:val="20"/>
              </w:rPr>
            </w:pPr>
            <w:r>
              <w:rPr>
                <w:rFonts w:hint="eastAsia" w:ascii="宋体" w:hAnsi="宋体" w:cs="宋体"/>
                <w:sz w:val="20"/>
                <w:szCs w:val="20"/>
              </w:rPr>
              <w:t>营业收入</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1C79A5A0">
            <w:pPr>
              <w:jc w:val="center"/>
              <w:rPr>
                <w:rFonts w:ascii="宋体" w:hAnsi="宋体"/>
                <w:sz w:val="20"/>
                <w:szCs w:val="20"/>
              </w:rPr>
            </w:pPr>
            <w:r>
              <w:rPr>
                <w:rFonts w:hint="eastAsia" w:ascii="宋体" w:hAnsi="宋体" w:cs="宋体"/>
                <w:sz w:val="20"/>
                <w:szCs w:val="20"/>
              </w:rPr>
              <w:t>职工薪酬</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885EBD5">
            <w:pPr>
              <w:jc w:val="center"/>
              <w:rPr>
                <w:rFonts w:ascii="宋体" w:hAnsi="宋体"/>
                <w:sz w:val="20"/>
                <w:szCs w:val="20"/>
              </w:rPr>
            </w:pPr>
            <w:r>
              <w:rPr>
                <w:rFonts w:hint="eastAsia" w:ascii="宋体" w:hAnsi="宋体" w:cs="宋体"/>
                <w:sz w:val="20"/>
                <w:szCs w:val="20"/>
              </w:rPr>
              <w:t>资产总额</w:t>
            </w:r>
          </w:p>
        </w:tc>
        <w:tc>
          <w:tcPr>
            <w:tcW w:w="1417" w:type="dxa"/>
            <w:vMerge w:val="continue"/>
            <w:tcBorders>
              <w:top w:val="single" w:color="auto" w:sz="6" w:space="0"/>
              <w:left w:val="single" w:color="auto" w:sz="6" w:space="0"/>
              <w:bottom w:val="single" w:color="auto" w:sz="6" w:space="0"/>
              <w:right w:val="single" w:color="auto" w:sz="6" w:space="0"/>
            </w:tcBorders>
            <w:noWrap w:val="0"/>
            <w:vAlign w:val="center"/>
          </w:tcPr>
          <w:p w14:paraId="1E5AA510">
            <w:pPr>
              <w:jc w:val="left"/>
              <w:rPr>
                <w:rFonts w:ascii="宋体" w:hAnsi="宋体"/>
                <w:sz w:val="20"/>
                <w:szCs w:val="20"/>
              </w:rPr>
            </w:pPr>
          </w:p>
        </w:tc>
        <w:tc>
          <w:tcPr>
            <w:tcW w:w="2382" w:type="dxa"/>
            <w:vMerge w:val="continue"/>
            <w:tcBorders>
              <w:top w:val="single" w:color="auto" w:sz="6" w:space="0"/>
              <w:left w:val="single" w:color="auto" w:sz="6" w:space="0"/>
              <w:bottom w:val="single" w:color="auto" w:sz="6" w:space="0"/>
              <w:right w:val="single" w:color="auto" w:sz="12" w:space="0"/>
            </w:tcBorders>
            <w:noWrap w:val="0"/>
            <w:vAlign w:val="center"/>
          </w:tcPr>
          <w:p w14:paraId="7222393B">
            <w:pPr>
              <w:jc w:val="left"/>
              <w:rPr>
                <w:rFonts w:ascii="宋体" w:hAnsi="宋体"/>
                <w:sz w:val="20"/>
                <w:szCs w:val="20"/>
              </w:rPr>
            </w:pPr>
          </w:p>
        </w:tc>
      </w:tr>
      <w:tr w14:paraId="0C895E8A">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57123C89">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14:paraId="76DC4302">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noWrap w:val="0"/>
            <w:vAlign w:val="center"/>
          </w:tcPr>
          <w:p w14:paraId="601CE799">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3060727">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060B0108">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76B90A75">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9778780">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0"/>
            <w:vAlign w:val="center"/>
          </w:tcPr>
          <w:p w14:paraId="198BF580">
            <w:pPr>
              <w:jc w:val="center"/>
              <w:rPr>
                <w:rFonts w:ascii="宋体" w:hAnsi="宋体"/>
                <w:sz w:val="20"/>
                <w:szCs w:val="20"/>
              </w:rPr>
            </w:pPr>
            <w:r>
              <w:rPr>
                <w:rFonts w:hint="eastAsia" w:ascii="宋体" w:hAnsi="宋体" w:cs="宋体"/>
                <w:sz w:val="20"/>
                <w:szCs w:val="20"/>
              </w:rPr>
              <w:t>　</w:t>
            </w:r>
          </w:p>
        </w:tc>
      </w:tr>
      <w:tr w14:paraId="744E823B">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28FFAFF2">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14:paraId="590D8606">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noWrap w:val="0"/>
            <w:vAlign w:val="center"/>
          </w:tcPr>
          <w:p w14:paraId="0B3CAE39">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1C13B7B">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0"/>
            <w:vAlign w:val="center"/>
          </w:tcPr>
          <w:p w14:paraId="50389D8C">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7B6BCB90">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0"/>
            <w:vAlign w:val="center"/>
          </w:tcPr>
          <w:p w14:paraId="6B13216C">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0"/>
            <w:vAlign w:val="center"/>
          </w:tcPr>
          <w:p w14:paraId="7CEFB9A3">
            <w:pPr>
              <w:jc w:val="center"/>
              <w:rPr>
                <w:rFonts w:ascii="宋体" w:hAnsi="宋体"/>
                <w:sz w:val="20"/>
                <w:szCs w:val="20"/>
              </w:rPr>
            </w:pPr>
            <w:r>
              <w:rPr>
                <w:rFonts w:hint="eastAsia" w:ascii="宋体" w:hAnsi="宋体" w:cs="宋体"/>
                <w:sz w:val="20"/>
                <w:szCs w:val="20"/>
              </w:rPr>
              <w:t>　</w:t>
            </w:r>
          </w:p>
        </w:tc>
      </w:tr>
      <w:tr w14:paraId="17740EE4">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073353F5">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0"/>
            <w:vAlign w:val="center"/>
          </w:tcPr>
          <w:p w14:paraId="46108923">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noWrap/>
            <w:vAlign w:val="center"/>
          </w:tcPr>
          <w:p w14:paraId="06347040">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0AAFCB58">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ign w:val="center"/>
          </w:tcPr>
          <w:p w14:paraId="18A5D597">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4FF6FF07">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2C25C12F">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ign w:val="center"/>
          </w:tcPr>
          <w:p w14:paraId="281B7A70">
            <w:pPr>
              <w:jc w:val="center"/>
              <w:rPr>
                <w:rFonts w:ascii="宋体" w:hAnsi="宋体"/>
                <w:sz w:val="20"/>
                <w:szCs w:val="20"/>
              </w:rPr>
            </w:pPr>
            <w:r>
              <w:rPr>
                <w:rFonts w:hint="eastAsia" w:ascii="宋体" w:hAnsi="宋体" w:cs="宋体"/>
                <w:sz w:val="20"/>
                <w:szCs w:val="20"/>
              </w:rPr>
              <w:t>　</w:t>
            </w:r>
          </w:p>
        </w:tc>
      </w:tr>
      <w:tr w14:paraId="24C64FC4">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39C6D5BA">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ign w:val="center"/>
          </w:tcPr>
          <w:p w14:paraId="1D978E02">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noWrap/>
            <w:vAlign w:val="center"/>
          </w:tcPr>
          <w:p w14:paraId="5D52CBEC">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7AFCD84A">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ign w:val="center"/>
          </w:tcPr>
          <w:p w14:paraId="0F1014CB">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5508AF79">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139F924F">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ign w:val="center"/>
          </w:tcPr>
          <w:p w14:paraId="7930FB41">
            <w:pPr>
              <w:jc w:val="center"/>
              <w:rPr>
                <w:rFonts w:ascii="宋体" w:hAnsi="宋体"/>
                <w:sz w:val="20"/>
                <w:szCs w:val="20"/>
              </w:rPr>
            </w:pPr>
            <w:r>
              <w:rPr>
                <w:rFonts w:hint="eastAsia" w:ascii="宋体" w:hAnsi="宋体" w:cs="宋体"/>
                <w:sz w:val="20"/>
                <w:szCs w:val="20"/>
              </w:rPr>
              <w:t>　</w:t>
            </w:r>
          </w:p>
        </w:tc>
      </w:tr>
      <w:tr w14:paraId="0C868DA7">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76E10F45">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ign w:val="center"/>
          </w:tcPr>
          <w:p w14:paraId="425BA3BF">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noWrap/>
            <w:vAlign w:val="center"/>
          </w:tcPr>
          <w:p w14:paraId="2D889983">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25AB85D6">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ign w:val="center"/>
          </w:tcPr>
          <w:p w14:paraId="3F8E5B5B">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D753BD9">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7D225501">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ign w:val="center"/>
          </w:tcPr>
          <w:p w14:paraId="13D6D900">
            <w:pPr>
              <w:jc w:val="center"/>
              <w:rPr>
                <w:rFonts w:ascii="宋体" w:hAnsi="宋体"/>
                <w:sz w:val="20"/>
                <w:szCs w:val="20"/>
              </w:rPr>
            </w:pPr>
            <w:r>
              <w:rPr>
                <w:rFonts w:hint="eastAsia" w:ascii="宋体" w:hAnsi="宋体" w:cs="宋体"/>
                <w:sz w:val="20"/>
                <w:szCs w:val="20"/>
              </w:rPr>
              <w:t>　</w:t>
            </w:r>
          </w:p>
        </w:tc>
      </w:tr>
      <w:tr w14:paraId="3A6A613C">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219773FC">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ign w:val="center"/>
          </w:tcPr>
          <w:p w14:paraId="3CD54D67">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noWrap/>
            <w:vAlign w:val="center"/>
          </w:tcPr>
          <w:p w14:paraId="2C679EA9">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058A0135">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ign w:val="center"/>
          </w:tcPr>
          <w:p w14:paraId="17D720BC">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4CF8EA18">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640C8B34">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ign w:val="center"/>
          </w:tcPr>
          <w:p w14:paraId="4D2A2EC4">
            <w:pPr>
              <w:jc w:val="center"/>
              <w:rPr>
                <w:rFonts w:ascii="宋体" w:hAnsi="宋体"/>
                <w:sz w:val="20"/>
                <w:szCs w:val="20"/>
              </w:rPr>
            </w:pPr>
            <w:r>
              <w:rPr>
                <w:rFonts w:hint="eastAsia" w:ascii="宋体" w:hAnsi="宋体" w:cs="宋体"/>
                <w:sz w:val="20"/>
                <w:szCs w:val="20"/>
              </w:rPr>
              <w:t>　</w:t>
            </w:r>
          </w:p>
        </w:tc>
      </w:tr>
      <w:tr w14:paraId="71D8B3A9">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3FA2C5AD">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ign w:val="center"/>
          </w:tcPr>
          <w:p w14:paraId="64079851">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noWrap/>
            <w:vAlign w:val="center"/>
          </w:tcPr>
          <w:p w14:paraId="7B26DD0B">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569B7E55">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ign w:val="center"/>
          </w:tcPr>
          <w:p w14:paraId="3383141E">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72E6112B">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05D15B68">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ign w:val="center"/>
          </w:tcPr>
          <w:p w14:paraId="69CBBD35">
            <w:pPr>
              <w:jc w:val="center"/>
              <w:rPr>
                <w:rFonts w:ascii="宋体" w:hAnsi="宋体"/>
                <w:sz w:val="20"/>
                <w:szCs w:val="20"/>
              </w:rPr>
            </w:pPr>
            <w:r>
              <w:rPr>
                <w:rFonts w:hint="eastAsia" w:ascii="宋体" w:hAnsi="宋体" w:cs="宋体"/>
                <w:sz w:val="20"/>
                <w:szCs w:val="20"/>
              </w:rPr>
              <w:t>　</w:t>
            </w:r>
          </w:p>
        </w:tc>
      </w:tr>
      <w:tr w14:paraId="3E209198">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02607149">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ign w:val="center"/>
          </w:tcPr>
          <w:p w14:paraId="34022F2A">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noWrap/>
            <w:vAlign w:val="center"/>
          </w:tcPr>
          <w:p w14:paraId="040F0E82">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3E4E679D">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ign w:val="center"/>
          </w:tcPr>
          <w:p w14:paraId="387EBBF7">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5941588F">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5DC618CD">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ign w:val="center"/>
          </w:tcPr>
          <w:p w14:paraId="75BEEBAA">
            <w:pPr>
              <w:jc w:val="center"/>
              <w:rPr>
                <w:rFonts w:ascii="宋体" w:hAnsi="宋体"/>
                <w:sz w:val="20"/>
                <w:szCs w:val="20"/>
              </w:rPr>
            </w:pPr>
            <w:r>
              <w:rPr>
                <w:rFonts w:hint="eastAsia" w:ascii="宋体" w:hAnsi="宋体" w:cs="宋体"/>
                <w:sz w:val="20"/>
                <w:szCs w:val="20"/>
              </w:rPr>
              <w:t>　</w:t>
            </w:r>
          </w:p>
        </w:tc>
      </w:tr>
      <w:tr w14:paraId="10DCDD62">
        <w:tblPrEx>
          <w:tblCellMar>
            <w:top w:w="0" w:type="dxa"/>
            <w:left w:w="108" w:type="dxa"/>
            <w:bottom w:w="0" w:type="dxa"/>
            <w:right w:w="108" w:type="dxa"/>
          </w:tblCellMar>
        </w:tblPrEx>
        <w:trPr>
          <w:trHeight w:val="270" w:hRule="atLeast"/>
          <w:jc w:val="center"/>
        </w:trPr>
        <w:tc>
          <w:tcPr>
            <w:tcW w:w="1024" w:type="dxa"/>
            <w:vMerge w:val="continue"/>
            <w:tcBorders>
              <w:top w:val="single" w:color="auto" w:sz="6" w:space="0"/>
              <w:left w:val="single" w:color="auto" w:sz="12" w:space="0"/>
              <w:bottom w:val="single" w:color="auto" w:sz="6" w:space="0"/>
              <w:right w:val="single" w:color="auto" w:sz="6" w:space="0"/>
            </w:tcBorders>
            <w:noWrap w:val="0"/>
            <w:vAlign w:val="center"/>
          </w:tcPr>
          <w:p w14:paraId="39286EE3">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ign w:val="center"/>
          </w:tcPr>
          <w:p w14:paraId="6099660E">
            <w:pPr>
              <w:jc w:val="center"/>
              <w:rPr>
                <w:rFonts w:ascii="宋体" w:hAnsi="宋体"/>
                <w:sz w:val="20"/>
                <w:szCs w:val="20"/>
              </w:rPr>
            </w:pPr>
            <w:r>
              <w:rPr>
                <w:rFonts w:hint="eastAsia" w:ascii="宋体" w:hAnsi="宋体" w:cs="宋体"/>
                <w:sz w:val="20"/>
                <w:szCs w:val="20"/>
              </w:rPr>
              <w:t>　</w:t>
            </w:r>
          </w:p>
        </w:tc>
        <w:tc>
          <w:tcPr>
            <w:tcW w:w="2268" w:type="dxa"/>
            <w:gridSpan w:val="3"/>
            <w:tcBorders>
              <w:top w:val="single" w:color="auto" w:sz="6" w:space="0"/>
              <w:left w:val="single" w:color="auto" w:sz="6" w:space="0"/>
              <w:bottom w:val="single" w:color="auto" w:sz="6" w:space="0"/>
              <w:right w:val="single" w:color="auto" w:sz="6" w:space="0"/>
            </w:tcBorders>
            <w:noWrap/>
            <w:vAlign w:val="center"/>
          </w:tcPr>
          <w:p w14:paraId="26B2CA31">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2F870C0A">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ign w:val="center"/>
          </w:tcPr>
          <w:p w14:paraId="4A2D1507">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5F557F6">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7E36D434">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ign w:val="center"/>
          </w:tcPr>
          <w:p w14:paraId="39EC9BF6">
            <w:pPr>
              <w:jc w:val="center"/>
              <w:rPr>
                <w:rFonts w:ascii="宋体" w:hAnsi="宋体"/>
                <w:sz w:val="20"/>
                <w:szCs w:val="20"/>
              </w:rPr>
            </w:pPr>
            <w:r>
              <w:rPr>
                <w:rFonts w:hint="eastAsia" w:ascii="宋体" w:hAnsi="宋体" w:cs="宋体"/>
                <w:sz w:val="20"/>
                <w:szCs w:val="20"/>
              </w:rPr>
              <w:t>　</w:t>
            </w:r>
          </w:p>
        </w:tc>
      </w:tr>
      <w:tr w14:paraId="381A2E83">
        <w:tblPrEx>
          <w:tblCellMar>
            <w:top w:w="0" w:type="dxa"/>
            <w:left w:w="108" w:type="dxa"/>
            <w:bottom w:w="0" w:type="dxa"/>
            <w:right w:w="108" w:type="dxa"/>
          </w:tblCellMar>
        </w:tblPrEx>
        <w:trPr>
          <w:trHeight w:val="65" w:hRule="atLeast"/>
          <w:jc w:val="center"/>
        </w:trPr>
        <w:tc>
          <w:tcPr>
            <w:tcW w:w="1024" w:type="dxa"/>
            <w:vMerge w:val="continue"/>
            <w:tcBorders>
              <w:top w:val="single" w:color="auto" w:sz="6" w:space="0"/>
              <w:left w:val="single" w:color="auto" w:sz="12" w:space="0"/>
              <w:bottom w:val="single" w:color="auto" w:sz="4" w:space="0"/>
              <w:right w:val="single" w:color="auto" w:sz="6" w:space="0"/>
            </w:tcBorders>
            <w:noWrap w:val="0"/>
            <w:vAlign w:val="center"/>
          </w:tcPr>
          <w:p w14:paraId="54FE54BE">
            <w:pPr>
              <w:jc w:val="left"/>
              <w:rPr>
                <w:rFonts w:ascii="宋体" w:hAnsi="宋体"/>
                <w:sz w:val="20"/>
                <w:szCs w:val="20"/>
              </w:rPr>
            </w:pPr>
          </w:p>
        </w:tc>
        <w:tc>
          <w:tcPr>
            <w:tcW w:w="2552" w:type="dxa"/>
            <w:tcBorders>
              <w:top w:val="single" w:color="auto" w:sz="6" w:space="0"/>
              <w:left w:val="single" w:color="auto" w:sz="6" w:space="0"/>
              <w:bottom w:val="single" w:color="auto" w:sz="6" w:space="0"/>
              <w:right w:val="single" w:color="auto" w:sz="6" w:space="0"/>
            </w:tcBorders>
            <w:noWrap/>
            <w:vAlign w:val="center"/>
          </w:tcPr>
          <w:p w14:paraId="67169D70">
            <w:pPr>
              <w:jc w:val="center"/>
              <w:rPr>
                <w:rFonts w:ascii="宋体" w:hAnsi="宋体"/>
                <w:sz w:val="20"/>
                <w:szCs w:val="20"/>
              </w:rPr>
            </w:pPr>
            <w:r>
              <w:rPr>
                <w:rFonts w:hint="eastAsia" w:ascii="宋体" w:hAnsi="宋体" w:cs="宋体"/>
                <w:sz w:val="20"/>
                <w:szCs w:val="20"/>
              </w:rPr>
              <w:t>合计</w:t>
            </w:r>
          </w:p>
        </w:tc>
        <w:tc>
          <w:tcPr>
            <w:tcW w:w="2268" w:type="dxa"/>
            <w:gridSpan w:val="3"/>
            <w:tcBorders>
              <w:top w:val="single" w:color="auto" w:sz="6" w:space="0"/>
              <w:left w:val="single" w:color="auto" w:sz="6" w:space="0"/>
              <w:bottom w:val="single" w:color="auto" w:sz="6" w:space="0"/>
              <w:right w:val="single" w:color="auto" w:sz="6" w:space="0"/>
            </w:tcBorders>
            <w:noWrap/>
            <w:vAlign w:val="center"/>
          </w:tcPr>
          <w:p w14:paraId="3D828311">
            <w:pPr>
              <w:jc w:val="center"/>
              <w:rPr>
                <w:rFonts w:ascii="宋体" w:hAnsi="宋体"/>
                <w:sz w:val="20"/>
                <w:szCs w:val="20"/>
              </w:rPr>
            </w:pPr>
            <w:r>
              <w:rPr>
                <w:rFonts w:ascii="宋体" w:hAnsi="宋体" w:cs="宋体"/>
                <w:sz w:val="20"/>
                <w:szCs w:val="20"/>
              </w:rPr>
              <w:t>—</w:t>
            </w:r>
          </w:p>
        </w:tc>
        <w:tc>
          <w:tcPr>
            <w:tcW w:w="1417" w:type="dxa"/>
            <w:tcBorders>
              <w:top w:val="single" w:color="auto" w:sz="6" w:space="0"/>
              <w:left w:val="single" w:color="auto" w:sz="6" w:space="0"/>
              <w:bottom w:val="single" w:color="auto" w:sz="6" w:space="0"/>
              <w:right w:val="single" w:color="auto" w:sz="6" w:space="0"/>
            </w:tcBorders>
            <w:noWrap/>
            <w:vAlign w:val="center"/>
          </w:tcPr>
          <w:p w14:paraId="72C1EEF8">
            <w:pPr>
              <w:jc w:val="center"/>
              <w:rPr>
                <w:rFonts w:ascii="宋体" w:hAnsi="宋体"/>
                <w:sz w:val="20"/>
                <w:szCs w:val="20"/>
              </w:rPr>
            </w:pPr>
            <w:r>
              <w:rPr>
                <w:rFonts w:hint="eastAsia" w:ascii="宋体" w:hAnsi="宋体" w:cs="宋体"/>
                <w:sz w:val="20"/>
                <w:szCs w:val="20"/>
              </w:rPr>
              <w:t>　</w:t>
            </w:r>
          </w:p>
        </w:tc>
        <w:tc>
          <w:tcPr>
            <w:tcW w:w="1559" w:type="dxa"/>
            <w:tcBorders>
              <w:top w:val="single" w:color="auto" w:sz="6" w:space="0"/>
              <w:left w:val="single" w:color="auto" w:sz="6" w:space="0"/>
              <w:bottom w:val="single" w:color="auto" w:sz="6" w:space="0"/>
              <w:right w:val="single" w:color="auto" w:sz="6" w:space="0"/>
            </w:tcBorders>
            <w:noWrap/>
            <w:vAlign w:val="center"/>
          </w:tcPr>
          <w:p w14:paraId="75E5A1EC">
            <w:pPr>
              <w:jc w:val="center"/>
              <w:rPr>
                <w:rFonts w:ascii="宋体" w:hAnsi="宋体"/>
                <w:sz w:val="20"/>
                <w:szCs w:val="20"/>
              </w:rPr>
            </w:pPr>
            <w:r>
              <w:rPr>
                <w:rFonts w:hint="eastAsia" w:ascii="宋体" w:hAnsi="宋体" w:cs="宋体"/>
                <w:sz w:val="20"/>
                <w:szCs w:val="20"/>
              </w:rPr>
              <w:t>　</w:t>
            </w: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CDC6BD4">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6" w:space="0"/>
              <w:right w:val="single" w:color="auto" w:sz="6" w:space="0"/>
            </w:tcBorders>
            <w:noWrap/>
            <w:vAlign w:val="center"/>
          </w:tcPr>
          <w:p w14:paraId="7A272213">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6" w:space="0"/>
              <w:right w:val="single" w:color="auto" w:sz="12" w:space="0"/>
            </w:tcBorders>
            <w:noWrap/>
            <w:vAlign w:val="center"/>
          </w:tcPr>
          <w:p w14:paraId="29895F2F">
            <w:pPr>
              <w:jc w:val="center"/>
              <w:rPr>
                <w:rFonts w:ascii="宋体" w:hAnsi="宋体"/>
                <w:sz w:val="20"/>
                <w:szCs w:val="20"/>
              </w:rPr>
            </w:pPr>
            <w:r>
              <w:rPr>
                <w:rFonts w:hint="eastAsia" w:ascii="宋体" w:hAnsi="宋体" w:cs="宋体"/>
                <w:sz w:val="20"/>
                <w:szCs w:val="20"/>
              </w:rPr>
              <w:t>　</w:t>
            </w:r>
          </w:p>
        </w:tc>
      </w:tr>
      <w:tr w14:paraId="4E52369A">
        <w:tblPrEx>
          <w:tblCellMar>
            <w:top w:w="0" w:type="dxa"/>
            <w:left w:w="108" w:type="dxa"/>
            <w:bottom w:w="0" w:type="dxa"/>
            <w:right w:w="108" w:type="dxa"/>
          </w:tblCellMar>
        </w:tblPrEx>
        <w:trPr>
          <w:trHeight w:val="936" w:hRule="atLeast"/>
          <w:jc w:val="center"/>
        </w:trPr>
        <w:tc>
          <w:tcPr>
            <w:tcW w:w="1024" w:type="dxa"/>
            <w:vMerge w:val="restart"/>
            <w:tcBorders>
              <w:top w:val="single" w:color="auto" w:sz="4" w:space="0"/>
              <w:left w:val="single" w:color="auto" w:sz="12" w:space="0"/>
              <w:right w:val="single" w:color="auto" w:sz="6" w:space="0"/>
            </w:tcBorders>
            <w:noWrap w:val="0"/>
            <w:textDirection w:val="tbRlV"/>
            <w:vAlign w:val="center"/>
          </w:tcPr>
          <w:p w14:paraId="0956B9AB">
            <w:pPr>
              <w:ind w:left="113" w:right="113"/>
              <w:jc w:val="left"/>
              <w:rPr>
                <w:rFonts w:hint="eastAsia" w:ascii="宋体" w:hAnsi="宋体"/>
                <w:sz w:val="20"/>
                <w:szCs w:val="20"/>
              </w:rPr>
            </w:pPr>
            <w:r>
              <w:rPr>
                <w:rFonts w:hint="eastAsia" w:ascii="宋体" w:hAnsi="宋体"/>
                <w:sz w:val="20"/>
                <w:szCs w:val="20"/>
              </w:rPr>
              <w:t>构、场所情况</w:t>
            </w:r>
          </w:p>
          <w:p w14:paraId="27A8EE94">
            <w:pPr>
              <w:ind w:left="113" w:right="113"/>
              <w:jc w:val="left"/>
              <w:rPr>
                <w:rFonts w:ascii="宋体" w:hAnsi="宋体"/>
                <w:sz w:val="20"/>
                <w:szCs w:val="20"/>
              </w:rPr>
            </w:pPr>
            <w:r>
              <w:rPr>
                <w:rFonts w:hint="eastAsia" w:ascii="宋体" w:hAnsi="宋体"/>
                <w:sz w:val="20"/>
                <w:szCs w:val="20"/>
              </w:rPr>
              <w:t>分摊所得税机汇总纳税但未</w:t>
            </w:r>
          </w:p>
        </w:tc>
        <w:tc>
          <w:tcPr>
            <w:tcW w:w="4820" w:type="dxa"/>
            <w:gridSpan w:val="4"/>
            <w:tcBorders>
              <w:top w:val="single" w:color="auto" w:sz="6" w:space="0"/>
              <w:left w:val="single" w:color="auto" w:sz="6" w:space="0"/>
              <w:right w:val="single" w:color="auto" w:sz="6" w:space="0"/>
            </w:tcBorders>
            <w:noWrap/>
            <w:vAlign w:val="center"/>
          </w:tcPr>
          <w:p w14:paraId="2E099701">
            <w:pPr>
              <w:jc w:val="center"/>
              <w:rPr>
                <w:rFonts w:hint="eastAsia" w:ascii="宋体" w:hAnsi="宋体" w:cs="宋体"/>
                <w:sz w:val="20"/>
                <w:szCs w:val="20"/>
              </w:rPr>
            </w:pPr>
            <w:r>
              <w:rPr>
                <w:rFonts w:hint="eastAsia" w:ascii="宋体" w:hAnsi="宋体" w:cs="宋体"/>
                <w:sz w:val="20"/>
                <w:szCs w:val="20"/>
              </w:rPr>
              <w:t>汇总纳税但未分摊所得税的机构、场所统一社会信用代码（纳税人识别号）</w:t>
            </w:r>
          </w:p>
        </w:tc>
        <w:tc>
          <w:tcPr>
            <w:tcW w:w="4536" w:type="dxa"/>
            <w:gridSpan w:val="3"/>
            <w:tcBorders>
              <w:top w:val="single" w:color="auto" w:sz="6" w:space="0"/>
              <w:left w:val="single" w:color="auto" w:sz="6" w:space="0"/>
              <w:right w:val="single" w:color="auto" w:sz="6" w:space="0"/>
            </w:tcBorders>
            <w:noWrap/>
            <w:vAlign w:val="center"/>
          </w:tcPr>
          <w:p w14:paraId="5C7E84C3">
            <w:pPr>
              <w:jc w:val="center"/>
              <w:rPr>
                <w:rFonts w:hint="eastAsia" w:ascii="宋体" w:hAnsi="宋体" w:cs="宋体"/>
                <w:sz w:val="20"/>
                <w:szCs w:val="20"/>
              </w:rPr>
            </w:pPr>
            <w:r>
              <w:rPr>
                <w:rFonts w:hint="eastAsia" w:ascii="宋体" w:hAnsi="宋体" w:cs="宋体"/>
                <w:sz w:val="20"/>
                <w:szCs w:val="20"/>
              </w:rPr>
              <w:t>汇总纳税但未分摊所得税的机构、场所名称</w:t>
            </w:r>
          </w:p>
        </w:tc>
        <w:tc>
          <w:tcPr>
            <w:tcW w:w="1417" w:type="dxa"/>
            <w:tcBorders>
              <w:top w:val="single" w:color="auto" w:sz="6" w:space="0"/>
              <w:left w:val="single" w:color="auto" w:sz="6" w:space="0"/>
              <w:right w:val="single" w:color="auto" w:sz="6" w:space="0"/>
            </w:tcBorders>
            <w:noWrap/>
            <w:vAlign w:val="center"/>
          </w:tcPr>
          <w:p w14:paraId="412B47CF">
            <w:pPr>
              <w:jc w:val="center"/>
              <w:rPr>
                <w:rFonts w:hint="eastAsia" w:ascii="宋体" w:hAnsi="宋体" w:cs="宋体"/>
                <w:sz w:val="20"/>
                <w:szCs w:val="20"/>
              </w:rPr>
            </w:pPr>
            <w:r>
              <w:rPr>
                <w:rFonts w:hint="eastAsia" w:ascii="宋体" w:hAnsi="宋体" w:cs="宋体"/>
                <w:sz w:val="20"/>
                <w:szCs w:val="20"/>
              </w:rPr>
              <w:t>成本费用额</w:t>
            </w:r>
          </w:p>
        </w:tc>
        <w:tc>
          <w:tcPr>
            <w:tcW w:w="2382" w:type="dxa"/>
            <w:tcBorders>
              <w:top w:val="single" w:color="auto" w:sz="6" w:space="0"/>
              <w:left w:val="single" w:color="auto" w:sz="6" w:space="0"/>
              <w:right w:val="single" w:color="auto" w:sz="12" w:space="0"/>
            </w:tcBorders>
            <w:noWrap/>
            <w:vAlign w:val="center"/>
          </w:tcPr>
          <w:p w14:paraId="4467E466">
            <w:pPr>
              <w:jc w:val="center"/>
              <w:rPr>
                <w:rFonts w:hint="eastAsia" w:ascii="宋体" w:hAnsi="宋体" w:cs="宋体"/>
                <w:sz w:val="20"/>
                <w:szCs w:val="20"/>
              </w:rPr>
            </w:pPr>
            <w:r>
              <w:rPr>
                <w:rFonts w:hint="eastAsia" w:ascii="宋体" w:hAnsi="宋体" w:cs="宋体"/>
                <w:sz w:val="20"/>
                <w:szCs w:val="20"/>
              </w:rPr>
              <w:t>资产额</w:t>
            </w:r>
          </w:p>
        </w:tc>
      </w:tr>
      <w:tr w14:paraId="400C5C50">
        <w:tblPrEx>
          <w:tblCellMar>
            <w:top w:w="0" w:type="dxa"/>
            <w:left w:w="108" w:type="dxa"/>
            <w:bottom w:w="0" w:type="dxa"/>
            <w:right w:w="108" w:type="dxa"/>
          </w:tblCellMar>
        </w:tblPrEx>
        <w:trPr>
          <w:trHeight w:val="270" w:hRule="atLeast"/>
          <w:jc w:val="center"/>
        </w:trPr>
        <w:tc>
          <w:tcPr>
            <w:tcW w:w="1024" w:type="dxa"/>
            <w:vMerge w:val="continue"/>
            <w:tcBorders>
              <w:left w:val="single" w:color="auto" w:sz="12" w:space="0"/>
              <w:right w:val="single" w:color="auto" w:sz="6" w:space="0"/>
            </w:tcBorders>
            <w:noWrap w:val="0"/>
            <w:vAlign w:val="center"/>
          </w:tcPr>
          <w:p w14:paraId="0E141D49">
            <w:pPr>
              <w:jc w:val="left"/>
              <w:rPr>
                <w:rFonts w:ascii="宋体" w:hAnsi="宋体"/>
                <w:sz w:val="20"/>
                <w:szCs w:val="20"/>
              </w:rPr>
            </w:pPr>
          </w:p>
        </w:tc>
        <w:tc>
          <w:tcPr>
            <w:tcW w:w="4820" w:type="dxa"/>
            <w:gridSpan w:val="4"/>
            <w:tcBorders>
              <w:top w:val="single" w:color="auto" w:sz="6" w:space="0"/>
              <w:left w:val="single" w:color="auto" w:sz="6" w:space="0"/>
              <w:bottom w:val="single" w:color="auto" w:sz="6" w:space="0"/>
              <w:right w:val="single" w:color="auto" w:sz="6" w:space="0"/>
            </w:tcBorders>
            <w:noWrap/>
            <w:vAlign w:val="center"/>
          </w:tcPr>
          <w:p w14:paraId="5455F049">
            <w:pPr>
              <w:jc w:val="center"/>
              <w:rPr>
                <w:rFonts w:ascii="宋体" w:hAnsi="宋体"/>
                <w:sz w:val="20"/>
                <w:szCs w:val="20"/>
              </w:rPr>
            </w:pPr>
          </w:p>
        </w:tc>
        <w:tc>
          <w:tcPr>
            <w:tcW w:w="4536" w:type="dxa"/>
            <w:gridSpan w:val="3"/>
            <w:tcBorders>
              <w:top w:val="single" w:color="auto" w:sz="6" w:space="0"/>
              <w:left w:val="single" w:color="auto" w:sz="6" w:space="0"/>
              <w:bottom w:val="single" w:color="auto" w:sz="6" w:space="0"/>
              <w:right w:val="single" w:color="auto" w:sz="6" w:space="0"/>
            </w:tcBorders>
            <w:noWrap/>
            <w:vAlign w:val="center"/>
          </w:tcPr>
          <w:p w14:paraId="15F8FFD4">
            <w:pPr>
              <w:jc w:val="center"/>
              <w:rPr>
                <w:rFonts w:ascii="宋体" w:hAnsi="宋体"/>
                <w:sz w:val="20"/>
                <w:szCs w:val="20"/>
              </w:rPr>
            </w:pPr>
          </w:p>
        </w:tc>
        <w:tc>
          <w:tcPr>
            <w:tcW w:w="1417" w:type="dxa"/>
            <w:tcBorders>
              <w:top w:val="single" w:color="auto" w:sz="6" w:space="0"/>
              <w:left w:val="single" w:color="auto" w:sz="6" w:space="0"/>
              <w:bottom w:val="single" w:color="auto" w:sz="6" w:space="0"/>
              <w:right w:val="single" w:color="auto" w:sz="6" w:space="0"/>
            </w:tcBorders>
            <w:noWrap/>
            <w:vAlign w:val="center"/>
          </w:tcPr>
          <w:p w14:paraId="077DFD1D">
            <w:pPr>
              <w:jc w:val="center"/>
              <w:rPr>
                <w:rFonts w:ascii="宋体" w:hAnsi="宋体"/>
                <w:sz w:val="20"/>
                <w:szCs w:val="20"/>
              </w:rPr>
            </w:pPr>
          </w:p>
        </w:tc>
        <w:tc>
          <w:tcPr>
            <w:tcW w:w="2382" w:type="dxa"/>
            <w:tcBorders>
              <w:top w:val="single" w:color="auto" w:sz="6" w:space="0"/>
              <w:left w:val="single" w:color="auto" w:sz="6" w:space="0"/>
              <w:bottom w:val="single" w:color="auto" w:sz="6" w:space="0"/>
              <w:right w:val="single" w:color="auto" w:sz="12" w:space="0"/>
            </w:tcBorders>
            <w:noWrap/>
            <w:vAlign w:val="center"/>
          </w:tcPr>
          <w:p w14:paraId="60796C99">
            <w:pPr>
              <w:jc w:val="center"/>
              <w:rPr>
                <w:rFonts w:ascii="宋体" w:hAnsi="宋体"/>
                <w:sz w:val="20"/>
                <w:szCs w:val="20"/>
              </w:rPr>
            </w:pPr>
          </w:p>
        </w:tc>
      </w:tr>
      <w:tr w14:paraId="0C8AB3B7">
        <w:tblPrEx>
          <w:tblCellMar>
            <w:top w:w="0" w:type="dxa"/>
            <w:left w:w="108" w:type="dxa"/>
            <w:bottom w:w="0" w:type="dxa"/>
            <w:right w:w="108" w:type="dxa"/>
          </w:tblCellMar>
        </w:tblPrEx>
        <w:trPr>
          <w:trHeight w:val="285" w:hRule="atLeast"/>
          <w:jc w:val="center"/>
        </w:trPr>
        <w:tc>
          <w:tcPr>
            <w:tcW w:w="1024" w:type="dxa"/>
            <w:vMerge w:val="continue"/>
            <w:tcBorders>
              <w:left w:val="single" w:color="auto" w:sz="12" w:space="0"/>
              <w:bottom w:val="single" w:color="auto" w:sz="12" w:space="0"/>
              <w:right w:val="single" w:color="auto" w:sz="6" w:space="0"/>
            </w:tcBorders>
            <w:noWrap w:val="0"/>
            <w:vAlign w:val="center"/>
          </w:tcPr>
          <w:p w14:paraId="48AC5E3A">
            <w:pPr>
              <w:jc w:val="left"/>
              <w:rPr>
                <w:rFonts w:ascii="宋体" w:hAnsi="宋体"/>
                <w:sz w:val="20"/>
                <w:szCs w:val="20"/>
              </w:rPr>
            </w:pPr>
          </w:p>
        </w:tc>
        <w:tc>
          <w:tcPr>
            <w:tcW w:w="4820" w:type="dxa"/>
            <w:gridSpan w:val="4"/>
            <w:tcBorders>
              <w:top w:val="single" w:color="auto" w:sz="6" w:space="0"/>
              <w:left w:val="single" w:color="auto" w:sz="6" w:space="0"/>
              <w:bottom w:val="single" w:color="auto" w:sz="12" w:space="0"/>
              <w:right w:val="single" w:color="auto" w:sz="6" w:space="0"/>
            </w:tcBorders>
            <w:noWrap/>
            <w:vAlign w:val="center"/>
          </w:tcPr>
          <w:p w14:paraId="2850DBCC">
            <w:pPr>
              <w:jc w:val="center"/>
              <w:rPr>
                <w:rFonts w:ascii="宋体" w:hAnsi="宋体" w:cs="宋体"/>
                <w:sz w:val="20"/>
                <w:szCs w:val="20"/>
              </w:rPr>
            </w:pPr>
          </w:p>
        </w:tc>
        <w:tc>
          <w:tcPr>
            <w:tcW w:w="4536" w:type="dxa"/>
            <w:gridSpan w:val="3"/>
            <w:tcBorders>
              <w:top w:val="single" w:color="auto" w:sz="6" w:space="0"/>
              <w:left w:val="single" w:color="auto" w:sz="6" w:space="0"/>
              <w:bottom w:val="single" w:color="auto" w:sz="12" w:space="0"/>
              <w:right w:val="single" w:color="auto" w:sz="6" w:space="0"/>
            </w:tcBorders>
            <w:noWrap/>
            <w:vAlign w:val="center"/>
          </w:tcPr>
          <w:p w14:paraId="3802CE78">
            <w:pPr>
              <w:jc w:val="center"/>
              <w:rPr>
                <w:rFonts w:ascii="宋体" w:hAnsi="宋体"/>
                <w:sz w:val="20"/>
                <w:szCs w:val="20"/>
              </w:rPr>
            </w:pPr>
            <w:r>
              <w:rPr>
                <w:rFonts w:hint="eastAsia" w:ascii="宋体" w:hAnsi="宋体" w:cs="宋体"/>
                <w:sz w:val="20"/>
                <w:szCs w:val="20"/>
              </w:rPr>
              <w:t>　</w:t>
            </w:r>
          </w:p>
        </w:tc>
        <w:tc>
          <w:tcPr>
            <w:tcW w:w="1417" w:type="dxa"/>
            <w:tcBorders>
              <w:top w:val="single" w:color="auto" w:sz="6" w:space="0"/>
              <w:left w:val="single" w:color="auto" w:sz="6" w:space="0"/>
              <w:bottom w:val="single" w:color="auto" w:sz="12" w:space="0"/>
              <w:right w:val="single" w:color="auto" w:sz="6" w:space="0"/>
            </w:tcBorders>
            <w:noWrap/>
            <w:vAlign w:val="center"/>
          </w:tcPr>
          <w:p w14:paraId="516EA77B">
            <w:pPr>
              <w:jc w:val="center"/>
              <w:rPr>
                <w:rFonts w:ascii="宋体" w:hAnsi="宋体"/>
                <w:sz w:val="20"/>
                <w:szCs w:val="20"/>
              </w:rPr>
            </w:pPr>
            <w:r>
              <w:rPr>
                <w:rFonts w:hint="eastAsia" w:ascii="宋体" w:hAnsi="宋体" w:cs="宋体"/>
                <w:sz w:val="20"/>
                <w:szCs w:val="20"/>
              </w:rPr>
              <w:t>　</w:t>
            </w:r>
          </w:p>
        </w:tc>
        <w:tc>
          <w:tcPr>
            <w:tcW w:w="2382" w:type="dxa"/>
            <w:tcBorders>
              <w:top w:val="single" w:color="auto" w:sz="6" w:space="0"/>
              <w:left w:val="single" w:color="auto" w:sz="6" w:space="0"/>
              <w:bottom w:val="single" w:color="auto" w:sz="12" w:space="0"/>
              <w:right w:val="single" w:color="auto" w:sz="12" w:space="0"/>
            </w:tcBorders>
            <w:noWrap/>
            <w:vAlign w:val="center"/>
          </w:tcPr>
          <w:p w14:paraId="022FCA51">
            <w:pPr>
              <w:jc w:val="center"/>
              <w:rPr>
                <w:rFonts w:ascii="宋体" w:hAnsi="宋体"/>
                <w:sz w:val="20"/>
                <w:szCs w:val="20"/>
              </w:rPr>
            </w:pPr>
            <w:r>
              <w:rPr>
                <w:rFonts w:hint="eastAsia" w:ascii="宋体" w:hAnsi="宋体" w:cs="宋体"/>
                <w:sz w:val="20"/>
                <w:szCs w:val="20"/>
              </w:rPr>
              <w:t>　</w:t>
            </w:r>
          </w:p>
        </w:tc>
      </w:tr>
      <w:tr w14:paraId="474A752F">
        <w:tblPrEx>
          <w:tblCellMar>
            <w:top w:w="0" w:type="dxa"/>
            <w:left w:w="108" w:type="dxa"/>
            <w:bottom w:w="0" w:type="dxa"/>
            <w:right w:w="108" w:type="dxa"/>
          </w:tblCellMar>
        </w:tblPrEx>
        <w:trPr>
          <w:trHeight w:val="270" w:hRule="atLeast"/>
          <w:jc w:val="center"/>
        </w:trPr>
        <w:tc>
          <w:tcPr>
            <w:tcW w:w="14179" w:type="dxa"/>
            <w:gridSpan w:val="10"/>
            <w:tcBorders>
              <w:top w:val="single" w:color="auto" w:sz="12" w:space="0"/>
              <w:left w:val="nil"/>
              <w:bottom w:val="nil"/>
              <w:right w:val="nil"/>
            </w:tcBorders>
            <w:noWrap/>
            <w:vAlign w:val="bottom"/>
          </w:tcPr>
          <w:p w14:paraId="637E1FE4">
            <w:pPr>
              <w:jc w:val="right"/>
              <w:rPr>
                <w:rFonts w:ascii="宋体" w:hAnsi="宋体"/>
                <w:sz w:val="20"/>
                <w:szCs w:val="20"/>
              </w:rPr>
            </w:pPr>
            <w:r>
              <w:rPr>
                <w:rFonts w:hint="eastAsia" w:ascii="宋体" w:hAnsi="宋体" w:cs="宋体"/>
                <w:sz w:val="20"/>
                <w:szCs w:val="20"/>
              </w:rPr>
              <w:t>国家税务总局监制</w:t>
            </w:r>
          </w:p>
        </w:tc>
      </w:tr>
    </w:tbl>
    <w:p w14:paraId="0577EEF2">
      <w:pPr>
        <w:pStyle w:val="7"/>
        <w:tabs>
          <w:tab w:val="center" w:pos="7230"/>
          <w:tab w:val="clear" w:pos="4678"/>
        </w:tabs>
        <w:rPr>
          <w:rFonts w:cs="Times New Roman"/>
          <w:sz w:val="4"/>
          <w:szCs w:val="4"/>
        </w:rPr>
        <w:sectPr>
          <w:headerReference r:id="rId3" w:type="default"/>
          <w:footerReference r:id="rId4" w:type="default"/>
          <w:pgSz w:w="16838" w:h="11906" w:orient="landscape"/>
          <w:pgMar w:top="1077" w:right="1077" w:bottom="993" w:left="1077" w:header="851" w:footer="567" w:gutter="0"/>
          <w:pgNumType w:fmt="numberInDash"/>
          <w:cols w:space="425" w:num="1"/>
          <w:docGrid w:type="lines" w:linePitch="312" w:charSpace="0"/>
        </w:sectPr>
      </w:pPr>
    </w:p>
    <w:p w14:paraId="1C46D449">
      <w:pPr>
        <w:pStyle w:val="8"/>
        <w:ind w:firstLine="560" w:firstLineChars="0"/>
        <w:jc w:val="center"/>
        <w:rPr>
          <w:rFonts w:hint="eastAsia" w:ascii="宋体" w:hAnsi="宋体" w:eastAsia="宋体" w:cs="宋体"/>
          <w:b/>
          <w:bCs w:val="0"/>
          <w:sz w:val="28"/>
          <w:szCs w:val="28"/>
        </w:rPr>
      </w:pPr>
      <w:r>
        <w:rPr>
          <w:rFonts w:hint="eastAsia" w:ascii="宋体" w:hAnsi="宋体" w:eastAsia="宋体" w:cs="宋体"/>
          <w:b/>
          <w:bCs w:val="0"/>
          <w:sz w:val="28"/>
          <w:szCs w:val="28"/>
        </w:rPr>
        <w:t>F300</w:t>
      </w:r>
      <w:r>
        <w:rPr>
          <w:rFonts w:hint="eastAsia" w:ascii="宋体" w:hAnsi="宋体" w:eastAsia="宋体" w:cs="宋体"/>
          <w:b/>
          <w:bCs w:val="0"/>
          <w:sz w:val="28"/>
          <w:szCs w:val="28"/>
        </w:rPr>
        <w:tab/>
      </w:r>
      <w:r>
        <w:rPr>
          <w:rFonts w:hint="eastAsia" w:ascii="宋体" w:hAnsi="宋体" w:eastAsia="宋体" w:cs="宋体"/>
          <w:b/>
          <w:bCs w:val="0"/>
          <w:sz w:val="28"/>
          <w:szCs w:val="28"/>
        </w:rPr>
        <w:t>《非居民企业机构、场所汇总缴纳所得税税款分配表》</w:t>
      </w:r>
    </w:p>
    <w:p w14:paraId="2F52B318">
      <w:pPr>
        <w:pStyle w:val="8"/>
        <w:ind w:firstLine="560" w:firstLineChars="0"/>
        <w:jc w:val="center"/>
        <w:rPr>
          <w:rFonts w:hint="eastAsia" w:ascii="宋体" w:hAnsi="宋体" w:eastAsia="宋体" w:cs="宋体"/>
          <w:b/>
          <w:bCs w:val="0"/>
          <w:sz w:val="28"/>
          <w:szCs w:val="28"/>
        </w:rPr>
      </w:pPr>
      <w:r>
        <w:rPr>
          <w:rFonts w:hint="eastAsia" w:ascii="宋体" w:hAnsi="宋体" w:eastAsia="宋体" w:cs="宋体"/>
          <w:b/>
          <w:bCs w:val="0"/>
          <w:sz w:val="28"/>
          <w:szCs w:val="28"/>
        </w:rPr>
        <w:t>填报说明</w:t>
      </w:r>
    </w:p>
    <w:p w14:paraId="18BA5EBD">
      <w:pPr>
        <w:pStyle w:val="8"/>
        <w:ind w:firstLine="482"/>
        <w:rPr>
          <w:rFonts w:cs="Times New Roman"/>
        </w:rPr>
      </w:pPr>
      <w:r>
        <w:rPr>
          <w:rFonts w:hint="eastAsia"/>
        </w:rPr>
        <w:t>一、适用范围</w:t>
      </w:r>
    </w:p>
    <w:p w14:paraId="22A649FF">
      <w:pPr>
        <w:pStyle w:val="9"/>
      </w:pPr>
      <w:r>
        <w:rPr>
          <w:rFonts w:hint="eastAsia"/>
        </w:rPr>
        <w:t>本表为《中华人民共和国非居民企业所得税预缴申报表（</w:t>
      </w:r>
      <w:r>
        <w:t>2019年版</w:t>
      </w:r>
      <w:r>
        <w:rPr>
          <w:rFonts w:hint="eastAsia"/>
        </w:rPr>
        <w:t>）》（表</w:t>
      </w:r>
      <w:r>
        <w:t>F100）</w:t>
      </w:r>
      <w:r>
        <w:rPr>
          <w:rFonts w:hint="eastAsia"/>
        </w:rPr>
        <w:t>和《中华人民共和国非居民企业所得税年度纳税申报表（</w:t>
      </w:r>
      <w:r>
        <w:t>2019年版</w:t>
      </w:r>
      <w:r>
        <w:rPr>
          <w:rFonts w:hint="eastAsia"/>
        </w:rPr>
        <w:t>）》</w:t>
      </w:r>
      <w:r>
        <w:t>(</w:t>
      </w:r>
      <w:r>
        <w:rPr>
          <w:rFonts w:hint="eastAsia"/>
        </w:rPr>
        <w:t>表</w:t>
      </w:r>
      <w:r>
        <w:t>F200)</w:t>
      </w:r>
      <w:r>
        <w:rPr>
          <w:rFonts w:hint="eastAsia"/>
        </w:rPr>
        <w:t>的附表，由实行汇总纳税的非居民企业机构、场所（含主要机构、场所和其他机构、场所）填报。</w:t>
      </w:r>
    </w:p>
    <w:p w14:paraId="33BA771D">
      <w:pPr>
        <w:pStyle w:val="8"/>
        <w:ind w:firstLine="482"/>
        <w:rPr>
          <w:rFonts w:cs="Times New Roman"/>
        </w:rPr>
      </w:pPr>
      <w:r>
        <w:rPr>
          <w:rFonts w:hint="eastAsia"/>
        </w:rPr>
        <w:t>二、具体项目填报说明</w:t>
      </w:r>
    </w:p>
    <w:p w14:paraId="2C6235D3">
      <w:pPr>
        <w:pStyle w:val="9"/>
        <w:rPr>
          <w:rFonts w:cs="Times New Roman"/>
        </w:rPr>
      </w:pPr>
      <w:r>
        <w:t>1.</w:t>
      </w:r>
      <w:r>
        <w:rPr>
          <w:rFonts w:hint="eastAsia"/>
        </w:rPr>
        <w:t>“税款所属期间”：填报税款所属年度或季度的起止日期。年度纳税申报时，纳税人当年实际经营期间不足一个纳税年度的，填报当年实际经营期间的起止日期。</w:t>
      </w:r>
    </w:p>
    <w:p w14:paraId="741340B6">
      <w:pPr>
        <w:pStyle w:val="9"/>
        <w:rPr>
          <w:rFonts w:cs="Times New Roman"/>
        </w:rPr>
      </w:pPr>
      <w:r>
        <w:t xml:space="preserve">2. </w:t>
      </w:r>
      <w:r>
        <w:rPr>
          <w:rFonts w:hint="eastAsia"/>
        </w:rPr>
        <w:t>“主要机构、场所名称”“从事主体生产经营业务的机构、场所名称”“汇总纳税但未分摊所得税的机构、场所名称”：填报营业执照、税务登记证等证件载明的纳税人名称。汇总纳税但未分摊所得税的机构、场所是指符合相关规定条件可以纳入汇总计算缴纳企业所得税范围，但不就地分摊缴纳企业所得税的仅具有内部辅助管理或服务职能的机构、场所。</w:t>
      </w:r>
    </w:p>
    <w:p w14:paraId="567E1B23">
      <w:pPr>
        <w:pStyle w:val="9"/>
      </w:pPr>
      <w:r>
        <w:t xml:space="preserve">3. </w:t>
      </w:r>
      <w:r>
        <w:rPr>
          <w:rFonts w:hint="eastAsia"/>
        </w:rPr>
        <w:t>“主要机构、场所纳税人识别号（统一社会信用代码）”“从事主体生产经营业务的机构、场所纳税人识别号（统一社会信用代码）”“未分摊所得税的机构、场所统一社会信用代码（纳税人识别号）”：填报税务机关核发的纳税人识别号或有关部门核发的统一社会信用代码。</w:t>
      </w:r>
    </w:p>
    <w:p w14:paraId="784692D1">
      <w:pPr>
        <w:pStyle w:val="9"/>
      </w:pPr>
      <w:r>
        <w:t>4.</w:t>
      </w:r>
      <w:r>
        <w:rPr>
          <w:rFonts w:hint="eastAsia"/>
        </w:rPr>
        <w:t>“</w:t>
      </w:r>
      <w:r>
        <w:rPr>
          <w:rFonts w:hint="eastAsia"/>
          <w:kern w:val="0"/>
        </w:rPr>
        <w:t>可分摊所得税额</w:t>
      </w:r>
      <w:r>
        <w:rPr>
          <w:rFonts w:hint="eastAsia"/>
        </w:rPr>
        <w:t>”：预缴申报时，填报《中华人民共和国非居民企业所得税预缴申报表（</w:t>
      </w:r>
      <w:r>
        <w:t>2019年版</w:t>
      </w:r>
      <w:r>
        <w:rPr>
          <w:rFonts w:hint="eastAsia"/>
        </w:rPr>
        <w:t>）》（表</w:t>
      </w:r>
      <w:r>
        <w:t>F100）第21行“本期应补（退）所得税额”的本年累计金额。</w:t>
      </w:r>
      <w:r>
        <w:rPr>
          <w:rFonts w:hint="eastAsia"/>
        </w:rPr>
        <w:t>年度纳税申报时，填报《中华人民共和国非居民企业所得税年度纳税申报表（</w:t>
      </w:r>
      <w:r>
        <w:t>2019年版</w:t>
      </w:r>
      <w:r>
        <w:rPr>
          <w:rFonts w:hint="eastAsia"/>
        </w:rPr>
        <w:t>）》</w:t>
      </w:r>
      <w:r>
        <w:t>(</w:t>
      </w:r>
      <w:r>
        <w:rPr>
          <w:rFonts w:hint="eastAsia"/>
        </w:rPr>
        <w:t>表</w:t>
      </w:r>
      <w:r>
        <w:t>F200)</w:t>
      </w:r>
      <w:r>
        <w:rPr>
          <w:rFonts w:hint="eastAsia"/>
        </w:rPr>
        <w:t>中第</w:t>
      </w:r>
      <w:r>
        <w:t>32</w:t>
      </w:r>
      <w:r>
        <w:rPr>
          <w:rFonts w:hint="eastAsia"/>
        </w:rPr>
        <w:t>行“实际应纳所得税额”的申报金额。</w:t>
      </w:r>
    </w:p>
    <w:p w14:paraId="6661FA36">
      <w:pPr>
        <w:pStyle w:val="9"/>
        <w:rPr>
          <w:rFonts w:cs="Times New Roman"/>
        </w:rPr>
      </w:pPr>
      <w:r>
        <w:t>5.</w:t>
      </w:r>
      <w:r>
        <w:rPr>
          <w:rFonts w:hint="eastAsia"/>
        </w:rPr>
        <w:t>“主要机构、场所直接分摊所得税额”：填报按主要机构、场所直接分摊比例计算的数额。预缴申报时，计算公式为“</w:t>
      </w:r>
      <w:r>
        <w:rPr>
          <w:rFonts w:hint="eastAsia"/>
          <w:kern w:val="0"/>
        </w:rPr>
        <w:t>本期应补（退）所得税额”</w:t>
      </w:r>
      <w:r>
        <w:rPr>
          <w:rFonts w:hint="eastAsia"/>
        </w:rPr>
        <w:t>×主要机构、场所直接分摊比例。年度纳税申报时，计算公式为“实际应纳所得税额”×主要机构、场所直接分摊比例。主要机构、场所直接分摊比例由国务院财政、税务主管部门或省税务机关规定。</w:t>
      </w:r>
    </w:p>
    <w:p w14:paraId="5200D0D1">
      <w:pPr>
        <w:pStyle w:val="9"/>
        <w:rPr>
          <w:rFonts w:cs="Times New Roman"/>
        </w:rPr>
      </w:pPr>
      <w:r>
        <w:t>6.</w:t>
      </w:r>
      <w:r>
        <w:rPr>
          <w:rFonts w:hint="eastAsia"/>
        </w:rPr>
        <w:t>“主要机构、场所财政集中分配所得税额”：填报按主要机构、场所财政集中分配比例计算的数额。预缴申报时，计算公式为</w:t>
      </w:r>
      <w:r>
        <w:t xml:space="preserve"> </w:t>
      </w:r>
      <w:r>
        <w:rPr>
          <w:rFonts w:hint="eastAsia"/>
        </w:rPr>
        <w:t>“</w:t>
      </w:r>
      <w:r>
        <w:rPr>
          <w:rFonts w:hint="eastAsia"/>
          <w:kern w:val="0"/>
        </w:rPr>
        <w:t>本期应补（退）所得税额”</w:t>
      </w:r>
      <w:r>
        <w:rPr>
          <w:rFonts w:hint="eastAsia"/>
        </w:rPr>
        <w:t>×主要机构、场所财政集中分配比例。年度纳税申报时，计算公式为“实际应纳所得税额”×主要机构、场所财政集中分配比例。主要机构、场所财政集中分配比例由国务院财政、税务主管部门或省税务机关规定。</w:t>
      </w:r>
    </w:p>
    <w:p w14:paraId="00A39B35">
      <w:pPr>
        <w:pStyle w:val="9"/>
        <w:rPr>
          <w:rFonts w:hint="eastAsia"/>
        </w:rPr>
      </w:pPr>
      <w:r>
        <w:t>7.</w:t>
      </w:r>
      <w:r>
        <w:rPr>
          <w:rFonts w:hint="eastAsia"/>
        </w:rPr>
        <w:t>“主体生产经营业务分摊所得税额”：预缴申报时，填报按“</w:t>
      </w:r>
      <w:r>
        <w:rPr>
          <w:rFonts w:hint="eastAsia"/>
          <w:kern w:val="0"/>
        </w:rPr>
        <w:t>本期应补（退）所得税额</w:t>
      </w:r>
      <w:r>
        <w:rPr>
          <w:rFonts w:hint="eastAsia"/>
        </w:rPr>
        <w:t>”</w:t>
      </w:r>
      <w:r>
        <w:t>-</w:t>
      </w:r>
      <w:r>
        <w:rPr>
          <w:rFonts w:hint="eastAsia"/>
        </w:rPr>
        <w:t>“主要机构、场所直接分摊所得税额”</w:t>
      </w:r>
      <w:r>
        <w:t>-</w:t>
      </w:r>
      <w:r>
        <w:rPr>
          <w:rFonts w:hint="eastAsia"/>
        </w:rPr>
        <w:t>“主要机构、场所财政集中分配所得税额”公式计算的数额。年度纳税申报时，填报按“实际应纳所得税额”</w:t>
      </w:r>
      <w:r>
        <w:t xml:space="preserve"> -</w:t>
      </w:r>
      <w:r>
        <w:rPr>
          <w:rFonts w:hint="eastAsia"/>
        </w:rPr>
        <w:t>“主要机构、场所直接分摊所得税额”</w:t>
      </w:r>
      <w:r>
        <w:t xml:space="preserve"> -</w:t>
      </w:r>
      <w:r>
        <w:rPr>
          <w:rFonts w:hint="eastAsia"/>
        </w:rPr>
        <w:t>“主要机构、场所财政集中分配所得税额”公式计算的数额。</w:t>
      </w:r>
    </w:p>
    <w:p w14:paraId="1188C34C">
      <w:pPr>
        <w:pStyle w:val="9"/>
        <w:rPr>
          <w:rFonts w:cs="Times New Roman"/>
        </w:rPr>
      </w:pPr>
      <w:r>
        <w:rPr>
          <w:rFonts w:hint="eastAsia"/>
        </w:rPr>
        <w:t>8.“营业收入”：预缴申报时，填报参与“主体生产经营业务分摊所得税额”分配的各机构、场所上一年度销售商品、提供劳务、让渡资产使用权等日常经营活动实现的全部收入的合计额。年度纳税申报时，填报参与“主体生产经营业务分摊所得税额”分配的各机构、场所本年度销售商品、提供劳务、让渡资产使用权等日常经营活动实现的全部收入的合计额。</w:t>
      </w:r>
    </w:p>
    <w:p w14:paraId="760EB731">
      <w:pPr>
        <w:pStyle w:val="9"/>
      </w:pPr>
      <w:r>
        <w:t>9.</w:t>
      </w:r>
      <w:r>
        <w:rPr>
          <w:rFonts w:hint="eastAsia"/>
        </w:rPr>
        <w:t>“职工薪酬”：预缴申报时，填报参与“主体生产经营业务分摊所得税额”分配的各机构、场所上一年度为获得职工提供的服务而给予各种形式的报酬以及其他相关支出的合计额。年度纳税申报时，填报参与“主体生产经营业务分摊所得税额”分配的各机构、场所本年度为获得职工提供的服务而给予各种形式的报酬以及其他相关支出的合计额。</w:t>
      </w:r>
    </w:p>
    <w:p w14:paraId="097770CE">
      <w:pPr>
        <w:pStyle w:val="9"/>
      </w:pPr>
      <w:r>
        <w:t>10.</w:t>
      </w:r>
      <w:r>
        <w:rPr>
          <w:rFonts w:hint="eastAsia"/>
        </w:rPr>
        <w:t>“资产总额”：预缴申报时，填报参与“主体生产经营业务分摊所得税额”分配的各机构、场所上一年度在经营活动中实际使用资产的合计额。年度纳税申报时，填报参与“主体生产经营业务分摊所得税额”分配的各机构、场所本年度实际使用资产的合计额。</w:t>
      </w:r>
    </w:p>
    <w:p w14:paraId="0E42917B">
      <w:pPr>
        <w:pStyle w:val="9"/>
      </w:pPr>
      <w:r>
        <w:t>11.</w:t>
      </w:r>
      <w:r>
        <w:rPr>
          <w:rFonts w:hint="eastAsia"/>
        </w:rPr>
        <w:t>“分配比例”：填报按照国务院财政、税务主管部门或省税务机关规定确定的分配比例，分配比例应保留小数点后十位。</w:t>
      </w:r>
    </w:p>
    <w:p w14:paraId="0699188A">
      <w:pPr>
        <w:pStyle w:val="9"/>
      </w:pPr>
      <w:r>
        <w:t>12.</w:t>
      </w:r>
      <w:r>
        <w:rPr>
          <w:rFonts w:hint="eastAsia"/>
        </w:rPr>
        <w:t>“分配所得税额”：填报参与“主体生产经营业务分摊所得税额”分配的各机构、场所按照分配比例计算的结果（“主体生产经营业务分摊所得税额”</w:t>
      </w:r>
      <w:r>
        <w:t xml:space="preserve"> </w:t>
      </w:r>
      <w:r>
        <w:rPr>
          <w:rFonts w:hint="eastAsia"/>
        </w:rPr>
        <w:t>×“分配比例”）。</w:t>
      </w:r>
    </w:p>
    <w:p w14:paraId="6506C318">
      <w:pPr>
        <w:pStyle w:val="9"/>
        <w:rPr>
          <w:rFonts w:hint="eastAsia"/>
        </w:rPr>
      </w:pPr>
      <w:r>
        <w:t>13.</w:t>
      </w:r>
      <w:r>
        <w:rPr>
          <w:rFonts w:hint="eastAsia"/>
        </w:rPr>
        <w:t>“合计”：预缴申报时，填报参与“主体生产经营业务分摊所得税额”分配的各机构、场所上一年度的营业收入总额、职工薪酬总额和资产总额三项因素的合计数及当期各机构、场所分配比例和分配税额的合计数。年度纳税申报时，填报参与“主体生产经营业务分摊所得税额”分配的各机构、场所本年度的营业收入总额、职工薪酬总额和资产总额三项因素的合计数及当期各机构、场所分配比例和分配税额的合计数。</w:t>
      </w:r>
    </w:p>
    <w:p w14:paraId="0BAFCA7B">
      <w:pPr>
        <w:pStyle w:val="9"/>
      </w:pPr>
      <w:r>
        <w:rPr>
          <w:rFonts w:hint="eastAsia"/>
        </w:rPr>
        <w:t>14.“成本费用额”：填报汇总纳税但未分摊所得税的机构、场所当期发生的成本费用额。</w:t>
      </w:r>
    </w:p>
    <w:p w14:paraId="466276C9">
      <w:pPr>
        <w:pStyle w:val="9"/>
      </w:pPr>
      <w:r>
        <w:rPr>
          <w:rFonts w:hint="eastAsia"/>
        </w:rPr>
        <w:t>15.“资产额”：填报汇总纳税但未分摊所得税的机构、场所当期期末拥有的资产额。</w:t>
      </w:r>
    </w:p>
    <w:p w14:paraId="7966B74A">
      <w:pPr>
        <w:pStyle w:val="8"/>
        <w:ind w:firstLine="482"/>
      </w:pPr>
      <w:r>
        <w:rPr>
          <w:rFonts w:hint="eastAsia"/>
        </w:rPr>
        <w:t>三、表内、表间关系</w:t>
      </w:r>
    </w:p>
    <w:p w14:paraId="251BC728">
      <w:pPr>
        <w:pStyle w:val="10"/>
        <w:rPr>
          <w:rFonts w:cs="Times New Roman"/>
        </w:rPr>
      </w:pPr>
      <w:r>
        <w:rPr>
          <w:rFonts w:hint="eastAsia"/>
        </w:rPr>
        <w:t>（一）表内关系</w:t>
      </w:r>
    </w:p>
    <w:p w14:paraId="24AF978E">
      <w:pPr>
        <w:pStyle w:val="8"/>
        <w:ind w:firstLine="480"/>
        <w:rPr>
          <w:b w:val="0"/>
        </w:rPr>
      </w:pPr>
      <w:r>
        <w:rPr>
          <w:b w:val="0"/>
        </w:rPr>
        <w:t>1. “</w:t>
      </w:r>
      <w:r>
        <w:rPr>
          <w:rFonts w:hint="eastAsia"/>
          <w:b w:val="0"/>
        </w:rPr>
        <w:t>可分摊所得税额”</w:t>
      </w:r>
      <w:r>
        <w:rPr>
          <w:b w:val="0"/>
        </w:rPr>
        <w:t xml:space="preserve"> </w:t>
      </w:r>
      <w:r>
        <w:rPr>
          <w:rFonts w:hint="eastAsia"/>
          <w:b w:val="0"/>
        </w:rPr>
        <w:t>＝“主要机构、场所直接分摊所得税额”</w:t>
      </w:r>
      <w:r>
        <w:rPr>
          <w:b w:val="0"/>
        </w:rPr>
        <w:t xml:space="preserve"> + “主要机构、场所财政集中分配所得税额” +</w:t>
      </w:r>
      <w:r>
        <w:rPr>
          <w:rFonts w:hint="eastAsia"/>
          <w:b w:val="0"/>
        </w:rPr>
        <w:t>“主体生产经营业务分摊所得税额”</w:t>
      </w:r>
    </w:p>
    <w:p w14:paraId="728424B0">
      <w:pPr>
        <w:pStyle w:val="8"/>
        <w:ind w:firstLine="480"/>
        <w:rPr>
          <w:b w:val="0"/>
        </w:rPr>
      </w:pPr>
      <w:r>
        <w:rPr>
          <w:b w:val="0"/>
        </w:rPr>
        <w:t>2. “主体生产经营业务分摊所得税额” ＝“主体生产经营业务分摊所得税情况”栏“分配所得税额”列“合计”行</w:t>
      </w:r>
    </w:p>
    <w:p w14:paraId="2860CEA8">
      <w:pPr>
        <w:pStyle w:val="10"/>
        <w:rPr>
          <w:rFonts w:cs="Times New Roman"/>
        </w:rPr>
      </w:pPr>
      <w:r>
        <w:rPr>
          <w:rFonts w:hint="eastAsia"/>
        </w:rPr>
        <w:t>（二）表间关系</w:t>
      </w:r>
    </w:p>
    <w:p w14:paraId="21A879FF">
      <w:pPr>
        <w:pStyle w:val="9"/>
        <w:rPr>
          <w:rFonts w:cs="Times New Roman"/>
        </w:rPr>
      </w:pPr>
      <w:r>
        <w:t>1. 预缴申报时，“可分摊所得税额”栏＝表F100</w:t>
      </w:r>
      <w:r>
        <w:rPr>
          <w:rFonts w:hint="eastAsia"/>
        </w:rPr>
        <w:t>第</w:t>
      </w:r>
      <w:r>
        <w:t>21</w:t>
      </w:r>
      <w:r>
        <w:rPr>
          <w:rFonts w:hint="eastAsia"/>
        </w:rPr>
        <w:t>行的本年累计金额。年度纳税申报时，“可分摊所得税额”栏</w:t>
      </w:r>
      <w:r>
        <w:t>＝表F200</w:t>
      </w:r>
      <w:r>
        <w:rPr>
          <w:rFonts w:hint="eastAsia"/>
        </w:rPr>
        <w:t>第</w:t>
      </w:r>
      <w:r>
        <w:t>32</w:t>
      </w:r>
      <w:r>
        <w:rPr>
          <w:rFonts w:hint="eastAsia"/>
        </w:rPr>
        <w:t>行的申报金额。</w:t>
      </w:r>
    </w:p>
    <w:p w14:paraId="379F7B38">
      <w:pPr>
        <w:pStyle w:val="9"/>
        <w:rPr>
          <w:rFonts w:cs="Times New Roman"/>
        </w:rPr>
      </w:pPr>
      <w:r>
        <w:t>2. 预缴申报时，“主要机构、场所直接分摊所得税额”栏＝表F100</w:t>
      </w:r>
      <w:r>
        <w:rPr>
          <w:rFonts w:hint="eastAsia"/>
        </w:rPr>
        <w:t>第</w:t>
      </w:r>
      <w:r>
        <w:t>23行。</w:t>
      </w:r>
      <w:r>
        <w:rPr>
          <w:rFonts w:hint="eastAsia"/>
        </w:rPr>
        <w:t>年度纳税申报时，</w:t>
      </w:r>
      <w:r>
        <w:t xml:space="preserve"> </w:t>
      </w:r>
      <w:r>
        <w:rPr>
          <w:rFonts w:hint="eastAsia"/>
        </w:rPr>
        <w:t>“主要机构、场所直接分摊所得税额”栏＝表</w:t>
      </w:r>
      <w:r>
        <w:t>F200</w:t>
      </w:r>
      <w:r>
        <w:rPr>
          <w:rFonts w:hint="eastAsia"/>
        </w:rPr>
        <w:t>第</w:t>
      </w:r>
      <w:r>
        <w:t>36</w:t>
      </w:r>
      <w:r>
        <w:rPr>
          <w:rFonts w:hint="eastAsia"/>
        </w:rPr>
        <w:t>行。</w:t>
      </w:r>
    </w:p>
    <w:p w14:paraId="73706FA0">
      <w:pPr>
        <w:pStyle w:val="9"/>
        <w:rPr>
          <w:rFonts w:cs="Times New Roman"/>
        </w:rPr>
      </w:pPr>
      <w:r>
        <w:t xml:space="preserve">3. </w:t>
      </w:r>
      <w:r>
        <w:rPr>
          <w:rFonts w:hint="eastAsia"/>
        </w:rPr>
        <w:t>预缴申报时，“主要机构、场所财政集中分配所得税额”栏＝表</w:t>
      </w:r>
      <w:r>
        <w:t>F100</w:t>
      </w:r>
      <w:r>
        <w:rPr>
          <w:rFonts w:hint="eastAsia"/>
        </w:rPr>
        <w:t>第</w:t>
      </w:r>
      <w:r>
        <w:t>24行。</w:t>
      </w:r>
      <w:r>
        <w:rPr>
          <w:rFonts w:hint="eastAsia"/>
        </w:rPr>
        <w:t>年度纳税申报时，“主要机构、场所财政集中分配所得税额”栏＝表</w:t>
      </w:r>
      <w:r>
        <w:t>F200</w:t>
      </w:r>
      <w:r>
        <w:rPr>
          <w:rFonts w:hint="eastAsia"/>
        </w:rPr>
        <w:t>第</w:t>
      </w:r>
      <w:r>
        <w:t>37</w:t>
      </w:r>
      <w:r>
        <w:rPr>
          <w:rFonts w:hint="eastAsia"/>
        </w:rPr>
        <w:t>行。</w:t>
      </w:r>
    </w:p>
    <w:p w14:paraId="23141703">
      <w:pPr>
        <w:pStyle w:val="9"/>
      </w:pPr>
      <w:r>
        <w:t xml:space="preserve">4. </w:t>
      </w:r>
      <w:r>
        <w:rPr>
          <w:rFonts w:hint="eastAsia"/>
        </w:rPr>
        <w:t>预缴申报时，“主体生产经营业务分摊所得税情况”栏对应主要机构、场所行次的“分配所得税额”列＝表</w:t>
      </w:r>
      <w:r>
        <w:t>F100</w:t>
      </w:r>
      <w:r>
        <w:rPr>
          <w:rFonts w:hint="eastAsia"/>
        </w:rPr>
        <w:t>第</w:t>
      </w:r>
      <w:r>
        <w:t>25行。</w:t>
      </w:r>
      <w:r>
        <w:rPr>
          <w:rFonts w:hint="eastAsia"/>
        </w:rPr>
        <w:t>年度纳税申报时，“主体生产经营业务分摊所得税情况”栏对应主要机构、场所行次的“分配所得税额”列＝表</w:t>
      </w:r>
      <w:r>
        <w:t>F200</w:t>
      </w:r>
      <w:r>
        <w:rPr>
          <w:rFonts w:hint="eastAsia"/>
        </w:rPr>
        <w:t>第</w:t>
      </w:r>
      <w:r>
        <w:t>38</w:t>
      </w:r>
      <w:r>
        <w:rPr>
          <w:rFonts w:hint="eastAsia"/>
        </w:rPr>
        <w:t>行。</w:t>
      </w:r>
    </w:p>
    <w:p w14:paraId="494D15AA">
      <w:pPr>
        <w:pStyle w:val="9"/>
      </w:pPr>
      <w:r>
        <w:t xml:space="preserve">5. </w:t>
      </w:r>
      <w:r>
        <w:rPr>
          <w:rFonts w:hint="eastAsia"/>
        </w:rPr>
        <w:t>预缴申报时，“主体生产经营业务分摊所得税情况”栏对应本机构、场所行次的“分配比例”列＝表</w:t>
      </w:r>
      <w:r>
        <w:t>F100</w:t>
      </w:r>
      <w:r>
        <w:rPr>
          <w:rFonts w:hint="eastAsia"/>
        </w:rPr>
        <w:t>第</w:t>
      </w:r>
      <w:r>
        <w:t>26行。</w:t>
      </w:r>
    </w:p>
    <w:p w14:paraId="3E8109F5">
      <w:pPr>
        <w:pStyle w:val="9"/>
      </w:pPr>
      <w:r>
        <w:t xml:space="preserve">6. </w:t>
      </w:r>
      <w:r>
        <w:rPr>
          <w:rFonts w:hint="eastAsia"/>
        </w:rPr>
        <w:t>预缴申报时，“主体生产经营业务分摊所得税情况”栏对应本机构、场所的“分配所得税额”列</w:t>
      </w:r>
      <w:r>
        <w:t>＝</w:t>
      </w:r>
      <w:r>
        <w:rPr>
          <w:rFonts w:hint="eastAsia"/>
        </w:rPr>
        <w:t>表</w:t>
      </w:r>
      <w:r>
        <w:t>F100</w:t>
      </w:r>
      <w:r>
        <w:rPr>
          <w:rFonts w:hint="eastAsia"/>
        </w:rPr>
        <w:t>第</w:t>
      </w:r>
      <w:r>
        <w:t>27行。</w:t>
      </w:r>
      <w:r>
        <w:rPr>
          <w:rFonts w:hint="eastAsia"/>
        </w:rPr>
        <w:t>年度纳税申报时，“主体生产经营业务分摊所得税情况”栏对应本机构、场所的“分配所得税额”列</w:t>
      </w:r>
      <w:r>
        <w:t>＝</w:t>
      </w:r>
      <w:r>
        <w:rPr>
          <w:rFonts w:hint="eastAsia"/>
        </w:rPr>
        <w:t>表</w:t>
      </w:r>
      <w:r>
        <w:t>F200</w:t>
      </w:r>
      <w:r>
        <w:rPr>
          <w:rFonts w:hint="eastAsia"/>
        </w:rPr>
        <w:t>第</w:t>
      </w:r>
      <w:r>
        <w:t>41</w:t>
      </w:r>
      <w:r>
        <w:rPr>
          <w:rFonts w:hint="eastAsia"/>
        </w:rPr>
        <w:t>行。</w:t>
      </w:r>
    </w:p>
    <w:p w14:paraId="46B7B264"/>
    <w:p w14:paraId="7835B403"/>
    <w:sectPr>
      <w:head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CF493">
    <w:pPr>
      <w:pStyle w:val="2"/>
      <w:jc w:val="center"/>
    </w:pPr>
    <w:r>
      <w:fldChar w:fldCharType="begin"/>
    </w:r>
    <w:r>
      <w:instrText xml:space="preserve"> PAGE   \* MERGEFORMAT </w:instrText>
    </w:r>
    <w:r>
      <w:fldChar w:fldCharType="separate"/>
    </w:r>
    <w:r>
      <w:rPr>
        <w:lang w:val="zh-CN"/>
      </w:rPr>
      <w:t>-</w:t>
    </w:r>
    <w:r>
      <w:t xml:space="preserve"> 5 -</w:t>
    </w:r>
    <w:r>
      <w:fldChar w:fldCharType="end"/>
    </w:r>
  </w:p>
  <w:p w14:paraId="26E9DFD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90F45">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EF7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3DF43A2D"/>
    <w:rsid w:val="3DF43A2D"/>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6">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7">
    <w:name w:val="SBBT1"/>
    <w:basedOn w:val="1"/>
    <w:qFormat/>
    <w:uiPriority w:val="0"/>
    <w:pPr>
      <w:tabs>
        <w:tab w:val="center" w:pos="4678"/>
      </w:tabs>
      <w:spacing w:line="360" w:lineRule="auto"/>
      <w:jc w:val="left"/>
      <w:outlineLvl w:val="0"/>
    </w:pPr>
    <w:rPr>
      <w:rFonts w:ascii="宋体" w:hAnsi="宋体" w:cs="宋体"/>
      <w:b/>
      <w:bCs/>
      <w:kern w:val="0"/>
      <w:sz w:val="28"/>
      <w:szCs w:val="28"/>
    </w:rPr>
  </w:style>
  <w:style w:type="paragraph" w:customStyle="1" w:styleId="8">
    <w:name w:val="SBBL2"/>
    <w:basedOn w:val="1"/>
    <w:qFormat/>
    <w:uiPriority w:val="0"/>
    <w:pPr>
      <w:spacing w:line="360" w:lineRule="auto"/>
      <w:ind w:firstLine="200" w:firstLineChars="200"/>
      <w:jc w:val="left"/>
      <w:outlineLvl w:val="1"/>
    </w:pPr>
    <w:rPr>
      <w:rFonts w:ascii="宋体" w:hAnsi="宋体" w:cs="宋体"/>
      <w:b/>
      <w:bCs/>
      <w:sz w:val="24"/>
      <w:szCs w:val="24"/>
    </w:rPr>
  </w:style>
  <w:style w:type="paragraph" w:customStyle="1" w:styleId="9">
    <w:name w:val="SBBZW"/>
    <w:basedOn w:val="1"/>
    <w:qFormat/>
    <w:uiPriority w:val="0"/>
    <w:pPr>
      <w:spacing w:line="360" w:lineRule="auto"/>
      <w:ind w:firstLine="480" w:firstLineChars="200"/>
    </w:pPr>
    <w:rPr>
      <w:rFonts w:ascii="宋体" w:hAnsi="宋体" w:cs="宋体"/>
      <w:sz w:val="24"/>
      <w:szCs w:val="24"/>
    </w:rPr>
  </w:style>
  <w:style w:type="paragraph" w:customStyle="1" w:styleId="10">
    <w:name w:val="SBBL3"/>
    <w:basedOn w:val="1"/>
    <w:qFormat/>
    <w:uiPriority w:val="0"/>
    <w:pPr>
      <w:spacing w:line="360" w:lineRule="auto"/>
      <w:ind w:firstLine="480" w:firstLineChars="200"/>
      <w:outlineLvl w:val="2"/>
    </w:pPr>
    <w:rPr>
      <w:rFonts w:ascii="黑体" w:hAnsi="黑体" w:eastAsia="黑体" w:cs="黑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2024-08-11T14:38:00Z</dcterms:created>
  <dc:creator>www.shuiwu114.com</dc:creator>
  <cp:lastModifiedBy>www.shuiwu114.com</cp:lastModifiedBy>
  <dcterms:modified xsi:type="dcterms:W3CDTF">2024-08-11T14:40:09Z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C6FB9742B925450CAA2B1927BD79D7C9_11</vt:lpwstr>
  </property>
</Properties>
</file>