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BA0C7">
      <w:pPr>
        <w:pStyle w:val="7"/>
        <w:spacing w:line="380" w:lineRule="exact"/>
        <w:rPr>
          <w:bCs w:val="0"/>
          <w:kern w:val="2"/>
        </w:rPr>
      </w:pPr>
      <w:bookmarkStart w:id="0" w:name="_GoBack"/>
      <w:r>
        <w:t xml:space="preserve">F400           </w:t>
      </w:r>
      <w:r>
        <w:rPr>
          <w:rFonts w:hint="eastAsia"/>
          <w:bCs w:val="0"/>
          <w:kern w:val="2"/>
        </w:rPr>
        <w:t>非居民企业机构、场所核定计算明细表</w:t>
      </w:r>
    </w:p>
    <w:bookmarkEnd w:id="0"/>
    <w:tbl>
      <w:tblPr>
        <w:tblStyle w:val="4"/>
        <w:tblW w:w="922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36"/>
        <w:gridCol w:w="1134"/>
        <w:gridCol w:w="1276"/>
        <w:gridCol w:w="3407"/>
        <w:gridCol w:w="236"/>
        <w:gridCol w:w="254"/>
        <w:gridCol w:w="1064"/>
      </w:tblGrid>
      <w:tr w14:paraId="58B61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3D4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核定方法</w:t>
            </w:r>
          </w:p>
        </w:tc>
        <w:tc>
          <w:tcPr>
            <w:tcW w:w="4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6CF973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行次</w:t>
            </w:r>
          </w:p>
        </w:tc>
        <w:tc>
          <w:tcPr>
            <w:tcW w:w="58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F10A52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　报　项　目</w:t>
            </w:r>
          </w:p>
        </w:tc>
        <w:tc>
          <w:tcPr>
            <w:tcW w:w="15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4D2928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累计金额</w:t>
            </w:r>
          </w:p>
        </w:tc>
      </w:tr>
      <w:tr w14:paraId="4239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89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按收入总额核定应纳税所得额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6FB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9FD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项目1</w:t>
            </w:r>
          </w:p>
          <w:p w14:paraId="516CF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B3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D83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A0025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58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84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7CC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368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20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135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经税务机关确认的核定利润率（%）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1C3C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5F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FAD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03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0D0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BD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7F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应纳税所得额（1×2）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B9755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111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DFE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8A4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BE6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项目2</w:t>
            </w:r>
          </w:p>
          <w:p w14:paraId="3DF37D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985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A2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5578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50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A9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29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05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F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0D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经税务机关确认的核定利润率（%）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A345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93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8E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0E0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3D6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7B7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5A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应纳税所得额（4×5）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3C7D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E5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212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095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35B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项目3</w:t>
            </w:r>
          </w:p>
          <w:p w14:paraId="23A1D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23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FD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714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27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024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7D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9EC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634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47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经税务机关确认的核定利润率（%）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BD40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34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71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4A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260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EF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EE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应纳税所得额（7×8）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12455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065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70F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D70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B6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收入总额（1+4+7）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43A24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FA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511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2E3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59B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应纳税所得额合计（3+6+9）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01F3D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4EB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E98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按经费支出换算应纳税所得额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A25B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5B3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经费支出总额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0DC51B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C70F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8F6E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5E8A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04C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换算的收入额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CFB24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6E9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B43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87C9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513A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</w:t>
            </w:r>
            <w:r>
              <w:rPr>
                <w:rFonts w:hint="eastAsia" w:ascii="宋体" w:hAnsi="宋体" w:cs="宋体"/>
                <w:kern w:val="0"/>
                <w:sz w:val="22"/>
              </w:rPr>
              <w:t>（%）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07F811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157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3F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CCA5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5D85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应纳税所得额（13×14）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F313B9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BC4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235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按成本费用核定应纳税所得额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C19D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A5E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成本费用总额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BCED1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4BEF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B406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A101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7EA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换算的收入额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0777A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182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2F6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C05A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65FF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经税务机关确认的核定利润率</w:t>
            </w:r>
            <w:r>
              <w:rPr>
                <w:rFonts w:hint="eastAsia" w:ascii="宋体" w:hAnsi="宋体" w:cs="宋体"/>
                <w:kern w:val="0"/>
                <w:sz w:val="22"/>
              </w:rPr>
              <w:t>（%）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6C23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FCF1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8E3A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B20D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4529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应纳税所得额（17×18）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31FB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3AA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BE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税务机关认可的其他合理方法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EB41C0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5ED0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应纳税所得额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8C125A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06E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F08A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3D42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5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4024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应纳税额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13F04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742116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7ABA2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 w14:paraId="43170EF9">
      <w:pPr>
        <w:pStyle w:val="7"/>
        <w:spacing w:line="380" w:lineRule="exact"/>
        <w:rPr>
          <w:bCs w:val="0"/>
          <w:kern w:val="2"/>
        </w:rPr>
      </w:pPr>
    </w:p>
    <w:p w14:paraId="4A430B4B">
      <w:pPr>
        <w:pStyle w:val="7"/>
        <w:spacing w:line="380" w:lineRule="exact"/>
        <w:ind w:right="200"/>
        <w:jc w:val="right"/>
        <w:rPr>
          <w:b w:val="0"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1134" w:right="1361" w:bottom="1134" w:left="136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b w:val="0"/>
          <w:sz w:val="20"/>
          <w:szCs w:val="20"/>
        </w:rPr>
        <w:t>国家税务总局监制</w:t>
      </w:r>
    </w:p>
    <w:p w14:paraId="5BFF4FF0">
      <w:pPr>
        <w:pStyle w:val="8"/>
        <w:ind w:firstLine="560" w:firstLineChars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F400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《非居民企业机构、场所核定计算明细表》</w:t>
      </w:r>
    </w:p>
    <w:p w14:paraId="0FD68097">
      <w:pPr>
        <w:pStyle w:val="8"/>
        <w:ind w:firstLine="560" w:firstLineChars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填报说明</w:t>
      </w:r>
    </w:p>
    <w:p w14:paraId="359908A6">
      <w:pPr>
        <w:pStyle w:val="8"/>
        <w:ind w:firstLine="482"/>
        <w:rPr>
          <w:rFonts w:cs="Times New Roman"/>
        </w:rPr>
      </w:pPr>
      <w:r>
        <w:rPr>
          <w:rFonts w:hint="eastAsia"/>
        </w:rPr>
        <w:t>一、适用范围</w:t>
      </w:r>
    </w:p>
    <w:p w14:paraId="13235E9B">
      <w:pPr>
        <w:pStyle w:val="9"/>
      </w:pPr>
      <w:r>
        <w:rPr>
          <w:rFonts w:hint="eastAsia"/>
        </w:rPr>
        <w:t>本表为《中华人民共和国非居民企业所得税预缴申报表（</w:t>
      </w:r>
      <w:r>
        <w:t>2019年版</w:t>
      </w:r>
      <w:r>
        <w:rPr>
          <w:rFonts w:hint="eastAsia"/>
        </w:rPr>
        <w:t>）》（表</w:t>
      </w:r>
      <w:r>
        <w:t>F100）和</w:t>
      </w:r>
      <w:r>
        <w:rPr>
          <w:rFonts w:hint="eastAsia"/>
        </w:rPr>
        <w:t>《中华人民共和国非居民企业所得税年度纳税申报表（</w:t>
      </w:r>
      <w:r>
        <w:t>2019年版</w:t>
      </w:r>
      <w:r>
        <w:rPr>
          <w:rFonts w:hint="eastAsia"/>
        </w:rPr>
        <w:t>）》</w:t>
      </w:r>
      <w:r>
        <w:t>(表F200)的附表，由按照有关规定适用核定征收的非居民企业机构、场所填报。</w:t>
      </w:r>
    </w:p>
    <w:p w14:paraId="1F769B9A">
      <w:pPr>
        <w:pStyle w:val="8"/>
        <w:ind w:firstLine="482"/>
        <w:rPr>
          <w:rFonts w:cs="Times New Roman"/>
        </w:rPr>
      </w:pPr>
      <w:r>
        <w:rPr>
          <w:rFonts w:hint="eastAsia"/>
        </w:rPr>
        <w:t>二、具体项目填报说明</w:t>
      </w:r>
    </w:p>
    <w:p w14:paraId="468D0D5F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1.第1至11行填报核定方法为“按收入总额核定应纳税所得额”的申报项目情况。</w:t>
      </w:r>
    </w:p>
    <w:p w14:paraId="6A9D3121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第1至9行的填报：纳税人从事适用不同核定利润率的经营活动，并取得应税所得的，应分别核算并适用相应的利润率计算应纳税所得额。在“项目名称”栏填写具体的项目名称、合同号。多于三个项目</w:t>
      </w:r>
      <w:r>
        <w:rPr>
          <w:b w:val="0"/>
          <w:bCs w:val="0"/>
          <w:kern w:val="2"/>
          <w:sz w:val="24"/>
          <w:szCs w:val="24"/>
        </w:rPr>
        <w:t>的，附页填报。</w:t>
      </w:r>
    </w:p>
    <w:p w14:paraId="554ADECE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第10行“收入总额”填报所有“按收入总额核定应纳税所得额”的申报项目的收入总额。</w:t>
      </w:r>
    </w:p>
    <w:p w14:paraId="1F1F782C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第11行“应纳税所得额合计”填报所有“按收入总额核定应纳税所得额”的申报项目的应纳税所得额合计数额。</w:t>
      </w:r>
    </w:p>
    <w:p w14:paraId="4384221D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2.第12至15行填报核定方法为“按经费支出换算应纳税所得额”的申报项目情况。</w:t>
      </w:r>
    </w:p>
    <w:p w14:paraId="27A401E0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第12行“经费支出总额”填报纳税人本纳税年度实际支出的经费总额。</w:t>
      </w:r>
    </w:p>
    <w:p w14:paraId="66F59632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第13行“换算的收入额”填报根据税法、相关税收规定用经费支出总额换算的收入额。换算的收入额＝经费支出总额÷（1－经税务机关确认的核定利润率）。</w:t>
      </w:r>
    </w:p>
    <w:p w14:paraId="50AE4773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第14行“经税务机关确认的核定利润率（%）”填报经税务机关确认的核定利润率。</w:t>
      </w:r>
    </w:p>
    <w:p w14:paraId="6FD8863C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第15行“应纳税所得额”填报按经费支出换算的应纳税所得额，第15行＝第13行×第14行。</w:t>
      </w:r>
    </w:p>
    <w:p w14:paraId="2B8501AB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3.第16至第19行填报核定方法为“按成本费用核定应纳税所得额”的申报项目情况。</w:t>
      </w:r>
    </w:p>
    <w:p w14:paraId="2A795613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第16行“成本费用总额”填报纳税人本期实际支出的成本费用总额。</w:t>
      </w:r>
    </w:p>
    <w:p w14:paraId="2EC2C62C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第17行“换算的收入额”填报根据税法、相关税收规定用成本费用总额换算的收入额。换算的收入额＝成本费用总额÷（1－经税务机关确认的核定利润率）。</w:t>
      </w:r>
    </w:p>
    <w:p w14:paraId="15889D3C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第18行“经税务机关确认的核定利润率（%）”填报经税务机关确认的核定利润率。</w:t>
      </w:r>
    </w:p>
    <w:p w14:paraId="6D721CDE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第19行“应纳税所得额”填报按成本费用换算的应纳税所得额，第19行＝第17行×第18行。</w:t>
      </w:r>
    </w:p>
    <w:p w14:paraId="6267B7AA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4.第20至21行填报按照“税务机关认可的其他合理方法”进行核定的申报项目情况。</w:t>
      </w:r>
    </w:p>
    <w:p w14:paraId="7220CBE6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按照税务机关认可的其他合理方法核定应纳税所得额的填报第20行，并附页说明具体核定方法、计算过程等。</w:t>
      </w:r>
    </w:p>
    <w:p w14:paraId="1092343D">
      <w:pPr>
        <w:pStyle w:val="7"/>
        <w:ind w:firstLine="566" w:firstLineChars="236"/>
        <w:rPr>
          <w:rFonts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b w:val="0"/>
          <w:bCs w:val="0"/>
          <w:kern w:val="2"/>
          <w:sz w:val="24"/>
          <w:szCs w:val="24"/>
        </w:rPr>
        <w:t>按照税务机关认可的其他合理方法核定应纳税额的填报第21行，并附页说明具体核定方法、计算过程等。已填报第21行的，不填报其他行次对应纳税所得额的核定。其他行次已填报核定的应纳税所得额的，不填报第21行。</w:t>
      </w:r>
    </w:p>
    <w:p w14:paraId="356ED53C">
      <w:pPr>
        <w:pStyle w:val="8"/>
        <w:ind w:firstLine="482"/>
      </w:pPr>
      <w:r>
        <w:rPr>
          <w:rFonts w:hint="eastAsia"/>
        </w:rPr>
        <w:t>三、表内、表间关系</w:t>
      </w:r>
    </w:p>
    <w:p w14:paraId="2F5B54A9">
      <w:pPr>
        <w:pStyle w:val="10"/>
        <w:rPr>
          <w:rFonts w:cs="Times New Roman"/>
        </w:rPr>
      </w:pPr>
      <w:r>
        <w:rPr>
          <w:rFonts w:hint="eastAsia"/>
        </w:rPr>
        <w:t>（一）表内关系</w:t>
      </w:r>
    </w:p>
    <w:p w14:paraId="06BB1BE8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</w:rPr>
        <w:t>1.第3行＝第1行</w:t>
      </w:r>
      <w:r>
        <w:rPr>
          <w:rFonts w:hint="eastAsia"/>
          <w:b w:val="0"/>
          <w:bCs w:val="0"/>
        </w:rPr>
        <w:t>×第2行。</w:t>
      </w:r>
    </w:p>
    <w:p w14:paraId="5253F11F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</w:t>
      </w:r>
      <w:r>
        <w:rPr>
          <w:rFonts w:hint="eastAsia"/>
          <w:b w:val="0"/>
        </w:rPr>
        <w:t>第6行＝第4行</w:t>
      </w:r>
      <w:r>
        <w:rPr>
          <w:rFonts w:hint="eastAsia"/>
          <w:b w:val="0"/>
          <w:bCs w:val="0"/>
        </w:rPr>
        <w:t>×第5行。</w:t>
      </w:r>
    </w:p>
    <w:p w14:paraId="7E2EA4C4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</w:t>
      </w:r>
      <w:r>
        <w:rPr>
          <w:rFonts w:hint="eastAsia"/>
          <w:b w:val="0"/>
        </w:rPr>
        <w:t>第9行＝第7行</w:t>
      </w:r>
      <w:r>
        <w:rPr>
          <w:rFonts w:hint="eastAsia"/>
          <w:b w:val="0"/>
          <w:bCs w:val="0"/>
        </w:rPr>
        <w:t>×第8行。</w:t>
      </w:r>
    </w:p>
    <w:p w14:paraId="6CA35495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4.第10行＝第1行+第4行+第7行。</w:t>
      </w:r>
    </w:p>
    <w:p w14:paraId="3D2B53D5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5.第11行＝第3行+第6行+第9行。</w:t>
      </w:r>
    </w:p>
    <w:p w14:paraId="22D8D39E">
      <w:pPr>
        <w:pStyle w:val="8"/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6.第15行＝第13行×第14行。</w:t>
      </w:r>
    </w:p>
    <w:p w14:paraId="6A557BFE">
      <w:pPr>
        <w:pStyle w:val="8"/>
        <w:ind w:firstLine="480"/>
        <w:rPr>
          <w:rFonts w:hint="eastAsia"/>
          <w:b w:val="0"/>
        </w:rPr>
      </w:pPr>
      <w:r>
        <w:rPr>
          <w:rFonts w:hint="eastAsia"/>
          <w:b w:val="0"/>
          <w:bCs w:val="0"/>
        </w:rPr>
        <w:t>7.第19行＝第17行×第18行。</w:t>
      </w:r>
    </w:p>
    <w:p w14:paraId="1C6844B5">
      <w:pPr>
        <w:pStyle w:val="10"/>
        <w:ind w:firstLine="470" w:firstLineChars="196"/>
        <w:rPr>
          <w:rFonts w:cs="Times New Roman"/>
        </w:rPr>
      </w:pPr>
      <w:r>
        <w:rPr>
          <w:rFonts w:hint="eastAsia"/>
        </w:rPr>
        <w:t>（二）表间关系</w:t>
      </w:r>
    </w:p>
    <w:p w14:paraId="016B0F14">
      <w:pPr>
        <w:pStyle w:val="9"/>
        <w:ind w:firstLine="566" w:firstLineChars="236"/>
        <w:rPr>
          <w:bCs/>
        </w:rPr>
      </w:pPr>
      <w:r>
        <w:t>1</w:t>
      </w:r>
      <w:r>
        <w:rPr>
          <w:bCs/>
        </w:rPr>
        <w:t xml:space="preserve">. </w:t>
      </w:r>
      <w:r>
        <w:rPr>
          <w:rFonts w:hint="eastAsia"/>
          <w:bCs/>
        </w:rPr>
        <w:t>预缴申报时，本表核定的应纳税所得额</w:t>
      </w:r>
      <w:r>
        <w:rPr>
          <w:bCs/>
        </w:rPr>
        <w:t>＝</w:t>
      </w:r>
      <w:r>
        <w:rPr>
          <w:rFonts w:hint="eastAsia"/>
          <w:bCs/>
        </w:rPr>
        <w:t>F100第11行</w:t>
      </w:r>
      <w:r>
        <w:t>“</w:t>
      </w:r>
      <w:r>
        <w:rPr>
          <w:rFonts w:hint="eastAsia"/>
        </w:rPr>
        <w:t>实际利润额/按上一纳税年度应纳税所得额平均额确定的应纳税所得额</w:t>
      </w:r>
      <w:r>
        <w:t>”的“</w:t>
      </w:r>
      <w:r>
        <w:rPr>
          <w:rFonts w:hint="eastAsia"/>
        </w:rPr>
        <w:t>核定征收</w:t>
      </w:r>
      <w:r>
        <w:t>本年累计金额”列</w:t>
      </w:r>
      <w:r>
        <w:rPr>
          <w:rFonts w:hint="eastAsia"/>
        </w:rPr>
        <w:t>。年度纳税申报时，</w:t>
      </w:r>
      <w:r>
        <w:rPr>
          <w:rFonts w:hint="eastAsia"/>
          <w:bCs/>
        </w:rPr>
        <w:t>本表核定的应纳税所得额</w:t>
      </w:r>
      <w:r>
        <w:rPr>
          <w:bCs/>
        </w:rPr>
        <w:t>＝</w:t>
      </w:r>
      <w:r>
        <w:rPr>
          <w:rFonts w:hint="eastAsia"/>
        </w:rPr>
        <w:t>表</w:t>
      </w:r>
      <w:r>
        <w:t>F200</w:t>
      </w:r>
      <w:r>
        <w:rPr>
          <w:rFonts w:hint="eastAsia"/>
        </w:rPr>
        <w:t>第19</w:t>
      </w:r>
      <w:r>
        <w:t>行“</w:t>
      </w:r>
      <w:r>
        <w:rPr>
          <w:rFonts w:hint="eastAsia"/>
        </w:rPr>
        <w:t>应纳税所得额</w:t>
      </w:r>
      <w:r>
        <w:t>”的“</w:t>
      </w:r>
      <w:r>
        <w:rPr>
          <w:rFonts w:hint="eastAsia"/>
        </w:rPr>
        <w:t>核定征收</w:t>
      </w:r>
      <w:r>
        <w:t>申报金额”列</w:t>
      </w:r>
      <w:r>
        <w:rPr>
          <w:rFonts w:hint="eastAsia"/>
        </w:rPr>
        <w:t>。</w:t>
      </w:r>
    </w:p>
    <w:p w14:paraId="5E9948C2">
      <w:pPr>
        <w:pStyle w:val="9"/>
        <w:ind w:firstLine="566" w:firstLineChars="236"/>
      </w:pPr>
      <w:r>
        <w:rPr>
          <w:rFonts w:hint="eastAsia"/>
        </w:rPr>
        <w:t>2.预缴申报时，第21行“应纳税额”＝</w:t>
      </w:r>
      <w:r>
        <w:t>表F100</w:t>
      </w:r>
      <w:r>
        <w:rPr>
          <w:rFonts w:hint="eastAsia"/>
        </w:rPr>
        <w:t>第13</w:t>
      </w:r>
      <w:r>
        <w:t>行“</w:t>
      </w:r>
      <w:r>
        <w:rPr>
          <w:rFonts w:hint="eastAsia"/>
        </w:rPr>
        <w:t>应纳所得税额</w:t>
      </w:r>
      <w:r>
        <w:t>”的“</w:t>
      </w:r>
      <w:r>
        <w:rPr>
          <w:rFonts w:hint="eastAsia"/>
        </w:rPr>
        <w:t>核定征收</w:t>
      </w:r>
      <w:r>
        <w:t>本年累计金额”列</w:t>
      </w:r>
      <w:r>
        <w:rPr>
          <w:rFonts w:hint="eastAsia"/>
        </w:rPr>
        <w:t>。年度纳税申报时，第21行“应纳税额”＝表</w:t>
      </w:r>
      <w:r>
        <w:t>F200</w:t>
      </w:r>
      <w:r>
        <w:rPr>
          <w:rFonts w:hint="eastAsia"/>
        </w:rPr>
        <w:t>第21</w:t>
      </w:r>
      <w:r>
        <w:t>行“</w:t>
      </w:r>
      <w:r>
        <w:rPr>
          <w:rFonts w:hint="eastAsia"/>
        </w:rPr>
        <w:t>应纳所得税额</w:t>
      </w:r>
      <w:r>
        <w:t>”的“</w:t>
      </w:r>
      <w:r>
        <w:rPr>
          <w:rFonts w:hint="eastAsia"/>
        </w:rPr>
        <w:t>核定征收</w:t>
      </w:r>
      <w:r>
        <w:t>申报金额”列</w:t>
      </w:r>
      <w:r>
        <w:rPr>
          <w:rFonts w:hint="eastAsia"/>
        </w:rPr>
        <w:t>。</w:t>
      </w:r>
    </w:p>
    <w:p w14:paraId="226B195D"/>
    <w:p w14:paraId="4FAD9E49"/>
    <w:sectPr>
      <w:head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82D7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 w14:paraId="1242D17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8468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C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48A3E12"/>
    <w:rsid w:val="4CFC467E"/>
    <w:rsid w:val="548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7">
    <w:name w:val="SBBT1"/>
    <w:basedOn w:val="1"/>
    <w:uiPriority w:val="0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8">
    <w:name w:val="SBBL2"/>
    <w:basedOn w:val="1"/>
    <w:uiPriority w:val="0"/>
    <w:pPr>
      <w:spacing w:line="360" w:lineRule="auto"/>
      <w:ind w:firstLine="200" w:firstLineChars="200"/>
      <w:jc w:val="left"/>
      <w:outlineLvl w:val="1"/>
    </w:pPr>
    <w:rPr>
      <w:rFonts w:ascii="宋体" w:hAnsi="宋体" w:cs="宋体"/>
      <w:b/>
      <w:bCs/>
      <w:sz w:val="24"/>
      <w:szCs w:val="24"/>
    </w:rPr>
  </w:style>
  <w:style w:type="paragraph" w:customStyle="1" w:styleId="9">
    <w:name w:val="SBBZW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4"/>
    </w:rPr>
  </w:style>
  <w:style w:type="paragraph" w:customStyle="1" w:styleId="10">
    <w:name w:val="SBBL3"/>
    <w:basedOn w:val="1"/>
    <w:uiPriority w:val="0"/>
    <w:pPr>
      <w:spacing w:line="360" w:lineRule="auto"/>
      <w:ind w:firstLine="480" w:firstLineChars="200"/>
      <w:outlineLvl w:val="2"/>
    </w:pPr>
    <w:rPr>
      <w:rFonts w:ascii="黑体" w:hAnsi="黑体" w:eastAsia="黑体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2024-08-11T14:40:00Z</dcterms:created>
  <dc:creator>www.shuiwu114.com</dc:creator>
  <cp:lastModifiedBy>www.shuiwu114.com</cp:lastModifiedBy>
  <dcterms:modified xsi:type="dcterms:W3CDTF">2024-08-11T14:41:25Z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C7B491349E974B3CB0258F04B9298175_11</vt:lpwstr>
  </property>
</Properties>
</file>