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55561">
      <w:pPr>
        <w:jc w:val="center"/>
        <w:rPr>
          <w:rFonts w:hint="eastAsia"/>
          <w:b/>
          <w:spacing w:val="20"/>
          <w:sz w:val="52"/>
          <w:szCs w:val="52"/>
        </w:rPr>
      </w:pPr>
      <w:bookmarkStart w:id="0" w:name="_Toc37817979"/>
      <w:bookmarkStart w:id="1" w:name="_Toc37601342"/>
      <w:bookmarkStart w:id="2" w:name="_Toc37603291"/>
      <w:bookmarkStart w:id="3" w:name="_Toc37602321"/>
      <w:bookmarkStart w:id="4" w:name="_Toc37768481"/>
      <w:bookmarkStart w:id="5" w:name="_Toc438527957"/>
      <w:bookmarkStart w:id="6" w:name="_Toc459374041"/>
      <w:bookmarkStart w:id="7" w:name="_Toc439688424"/>
      <w:bookmarkStart w:id="8" w:name="_Toc438524658"/>
      <w:bookmarkStart w:id="9" w:name="_Toc438376944"/>
      <w:bookmarkStart w:id="10" w:name="_Toc449808249"/>
      <w:bookmarkStart w:id="11" w:name="_Toc458778064"/>
      <w:bookmarkStart w:id="12" w:name="_Toc434392304"/>
      <w:bookmarkStart w:id="13" w:name="_Toc434155580"/>
      <w:bookmarkStart w:id="14" w:name="_Toc434356656"/>
      <w:bookmarkStart w:id="15" w:name="_Toc434221870"/>
      <w:bookmarkStart w:id="16" w:name="_Toc434155328"/>
      <w:bookmarkStart w:id="17" w:name="_Toc434336278"/>
      <w:bookmarkStart w:id="18" w:name="_Toc434330672"/>
      <w:bookmarkStart w:id="19" w:name="_Toc438376669"/>
      <w:bookmarkStart w:id="20" w:name="_Toc434220570"/>
      <w:bookmarkStart w:id="21" w:name="_Toc434377299"/>
      <w:bookmarkStart w:id="22" w:name="_Toc434216510"/>
      <w:bookmarkStart w:id="23" w:name="_Toc423510526"/>
      <w:bookmarkStart w:id="24" w:name="_Toc426948681"/>
      <w:bookmarkStart w:id="25" w:name="_Toc415457838"/>
      <w:bookmarkStart w:id="26" w:name="_Toc416228434"/>
      <w:bookmarkStart w:id="27" w:name="_Toc416237656"/>
      <w:bookmarkStart w:id="28" w:name="_Toc399526586"/>
      <w:bookmarkStart w:id="29" w:name="_Toc399772510"/>
      <w:bookmarkStart w:id="30" w:name="_Toc423808962"/>
      <w:bookmarkStart w:id="31" w:name="_Toc402244381"/>
      <w:bookmarkStart w:id="32" w:name="_Toc400674080"/>
      <w:bookmarkStart w:id="33" w:name="_Toc403955065"/>
      <w:bookmarkStart w:id="34" w:name="_Toc399790165"/>
      <w:bookmarkStart w:id="35" w:name="_Toc399526953"/>
      <w:bookmarkStart w:id="36" w:name="_Toc403898906"/>
      <w:bookmarkStart w:id="37" w:name="_Toc399684524"/>
      <w:bookmarkStart w:id="38" w:name="_Toc404829604"/>
      <w:bookmarkStart w:id="39" w:name="_Toc400673910"/>
      <w:bookmarkStart w:id="40" w:name="_Toc402240326"/>
      <w:bookmarkStart w:id="41" w:name="_Toc414522847"/>
      <w:bookmarkStart w:id="42" w:name="_Toc399526757"/>
      <w:bookmarkStart w:id="43" w:name="_Toc414640332"/>
      <w:bookmarkStart w:id="44" w:name="_Toc399771112"/>
      <w:bookmarkStart w:id="45" w:name="_Toc403955220"/>
      <w:bookmarkStart w:id="46" w:name="_Toc400637916"/>
      <w:bookmarkStart w:id="47" w:name="_Toc416490676"/>
      <w:bookmarkStart w:id="48" w:name="_Toc433858166"/>
      <w:bookmarkStart w:id="49" w:name="_Toc434083285"/>
      <w:bookmarkStart w:id="50" w:name="_Toc415104472"/>
      <w:bookmarkStart w:id="51" w:name="_Toc414588318"/>
      <w:bookmarkStart w:id="52" w:name="_Toc415463007"/>
      <w:bookmarkStart w:id="53" w:name="_Toc415146625"/>
      <w:bookmarkStart w:id="54" w:name="_Toc416060876"/>
      <w:bookmarkStart w:id="55" w:name="_Toc423800342"/>
      <w:bookmarkStart w:id="56" w:name="_Toc427121061"/>
      <w:bookmarkStart w:id="57" w:name="_Toc415121102"/>
      <w:bookmarkStart w:id="58" w:name="_Toc438524659"/>
      <w:bookmarkStart w:id="59" w:name="_Toc414521819"/>
      <w:bookmarkStart w:id="60" w:name="_Toc415839902"/>
      <w:bookmarkStart w:id="61" w:name="_Toc414514298"/>
      <w:bookmarkStart w:id="62" w:name="_Toc415281004"/>
      <w:bookmarkStart w:id="63" w:name="_Toc415286971"/>
      <w:bookmarkStart w:id="64" w:name="_Toc439688425"/>
      <w:bookmarkStart w:id="65" w:name="_Toc423811569"/>
      <w:bookmarkStart w:id="66" w:name="_Toc415453673"/>
      <w:bookmarkStart w:id="67" w:name="_Toc427118779"/>
      <w:bookmarkStart w:id="68" w:name="_Toc415286112"/>
      <w:bookmarkStart w:id="69" w:name="_Toc415286541"/>
      <w:bookmarkStart w:id="70" w:name="_Toc414849331"/>
      <w:bookmarkStart w:id="71" w:name="_Toc426952604"/>
      <w:bookmarkStart w:id="72" w:name="_Toc433205202"/>
      <w:bookmarkStart w:id="73" w:name="_Toc433279749"/>
      <w:bookmarkStart w:id="74" w:name="_Toc414023771"/>
      <w:bookmarkStart w:id="75" w:name="_Toc415455408"/>
      <w:bookmarkStart w:id="76" w:name="_Toc429130891"/>
      <w:bookmarkStart w:id="77" w:name="_Toc416491139"/>
      <w:bookmarkStart w:id="78" w:name="_Toc434055673"/>
      <w:bookmarkStart w:id="79" w:name="_Toc434392305"/>
      <w:bookmarkStart w:id="80" w:name="_Toc434155581"/>
      <w:bookmarkStart w:id="81" w:name="_Toc429303524"/>
      <w:bookmarkStart w:id="82" w:name="_Toc433893412"/>
      <w:bookmarkStart w:id="83" w:name="_Toc429321178"/>
      <w:bookmarkStart w:id="84" w:name="_Toc449808250"/>
      <w:bookmarkStart w:id="85" w:name="_Toc434216511"/>
      <w:bookmarkStart w:id="86" w:name="_Toc428802841"/>
      <w:bookmarkStart w:id="87" w:name="_Toc428895016"/>
      <w:bookmarkStart w:id="88" w:name="_Toc432846935"/>
      <w:bookmarkStart w:id="89" w:name="_Toc429209327"/>
      <w:bookmarkStart w:id="90" w:name="_Toc434221871"/>
      <w:bookmarkStart w:id="91" w:name="_Toc434336279"/>
      <w:bookmarkStart w:id="92" w:name="_Toc428848457"/>
      <w:bookmarkStart w:id="93" w:name="_Toc434356657"/>
      <w:bookmarkStart w:id="94" w:name="_Toc429106955"/>
      <w:bookmarkStart w:id="95" w:name="_Toc523029202"/>
      <w:bookmarkStart w:id="96" w:name="_Toc459374042"/>
      <w:bookmarkStart w:id="97" w:name="_Toc432763855"/>
      <w:bookmarkStart w:id="98" w:name="_Toc434155329"/>
      <w:bookmarkStart w:id="99" w:name="_Toc438527958"/>
      <w:bookmarkStart w:id="100" w:name="_Toc438376670"/>
      <w:bookmarkStart w:id="101" w:name="_Toc434330673"/>
      <w:bookmarkStart w:id="102" w:name="_Toc429393914"/>
      <w:bookmarkStart w:id="103" w:name="_Toc434220571"/>
      <w:bookmarkStart w:id="104" w:name="_Toc434377300"/>
      <w:bookmarkStart w:id="105" w:name="_Toc438376945"/>
      <w:r>
        <w:rPr>
          <w:rFonts w:hint="eastAsia"/>
          <w:b/>
          <w:spacing w:val="20"/>
          <w:sz w:val="52"/>
          <w:szCs w:val="52"/>
        </w:rPr>
        <w:t>纳税人合并（分立）情况报告书</w:t>
      </w:r>
      <w:bookmarkEnd w:id="0"/>
      <w:bookmarkEnd w:id="1"/>
      <w:bookmarkEnd w:id="2"/>
      <w:bookmarkEnd w:id="3"/>
      <w:bookmarkEnd w:id="4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36"/>
        <w:gridCol w:w="772"/>
        <w:gridCol w:w="381"/>
        <w:gridCol w:w="1116"/>
        <w:gridCol w:w="222"/>
        <w:gridCol w:w="64"/>
        <w:gridCol w:w="1210"/>
        <w:gridCol w:w="191"/>
        <w:gridCol w:w="364"/>
        <w:gridCol w:w="942"/>
        <w:gridCol w:w="1497"/>
      </w:tblGrid>
      <w:tr w14:paraId="3A78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BE6D588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纳税人识别号</w:t>
            </w:r>
          </w:p>
        </w:tc>
        <w:tc>
          <w:tcPr>
            <w:tcW w:w="2555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7CE35B3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54CE0BC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纳税人名称</w:t>
            </w:r>
          </w:p>
        </w:tc>
        <w:tc>
          <w:tcPr>
            <w:tcW w:w="243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892403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973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802" w:type="dxa"/>
            <w:gridSpan w:val="4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AA1EA23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合并（分立）原因</w:t>
            </w:r>
          </w:p>
        </w:tc>
        <w:tc>
          <w:tcPr>
            <w:tcW w:w="280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572A7D3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批准合并（分立）</w:t>
            </w:r>
          </w:p>
          <w:p w14:paraId="745D4D1A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文件和决议</w:t>
            </w:r>
          </w:p>
        </w:tc>
        <w:tc>
          <w:tcPr>
            <w:tcW w:w="2803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EAB824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合并（分立）时间</w:t>
            </w:r>
          </w:p>
        </w:tc>
      </w:tr>
      <w:tr w14:paraId="211E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802" w:type="dxa"/>
            <w:gridSpan w:val="4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88E74AC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B8B1865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101BFE"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EB8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DCFE6A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合并（分立）前基本情况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1E991AC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</w:t>
            </w:r>
          </w:p>
          <w:p w14:paraId="76CDBC0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识别号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5DD5DEC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纳税人名称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 w14:paraId="2C6D727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 w14:paraId="4A11F31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生产经营</w:t>
            </w:r>
          </w:p>
          <w:p w14:paraId="70126CE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58FD5C8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是否欠税</w:t>
            </w:r>
          </w:p>
        </w:tc>
      </w:tr>
      <w:tr w14:paraId="4512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A3D83D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0601FFA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69899E7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08C2627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 w14:paraId="7F9DDEB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5F00990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FF5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D08BF2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5A2FF25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62A0879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22BE894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 w14:paraId="29A972F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6F20D5F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018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DF1175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0913F54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6D6ECC4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17BF225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 w14:paraId="32C3528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0A697C0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59E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9BA52A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2A238C3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16B035D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1005F95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 w14:paraId="43F2AF0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03678A1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403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EAE2A9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合并（分立）时欠缴税款情况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136CCFC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</w:t>
            </w:r>
          </w:p>
          <w:p w14:paraId="26ECAE1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识别号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79E651A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纳税人名称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 w14:paraId="0AEA1FA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税种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 w14:paraId="77C35A0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税额</w:t>
            </w: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2D2A4B4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税款所属期</w:t>
            </w:r>
          </w:p>
        </w:tc>
      </w:tr>
      <w:tr w14:paraId="2BCE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9399D4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58BD2E8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0464F3A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13EC7FC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 w14:paraId="6343E62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630D016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8EA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62F48C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78A47B4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37F8F02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681E843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 w14:paraId="215C573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72A00EC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336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11C4D6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554951C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215A4BB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6C01001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 w14:paraId="746A184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2CB8E05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F97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5E3D19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6F76A9B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1F2B773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2346D18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 w14:paraId="03DFF23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495C3E7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EB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5E193F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合并（分立）后基本情况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1F04990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</w:t>
            </w:r>
          </w:p>
          <w:p w14:paraId="568772E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识别号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3BF680D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纳税人名称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 w14:paraId="1CF8E47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 w14:paraId="31A1171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生产经营</w:t>
            </w:r>
          </w:p>
          <w:p w14:paraId="1305D13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center"/>
          </w:tcPr>
          <w:p w14:paraId="30F50E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 w14:paraId="4229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142BA0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77136B0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 w14:paraId="7D4AEF2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top"/>
          </w:tcPr>
          <w:p w14:paraId="52F4059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top"/>
          </w:tcPr>
          <w:p w14:paraId="46236CF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top"/>
          </w:tcPr>
          <w:p w14:paraId="6C30C43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821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4204EB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0D52A0C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 w14:paraId="0930404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top"/>
          </w:tcPr>
          <w:p w14:paraId="25E55C9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top"/>
          </w:tcPr>
          <w:p w14:paraId="26CA41A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top"/>
          </w:tcPr>
          <w:p w14:paraId="2D14392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939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26CF81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651228C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 w14:paraId="35F20C3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top"/>
          </w:tcPr>
          <w:p w14:paraId="5AC00A6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top"/>
          </w:tcPr>
          <w:p w14:paraId="02A9CC1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top"/>
          </w:tcPr>
          <w:p w14:paraId="66E7C31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2E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AA6C15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17C0D04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 w14:paraId="59B24EF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top"/>
          </w:tcPr>
          <w:p w14:paraId="2A1F0F7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top"/>
          </w:tcPr>
          <w:p w14:paraId="167218E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12" w:space="0"/>
            </w:tcBorders>
            <w:noWrap w:val="0"/>
            <w:vAlign w:val="top"/>
          </w:tcPr>
          <w:p w14:paraId="2B1BE4F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51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8408" w:type="dxa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C808385">
            <w:pPr>
              <w:pStyle w:val="3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sz w:val="24"/>
              </w:rPr>
              <w:t xml:space="preserve">   告知事项：</w:t>
            </w:r>
            <w:r>
              <w:rPr>
                <w:rFonts w:hint="eastAsia"/>
                <w:b w:val="0"/>
                <w:sz w:val="24"/>
              </w:rPr>
              <w:t>《中华人民共和国税收征收管理法》第四十八条：纳税人有合并、分立情形的，应当向税务机关报告，并依法缴清税款。纳税人合并时未缴清税款的，应当由合并后的纳税人继续履行未履行的纳税义务；纳税人分立时未缴清税款的，分立后的纳税人对未履行的纳税义务应当承担连带责任。</w:t>
            </w:r>
          </w:p>
          <w:p w14:paraId="65D09910">
            <w:pPr>
              <w:pStyle w:val="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纳税人需要说明的与纳税有关情况：</w:t>
            </w:r>
          </w:p>
        </w:tc>
      </w:tr>
      <w:tr w14:paraId="0A8D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4140" w:type="dxa"/>
            <w:gridSpan w:val="6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014AD42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</w:t>
            </w:r>
          </w:p>
          <w:p w14:paraId="617E90A3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ECD6060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EAE7AAA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经办人：    负责人：  税人（签章）</w:t>
            </w:r>
          </w:p>
          <w:p w14:paraId="15125D1F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月 日   年 月 日    年 月 日 </w:t>
            </w:r>
          </w:p>
        </w:tc>
        <w:tc>
          <w:tcPr>
            <w:tcW w:w="4268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84F7FF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税务机关</w:t>
            </w:r>
          </w:p>
          <w:p w14:paraId="3FD1F7A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A61FC6F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475A8D9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经办人：  负责人：  税务机关（签章）</w:t>
            </w:r>
          </w:p>
          <w:p w14:paraId="405096F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月 日    年 月 日    年 月 日</w:t>
            </w:r>
          </w:p>
        </w:tc>
      </w:tr>
    </w:tbl>
    <w:p w14:paraId="630572EE">
      <w:pPr>
        <w:jc w:val="center"/>
        <w:rPr>
          <w:rFonts w:hint="eastAsia" w:ascii="宋体"/>
          <w:b/>
          <w:sz w:val="44"/>
        </w:rPr>
      </w:pPr>
    </w:p>
    <w:p w14:paraId="393064E8">
      <w:pPr>
        <w:jc w:val="center"/>
        <w:rPr>
          <w:rFonts w:hint="eastAsia" w:ascii="宋体"/>
          <w:b/>
          <w:sz w:val="44"/>
        </w:rPr>
      </w:pPr>
    </w:p>
    <w:p w14:paraId="14E1D5C6">
      <w:pPr>
        <w:jc w:val="center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使用说明</w:t>
      </w:r>
    </w:p>
    <w:p w14:paraId="3BA2B9CA">
      <w:pPr>
        <w:adjustRightInd w:val="0"/>
        <w:snapToGrid w:val="0"/>
        <w:spacing w:line="360" w:lineRule="auto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 xml:space="preserve">    1.本报告依据</w:t>
      </w:r>
      <w:r>
        <w:rPr>
          <w:rFonts w:hint="eastAsia" w:ascii="仿宋_GB2312" w:eastAsia="仿宋_GB2312"/>
          <w:sz w:val="32"/>
        </w:rPr>
        <w:t>《中华人民共和国税收征收管理法》</w:t>
      </w:r>
      <w:r>
        <w:rPr>
          <w:rFonts w:hint="eastAsia" w:eastAsia="仿宋_GB2312"/>
          <w:kern w:val="0"/>
          <w:sz w:val="32"/>
        </w:rPr>
        <w:t>第四十八条、《</w:t>
      </w:r>
      <w:r>
        <w:rPr>
          <w:rFonts w:hint="eastAsia" w:ascii="仿宋_GB2312" w:eastAsia="仿宋_GB2312"/>
          <w:sz w:val="32"/>
        </w:rPr>
        <w:t>中华人民共和国税收征收管理法</w:t>
      </w:r>
      <w:r>
        <w:rPr>
          <w:rFonts w:hint="eastAsia" w:eastAsia="仿宋_GB2312"/>
          <w:kern w:val="0"/>
          <w:sz w:val="32"/>
        </w:rPr>
        <w:t>实施细则》第五十条设置。</w:t>
      </w:r>
    </w:p>
    <w:p w14:paraId="12E8D13C">
      <w:pPr>
        <w:adjustRightInd w:val="0"/>
        <w:snapToGrid w:val="0"/>
        <w:spacing w:line="360" w:lineRule="auto"/>
        <w:ind w:firstLine="63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2.适用范围：纳税人发生合并、分立情形的，向税务机关报告有关情况时使用。</w:t>
      </w:r>
    </w:p>
    <w:p w14:paraId="58A6D613">
      <w:pPr>
        <w:adjustRightInd w:val="0"/>
        <w:snapToGrid w:val="0"/>
        <w:spacing w:line="360" w:lineRule="auto"/>
        <w:ind w:firstLine="63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3.合并（分立）原因：填写合并（分立）的批准文件或企业决议中确认的合并或分立原因。</w:t>
      </w:r>
    </w:p>
    <w:p w14:paraId="10679314">
      <w:pPr>
        <w:adjustRightInd w:val="0"/>
        <w:snapToGrid w:val="0"/>
        <w:spacing w:line="360" w:lineRule="auto"/>
        <w:ind w:firstLine="63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4.合并（分立）文件和决议：经有关部门批准的，填写批准合并（分立）的文件、文号和企业的合并（分立）决议；不需要有关部门批准的，只填写企业的合并（分立）决议。</w:t>
      </w:r>
    </w:p>
    <w:p w14:paraId="44C1D65F">
      <w:pPr>
        <w:adjustRightInd w:val="0"/>
        <w:snapToGrid w:val="0"/>
        <w:spacing w:line="360" w:lineRule="auto"/>
        <w:ind w:firstLine="63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5.合并（分立）前基本情况：应按项目填写合并（分立）前的所有纳税人情况。是否欠税栏按照有无欠税填“是”或者“否”。</w:t>
      </w:r>
    </w:p>
    <w:p w14:paraId="4E162FBE">
      <w:pPr>
        <w:adjustRightInd w:val="0"/>
        <w:snapToGrid w:val="0"/>
        <w:spacing w:line="360" w:lineRule="auto"/>
        <w:ind w:firstLine="63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6.合并（分立）时欠缴税款情况：应按项目填写合并（分立）时所有各方的欠税情况</w:t>
      </w:r>
    </w:p>
    <w:p w14:paraId="3764D37E">
      <w:pPr>
        <w:adjustRightInd w:val="0"/>
        <w:snapToGrid w:val="0"/>
        <w:spacing w:line="360" w:lineRule="auto"/>
        <w:ind w:firstLine="63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7. 合并（分立）后基本情况：应按项目填写合并（分立）后的所有纳税人情况。</w:t>
      </w:r>
    </w:p>
    <w:p w14:paraId="59AFCC88">
      <w:pPr>
        <w:adjustRightInd w:val="0"/>
        <w:snapToGrid w:val="0"/>
        <w:spacing w:line="360" w:lineRule="auto"/>
        <w:ind w:firstLine="63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8.纳税人需要说明的与纳税有关情况：由报告的纳税人填写与纳税有关的情况。包括：资产的分配、主要业务的归属、人员安排等。</w:t>
      </w:r>
    </w:p>
    <w:p w14:paraId="20AC2E7B">
      <w:pPr>
        <w:adjustRightInd w:val="0"/>
        <w:snapToGrid w:val="0"/>
        <w:spacing w:line="360" w:lineRule="auto"/>
        <w:ind w:firstLine="63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9.本表一式多份，税务机关存档一份，合并、分立的每户纳税人存档一份；解散、撤销、破产的纳税人存档一份。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p w14:paraId="209CEE34">
      <w:pPr>
        <w:adjustRightInd w:val="0"/>
        <w:snapToGrid w:val="0"/>
        <w:spacing w:line="240" w:lineRule="atLeast"/>
        <w:ind w:left="360"/>
        <w:rPr>
          <w:rFonts w:hint="eastAsia" w:ascii="宋体" w:hAnsi="宋体"/>
          <w:color w:val="000000"/>
        </w:rPr>
      </w:pPr>
      <w:bookmarkStart w:id="106" w:name="_Toc415455414"/>
      <w:bookmarkStart w:id="107" w:name="_Toc400637922"/>
      <w:bookmarkStart w:id="108" w:name="_Toc414521825"/>
      <w:bookmarkStart w:id="109" w:name="_Toc415286118"/>
      <w:bookmarkStart w:id="110" w:name="_Toc414849337"/>
      <w:bookmarkStart w:id="111" w:name="_Toc399526592"/>
      <w:bookmarkStart w:id="112" w:name="_Toc399772516"/>
      <w:bookmarkStart w:id="113" w:name="_Toc399771118"/>
      <w:bookmarkStart w:id="114" w:name="_Toc399526763"/>
      <w:bookmarkStart w:id="115" w:name="_Toc415457844"/>
      <w:bookmarkStart w:id="116" w:name="_Toc415121108"/>
      <w:bookmarkStart w:id="117" w:name="_Toc415281010"/>
      <w:bookmarkStart w:id="118" w:name="_Toc403898912"/>
      <w:bookmarkStart w:id="119" w:name="_Toc434083291"/>
      <w:bookmarkStart w:id="120" w:name="_Toc429209333"/>
      <w:bookmarkStart w:id="121" w:name="_Toc428895022"/>
      <w:bookmarkStart w:id="122" w:name="_Toc415286977"/>
      <w:bookmarkStart w:id="123" w:name="_Toc414588324"/>
      <w:bookmarkStart w:id="124" w:name="_Toc414640338"/>
      <w:bookmarkStart w:id="125" w:name="_Toc414023777"/>
      <w:bookmarkStart w:id="126" w:name="_Toc415104478"/>
      <w:bookmarkStart w:id="127" w:name="_Toc399526959"/>
      <w:bookmarkStart w:id="128" w:name="_Toc399684530"/>
      <w:bookmarkStart w:id="129" w:name="_Toc415463013"/>
      <w:bookmarkStart w:id="130" w:name="_Toc415146631"/>
      <w:bookmarkStart w:id="131" w:name="_Toc426952610"/>
      <w:bookmarkStart w:id="132" w:name="_Toc415453679"/>
      <w:bookmarkStart w:id="133" w:name="_Toc404829610"/>
      <w:bookmarkStart w:id="134" w:name="_Toc403955071"/>
      <w:bookmarkStart w:id="135" w:name="_Toc428848463"/>
      <w:bookmarkStart w:id="136" w:name="_Toc434055679"/>
      <w:bookmarkStart w:id="137" w:name="_Toc415286547"/>
      <w:bookmarkStart w:id="138" w:name="_Toc402244387"/>
      <w:bookmarkStart w:id="139" w:name="_Toc416490682"/>
      <w:bookmarkStart w:id="140" w:name="_Toc432763861"/>
      <w:bookmarkStart w:id="141" w:name="_Toc400673916"/>
      <w:bookmarkStart w:id="142" w:name="_Toc402240332"/>
      <w:bookmarkStart w:id="143" w:name="_Toc400674086"/>
      <w:bookmarkStart w:id="144" w:name="_Toc403955226"/>
      <w:bookmarkStart w:id="145" w:name="_Toc399790171"/>
      <w:bookmarkStart w:id="146" w:name="_Toc433279755"/>
      <w:bookmarkStart w:id="147" w:name="_Toc423808968"/>
      <w:bookmarkStart w:id="148" w:name="_Toc414514304"/>
      <w:bookmarkStart w:id="149" w:name="_Toc414522853"/>
      <w:bookmarkStart w:id="150" w:name="_Toc432846941"/>
      <w:bookmarkStart w:id="151" w:name="_Toc438527964"/>
      <w:bookmarkStart w:id="152" w:name="_Toc423800348"/>
      <w:bookmarkStart w:id="153" w:name="_Toc426948687"/>
      <w:bookmarkStart w:id="154" w:name="_Toc434377306"/>
      <w:bookmarkStart w:id="155" w:name="_Toc416228440"/>
      <w:bookmarkStart w:id="156" w:name="_Toc415839908"/>
      <w:bookmarkStart w:id="157" w:name="_Toc434221877"/>
      <w:bookmarkStart w:id="158" w:name="_Toc434155335"/>
      <w:bookmarkStart w:id="159" w:name="_Toc428802847"/>
      <w:bookmarkStart w:id="160" w:name="_Toc434356663"/>
      <w:bookmarkStart w:id="161" w:name="_Toc438524665"/>
      <w:bookmarkStart w:id="162" w:name="_Toc429106961"/>
      <w:bookmarkStart w:id="163" w:name="_Toc434216517"/>
      <w:bookmarkStart w:id="164" w:name="_Toc423510532"/>
      <w:bookmarkStart w:id="165" w:name="_Toc434330679"/>
      <w:bookmarkStart w:id="166" w:name="_Toc434155587"/>
      <w:bookmarkStart w:id="167" w:name="_Toc429321184"/>
      <w:bookmarkStart w:id="168" w:name="_Toc416237662"/>
      <w:bookmarkStart w:id="169" w:name="_Toc433893418"/>
      <w:bookmarkStart w:id="170" w:name="_Toc429393920"/>
      <w:bookmarkStart w:id="171" w:name="_Toc429130897"/>
      <w:bookmarkStart w:id="172" w:name="_Toc429303530"/>
      <w:bookmarkStart w:id="173" w:name="_Toc427118785"/>
      <w:bookmarkStart w:id="174" w:name="_Toc416060882"/>
      <w:bookmarkStart w:id="175" w:name="_Toc427121067"/>
      <w:bookmarkStart w:id="176" w:name="_Toc416491145"/>
      <w:bookmarkStart w:id="177" w:name="_Toc423811575"/>
      <w:bookmarkStart w:id="178" w:name="_Toc433205208"/>
      <w:bookmarkStart w:id="179" w:name="_Toc433858172"/>
      <w:bookmarkStart w:id="180" w:name="_Toc439688431"/>
      <w:bookmarkStart w:id="181" w:name="_Toc434336285"/>
      <w:bookmarkStart w:id="182" w:name="_Toc459374048"/>
      <w:bookmarkStart w:id="183" w:name="_Toc434392311"/>
      <w:bookmarkStart w:id="184" w:name="_Toc434220577"/>
      <w:bookmarkStart w:id="185" w:name="_Toc449808256"/>
      <w:bookmarkStart w:id="186" w:name="_Toc523029204"/>
      <w:bookmarkStart w:id="187" w:name="_Toc438376676"/>
      <w:bookmarkStart w:id="188" w:name="_Toc438376951"/>
    </w:p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p w14:paraId="321B156F">
      <w:bookmarkStart w:id="189" w:name="_GoBack"/>
      <w:bookmarkEnd w:id="18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5C74824"/>
    <w:rsid w:val="05C74824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  <w:rPr>
      <w:szCs w:val="20"/>
    </w:rPr>
  </w:style>
  <w:style w:type="paragraph" w:styleId="3">
    <w:name w:val="index 1"/>
    <w:basedOn w:val="1"/>
    <w:next w:val="1"/>
    <w:semiHidden/>
    <w:uiPriority w:val="0"/>
    <w:rPr>
      <w:rFonts w:ascii="仿宋_GB2312" w:hAnsi="宋体" w:eastAsia="仿宋_GB2312"/>
      <w:b/>
    </w:rPr>
  </w:style>
  <w:style w:type="paragraph" w:customStyle="1" w:styleId="6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2024-07-25T01:27:00Z</dcterms:created>
  <dc:creator>www.shuiwu114.com</dc:creator>
  <cp:lastModifiedBy>www.shuiwu114.com</cp:lastModifiedBy>
  <dcterms:modified xsi:type="dcterms:W3CDTF">2024-07-25T01:28:19Z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E970B6B4227F477ABBA76217ADED5399_11</vt:lpwstr>
  </property>
</Properties>
</file>