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B5E42">
      <w:pPr>
        <w:jc w:val="center"/>
        <w:rPr>
          <w:spacing w:val="20"/>
        </w:rPr>
      </w:pPr>
      <w:r>
        <w:rPr>
          <w:rFonts w:hint="eastAsia"/>
          <w:spacing w:val="20"/>
          <w:sz w:val="44"/>
        </w:rPr>
        <w:t xml:space="preserve"> </w:t>
      </w:r>
      <w:r>
        <w:rPr>
          <w:rFonts w:hint="eastAsia"/>
          <w:spacing w:val="20"/>
          <w:sz w:val="44"/>
          <w:u w:val="single"/>
        </w:rPr>
        <w:t xml:space="preserve">       </w:t>
      </w:r>
      <w:r>
        <w:rPr>
          <w:rFonts w:hint="eastAsia"/>
          <w:b/>
          <w:spacing w:val="20"/>
          <w:sz w:val="44"/>
        </w:rPr>
        <w:t>税务局（稽查局）</w:t>
      </w:r>
    </w:p>
    <w:p w14:paraId="7F7E36DD">
      <w:pPr>
        <w:pStyle w:val="2"/>
        <w:jc w:val="center"/>
        <w:rPr>
          <w:rFonts w:hint="eastAsia"/>
          <w:b/>
          <w:spacing w:val="20"/>
          <w:sz w:val="52"/>
        </w:rPr>
      </w:pPr>
      <w:r>
        <w:rPr>
          <w:rFonts w:hint="eastAsia"/>
          <w:b/>
          <w:spacing w:val="20"/>
          <w:sz w:val="52"/>
        </w:rPr>
        <w:t>检查存款帐户许可证明</w:t>
      </w:r>
    </w:p>
    <w:p w14:paraId="6E8074F2">
      <w:pPr>
        <w:ind w:firstLine="765"/>
        <w:jc w:val="center"/>
        <w:rPr>
          <w:rFonts w:hint="eastAsia" w:ascii="仿宋_GB2312" w:eastAsia="仿宋_GB2312"/>
          <w:spacing w:val="20"/>
          <w:sz w:val="32"/>
        </w:rPr>
      </w:pPr>
      <w:r>
        <w:rPr>
          <w:rFonts w:hint="eastAsia" w:ascii="仿宋_GB2312" w:eastAsia="仿宋_GB2312"/>
          <w:spacing w:val="20"/>
          <w:sz w:val="32"/>
          <w:u w:val="single"/>
        </w:rPr>
        <w:t xml:space="preserve">     </w:t>
      </w:r>
      <w:r>
        <w:rPr>
          <w:rFonts w:hint="eastAsia" w:ascii="仿宋_GB2312" w:eastAsia="仿宋_GB2312"/>
          <w:spacing w:val="20"/>
          <w:sz w:val="32"/>
        </w:rPr>
        <w:t>税许〔    〕</w:t>
      </w:r>
      <w:r>
        <w:rPr>
          <w:rFonts w:ascii="仿宋_GB2312" w:eastAsia="仿宋_GB2312"/>
          <w:spacing w:val="20"/>
          <w:sz w:val="32"/>
        </w:rPr>
        <w:t xml:space="preserve">   </w:t>
      </w:r>
      <w:r>
        <w:rPr>
          <w:rFonts w:hint="eastAsia" w:ascii="仿宋_GB2312" w:eastAsia="仿宋_GB2312"/>
          <w:spacing w:val="20"/>
          <w:sz w:val="32"/>
        </w:rPr>
        <w:t>号</w:t>
      </w:r>
    </w:p>
    <w:p w14:paraId="750C13C7">
      <w:pPr>
        <w:ind w:firstLine="765"/>
        <w:rPr>
          <w:rFonts w:ascii="仿宋_GB2312" w:eastAsia="仿宋_GB2312"/>
          <w:sz w:val="32"/>
        </w:rPr>
      </w:pPr>
    </w:p>
    <w:p w14:paraId="09D0BBA9">
      <w:pPr>
        <w:rPr>
          <w:rFonts w:ascii="仿宋_GB2312" w:eastAsia="仿宋_GB2312"/>
          <w:sz w:val="32"/>
        </w:rPr>
      </w:pPr>
      <w:r>
        <w:rPr>
          <w:rFonts w:ascii="仿宋_GB2312" w:eastAsia="仿宋_GB2312"/>
          <w:sz w:val="32"/>
        </w:rPr>
        <w:t xml:space="preserve"> </w:t>
      </w: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rPr>
        <w:t>：</w:t>
      </w:r>
    </w:p>
    <w:p w14:paraId="168ED426">
      <w:pPr>
        <w:ind w:firstLine="570"/>
        <w:rPr>
          <w:rFonts w:ascii="仿宋_GB2312" w:eastAsia="仿宋_GB2312"/>
          <w:sz w:val="32"/>
        </w:rPr>
      </w:pPr>
      <w:r>
        <w:rPr>
          <w:rFonts w:hint="eastAsia" w:ascii="仿宋_GB2312" w:eastAsia="仿宋_GB2312"/>
          <w:sz w:val="32"/>
        </w:rPr>
        <w:t>根据《中华人民共和国税收征收管理法》第五十四条第（六）项规定，经</w:t>
      </w:r>
      <w:r>
        <w:rPr>
          <w:rFonts w:hint="eastAsia" w:ascii="仿宋_GB2312" w:eastAsia="仿宋_GB2312"/>
          <w:sz w:val="32"/>
          <w:u w:val="single"/>
        </w:rPr>
        <w:t xml:space="preserve">              </w:t>
      </w:r>
      <w:r>
        <w:rPr>
          <w:rFonts w:hint="eastAsia" w:ascii="仿宋_GB2312" w:eastAsia="仿宋_GB2312"/>
          <w:sz w:val="32"/>
        </w:rPr>
        <w:t>税务局（分局）局长批准，我局税务人员</w:t>
      </w:r>
      <w:r>
        <w:rPr>
          <w:rFonts w:ascii="仿宋_GB2312" w:eastAsia="仿宋_GB2312"/>
          <w:sz w:val="32"/>
          <w:u w:val="single"/>
        </w:rPr>
        <w:t xml:space="preserve">          </w:t>
      </w:r>
      <w:r>
        <w:rPr>
          <w:rFonts w:hint="eastAsia" w:ascii="仿宋_GB2312" w:eastAsia="仿宋_GB2312"/>
          <w:sz w:val="32"/>
        </w:rPr>
        <w:t>等</w:t>
      </w:r>
      <w:r>
        <w:rPr>
          <w:rFonts w:ascii="仿宋_GB2312" w:eastAsia="仿宋_GB2312"/>
          <w:sz w:val="32"/>
          <w:u w:val="single"/>
        </w:rPr>
        <w:t xml:space="preserve">    </w:t>
      </w:r>
      <w:r>
        <w:rPr>
          <w:rFonts w:hint="eastAsia" w:ascii="仿宋_GB2312" w:eastAsia="仿宋_GB2312"/>
          <w:sz w:val="32"/>
        </w:rPr>
        <w:t>人（税务检查证号码分别为：</w:t>
      </w:r>
      <w:r>
        <w:rPr>
          <w:rFonts w:hint="eastAsia" w:ascii="仿宋_GB2312" w:eastAsia="仿宋_GB2312"/>
          <w:sz w:val="32"/>
          <w:u w:val="single"/>
        </w:rPr>
        <w:t xml:space="preserve">                  </w:t>
      </w:r>
      <w:r>
        <w:rPr>
          <w:rFonts w:hint="eastAsia" w:ascii="仿宋_GB2312" w:eastAsia="仿宋_GB2312"/>
          <w:sz w:val="32"/>
        </w:rPr>
        <w:t>）前去你处查询</w:t>
      </w: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u w:val="single"/>
        </w:rPr>
        <w:t xml:space="preserve">   </w:t>
      </w:r>
      <w:r>
        <w:rPr>
          <w:rFonts w:hint="eastAsia" w:ascii="仿宋_GB2312" w:eastAsia="仿宋_GB2312"/>
          <w:sz w:val="32"/>
        </w:rPr>
        <w:t>的</w:t>
      </w:r>
      <w:r>
        <w:rPr>
          <w:rFonts w:hint="eastAsia" w:ascii="仿宋_GB2312" w:eastAsia="仿宋_GB2312"/>
          <w:sz w:val="32"/>
          <w:u w:val="single"/>
        </w:rPr>
        <w:t xml:space="preserve">                   </w:t>
      </w:r>
      <w:r>
        <w:rPr>
          <w:rFonts w:hint="eastAsia" w:ascii="仿宋_GB2312" w:eastAsia="仿宋_GB2312"/>
          <w:sz w:val="32"/>
        </w:rPr>
        <w:t xml:space="preserve"> 情况，请予支持协助。</w:t>
      </w:r>
    </w:p>
    <w:p w14:paraId="3859DF02">
      <w:pPr>
        <w:rPr>
          <w:rFonts w:ascii="仿宋_GB2312" w:eastAsia="仿宋_GB2312"/>
          <w:sz w:val="32"/>
        </w:rPr>
      </w:pPr>
    </w:p>
    <w:p w14:paraId="2254E53F">
      <w:pPr>
        <w:ind w:firstLine="480"/>
        <w:rPr>
          <w:rFonts w:hint="eastAsia" w:ascii="仿宋_GB2312" w:eastAsia="仿宋_GB2312"/>
          <w:sz w:val="32"/>
        </w:rPr>
      </w:pPr>
      <w:r>
        <w:rPr>
          <w:rFonts w:hint="eastAsia" w:ascii="仿宋_GB2312" w:eastAsia="仿宋_GB2312"/>
          <w:sz w:val="32"/>
        </w:rPr>
        <w:t xml:space="preserve"> </w:t>
      </w:r>
    </w:p>
    <w:p w14:paraId="356C007D">
      <w:pPr>
        <w:ind w:firstLine="480"/>
        <w:rPr>
          <w:rFonts w:hint="eastAsia" w:ascii="仿宋_GB2312" w:eastAsia="仿宋_GB2312"/>
          <w:sz w:val="32"/>
        </w:rPr>
      </w:pPr>
    </w:p>
    <w:p w14:paraId="1DAC5145">
      <w:pPr>
        <w:ind w:firstLine="480"/>
        <w:rPr>
          <w:rFonts w:hint="eastAsia" w:ascii="仿宋_GB2312" w:eastAsia="仿宋_GB2312"/>
          <w:sz w:val="32"/>
        </w:rPr>
      </w:pPr>
    </w:p>
    <w:p w14:paraId="320109FE">
      <w:pPr>
        <w:ind w:firstLine="480"/>
        <w:rPr>
          <w:rFonts w:ascii="仿宋_GB2312" w:eastAsia="仿宋_GB2312"/>
          <w:sz w:val="32"/>
        </w:rPr>
      </w:pPr>
    </w:p>
    <w:p w14:paraId="7D9B15A1">
      <w:pPr>
        <w:rPr>
          <w:rFonts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税务机关（签章）</w:t>
      </w:r>
    </w:p>
    <w:p w14:paraId="2EACC99B">
      <w:pPr>
        <w:rPr>
          <w:rFonts w:hint="eastAsia" w:ascii="仿宋_GB2312" w:eastAsia="仿宋_GB2312"/>
          <w:sz w:val="32"/>
        </w:rPr>
      </w:pPr>
      <w:r>
        <w:rPr>
          <w:rFonts w:ascii="仿宋_GB2312" w:eastAsia="仿宋_GB2312"/>
          <w:sz w:val="32"/>
        </w:rPr>
        <w:t xml:space="preserve">                            </w:t>
      </w:r>
      <w:r>
        <w:rPr>
          <w:rFonts w:hint="eastAsia" w:ascii="仿宋_GB2312" w:eastAsia="仿宋_GB2312"/>
          <w:sz w:val="32"/>
        </w:rPr>
        <w:t xml:space="preserve">   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p w14:paraId="78009A39">
      <w:pPr>
        <w:outlineLvl w:val="0"/>
        <w:rPr>
          <w:rFonts w:hint="eastAsia"/>
          <w:b/>
          <w:sz w:val="44"/>
        </w:rPr>
      </w:pPr>
    </w:p>
    <w:p w14:paraId="5CE84FCD">
      <w:pPr>
        <w:outlineLvl w:val="0"/>
        <w:rPr>
          <w:rFonts w:hint="eastAsia"/>
          <w:b/>
          <w:sz w:val="44"/>
        </w:rPr>
      </w:pPr>
    </w:p>
    <w:p w14:paraId="390C4786">
      <w:pPr>
        <w:outlineLvl w:val="0"/>
        <w:rPr>
          <w:rFonts w:hint="eastAsia"/>
          <w:b/>
          <w:sz w:val="44"/>
        </w:rPr>
      </w:pPr>
    </w:p>
    <w:p w14:paraId="3D3B2D6B">
      <w:pPr>
        <w:outlineLvl w:val="0"/>
        <w:rPr>
          <w:rFonts w:hint="eastAsia"/>
          <w:b/>
          <w:sz w:val="44"/>
        </w:rPr>
      </w:pPr>
    </w:p>
    <w:p w14:paraId="10578B3A">
      <w:pPr>
        <w:jc w:val="center"/>
        <w:rPr>
          <w:rFonts w:hint="eastAsia"/>
          <w:b/>
          <w:sz w:val="44"/>
        </w:rPr>
      </w:pPr>
      <w:r>
        <w:rPr>
          <w:rFonts w:hint="eastAsia"/>
          <w:b/>
          <w:sz w:val="44"/>
        </w:rPr>
        <w:t>使用说明</w:t>
      </w:r>
    </w:p>
    <w:p w14:paraId="0A5EE390">
      <w:pPr>
        <w:pStyle w:val="7"/>
        <w:widowControl w:val="0"/>
        <w:snapToGrid w:val="0"/>
        <w:spacing w:line="240" w:lineRule="auto"/>
        <w:ind w:firstLine="641"/>
        <w:jc w:val="both"/>
        <w:rPr>
          <w:rFonts w:hint="eastAsia" w:ascii="仿宋_GB2312" w:hAnsi="宋体" w:eastAsia="仿宋_GB2312"/>
          <w:kern w:val="2"/>
          <w:sz w:val="32"/>
        </w:rPr>
      </w:pPr>
      <w:r>
        <w:rPr>
          <w:rFonts w:hint="eastAsia" w:ascii="仿宋_GB2312" w:hAnsi="宋体" w:eastAsia="仿宋_GB2312"/>
          <w:kern w:val="2"/>
          <w:sz w:val="32"/>
        </w:rPr>
        <w:t>1．本证明依据《中华人民共和国税收征收管理法》第五十四条设置。</w:t>
      </w:r>
    </w:p>
    <w:p w14:paraId="603275D6">
      <w:pPr>
        <w:pStyle w:val="7"/>
        <w:widowControl w:val="0"/>
        <w:snapToGrid w:val="0"/>
        <w:spacing w:line="240" w:lineRule="auto"/>
        <w:ind w:firstLine="641"/>
        <w:jc w:val="both"/>
        <w:rPr>
          <w:rFonts w:hint="eastAsia" w:ascii="仿宋_GB2312" w:hAnsi="宋体" w:eastAsia="仿宋_GB2312"/>
          <w:kern w:val="2"/>
          <w:sz w:val="32"/>
        </w:rPr>
      </w:pPr>
      <w:r>
        <w:rPr>
          <w:rFonts w:hint="eastAsia" w:ascii="仿宋_GB2312" w:hAnsi="宋体" w:eastAsia="仿宋_GB2312"/>
          <w:kern w:val="2"/>
          <w:sz w:val="32"/>
        </w:rPr>
        <w:t>2．适用范围：检查人员在对纳税人、扣缴义务人在银行或者其他金融机构的存款帐户及案件涉嫌人员在银行或者其他金融机构的储蓄存款帐户进行查询时使用。</w:t>
      </w:r>
    </w:p>
    <w:p w14:paraId="3631F4ED">
      <w:pPr>
        <w:pStyle w:val="7"/>
        <w:widowControl w:val="0"/>
        <w:snapToGrid w:val="0"/>
        <w:spacing w:line="240" w:lineRule="auto"/>
        <w:ind w:firstLine="641"/>
        <w:jc w:val="both"/>
        <w:rPr>
          <w:rFonts w:hint="eastAsia" w:ascii="仿宋_GB2312" w:hAnsi="宋体" w:eastAsia="仿宋_GB2312"/>
          <w:kern w:val="2"/>
          <w:sz w:val="32"/>
        </w:rPr>
      </w:pPr>
      <w:r>
        <w:rPr>
          <w:rFonts w:hint="eastAsia" w:ascii="仿宋_GB2312" w:eastAsia="仿宋_GB2312"/>
          <w:sz w:val="32"/>
        </w:rPr>
        <w:t>3．抬头填写具体市、县银行及其办事处名称，也可填写其他非银行金融机构的具体名称。</w:t>
      </w:r>
    </w:p>
    <w:p w14:paraId="78EA6E04">
      <w:pPr>
        <w:adjustRightInd w:val="0"/>
        <w:snapToGrid w:val="0"/>
        <w:ind w:firstLine="641"/>
        <w:rPr>
          <w:rFonts w:hint="eastAsia" w:ascii="仿宋_GB2312" w:eastAsia="仿宋_GB2312"/>
          <w:sz w:val="32"/>
        </w:rPr>
      </w:pPr>
      <w:r>
        <w:rPr>
          <w:rFonts w:hint="eastAsia" w:ascii="仿宋_GB2312" w:eastAsia="仿宋_GB2312"/>
          <w:sz w:val="32"/>
        </w:rPr>
        <w:t>4．“经</w:t>
      </w:r>
      <w:r>
        <w:rPr>
          <w:rFonts w:hint="eastAsia" w:ascii="仿宋_GB2312" w:eastAsia="仿宋_GB2312"/>
          <w:sz w:val="32"/>
          <w:u w:val="single"/>
        </w:rPr>
        <w:t xml:space="preserve">        </w:t>
      </w:r>
      <w:r>
        <w:rPr>
          <w:rFonts w:hint="eastAsia" w:ascii="仿宋_GB2312" w:eastAsia="仿宋_GB2312"/>
          <w:sz w:val="32"/>
        </w:rPr>
        <w:t>税务局（分局）局长批准”横线处填写符合《中华人民共和国税收征收管理法》规定具有审批权限的税务局（分局）局长所在税务机关的具体名称。</w:t>
      </w:r>
    </w:p>
    <w:p w14:paraId="269EB148">
      <w:pPr>
        <w:adjustRightInd w:val="0"/>
        <w:snapToGrid w:val="0"/>
        <w:ind w:firstLine="641"/>
        <w:rPr>
          <w:rFonts w:hint="eastAsia" w:ascii="仿宋_GB2312" w:eastAsia="仿宋_GB2312"/>
          <w:sz w:val="32"/>
        </w:rPr>
      </w:pPr>
      <w:r>
        <w:rPr>
          <w:rFonts w:hint="eastAsia" w:ascii="仿宋_GB2312" w:eastAsia="仿宋_GB2312"/>
          <w:sz w:val="32"/>
        </w:rPr>
        <w:t>5．“</w:t>
      </w:r>
      <w:r>
        <w:rPr>
          <w:rFonts w:hint="eastAsia" w:ascii="仿宋_GB2312" w:eastAsia="仿宋_GB2312"/>
          <w:sz w:val="32"/>
          <w:u w:val="single"/>
        </w:rPr>
        <w:t xml:space="preserve">      </w:t>
      </w:r>
      <w:r>
        <w:rPr>
          <w:rFonts w:hint="eastAsia" w:ascii="仿宋_GB2312" w:eastAsia="仿宋_GB2312"/>
          <w:sz w:val="32"/>
        </w:rPr>
        <w:t>等”横线处填写检查人员的姓名。</w:t>
      </w:r>
    </w:p>
    <w:p w14:paraId="1AC5393D">
      <w:pPr>
        <w:adjustRightInd w:val="0"/>
        <w:snapToGrid w:val="0"/>
        <w:ind w:firstLine="641"/>
        <w:rPr>
          <w:rFonts w:hint="eastAsia" w:ascii="仿宋_GB2312" w:eastAsia="仿宋_GB2312"/>
          <w:sz w:val="32"/>
        </w:rPr>
      </w:pPr>
      <w:r>
        <w:rPr>
          <w:rFonts w:hint="eastAsia" w:ascii="仿宋_GB2312" w:eastAsia="仿宋_GB2312"/>
          <w:sz w:val="32"/>
        </w:rPr>
        <w:t>6．“税务检查证号码分别为：</w:t>
      </w:r>
      <w:r>
        <w:rPr>
          <w:rFonts w:hint="eastAsia" w:ascii="仿宋_GB2312" w:eastAsia="仿宋_GB2312"/>
          <w:sz w:val="32"/>
          <w:u w:val="single"/>
        </w:rPr>
        <w:t xml:space="preserve">      </w:t>
      </w:r>
      <w:r>
        <w:rPr>
          <w:rFonts w:hint="eastAsia" w:ascii="仿宋_GB2312" w:eastAsia="仿宋_GB2312"/>
          <w:sz w:val="32"/>
        </w:rPr>
        <w:t>”横线处填写检查人员的税务检查证编号。</w:t>
      </w:r>
    </w:p>
    <w:p w14:paraId="4B4EBA2B">
      <w:pPr>
        <w:adjustRightInd w:val="0"/>
        <w:snapToGrid w:val="0"/>
        <w:ind w:firstLine="641"/>
        <w:rPr>
          <w:rFonts w:hint="eastAsia" w:ascii="仿宋_GB2312" w:eastAsia="仿宋_GB2312"/>
          <w:sz w:val="32"/>
        </w:rPr>
      </w:pPr>
      <w:r>
        <w:rPr>
          <w:rFonts w:hint="eastAsia" w:ascii="仿宋_GB2312" w:eastAsia="仿宋_GB2312"/>
          <w:sz w:val="32"/>
        </w:rPr>
        <w:t>7．查询</w:t>
      </w:r>
      <w:r>
        <w:rPr>
          <w:rFonts w:hint="eastAsia" w:ascii="仿宋_GB2312" w:hAnsi="宋体" w:eastAsia="仿宋_GB2312"/>
          <w:sz w:val="32"/>
        </w:rPr>
        <w:t>纳税人、扣缴义务人存款帐户由县以上税务局（分局）局长</w:t>
      </w:r>
      <w:r>
        <w:rPr>
          <w:rFonts w:hint="eastAsia" w:ascii="仿宋_GB2312" w:eastAsia="仿宋_GB2312"/>
          <w:sz w:val="32"/>
        </w:rPr>
        <w:t>签发，查询</w:t>
      </w:r>
      <w:r>
        <w:rPr>
          <w:rFonts w:hint="eastAsia" w:ascii="仿宋_GB2312" w:hAnsi="宋体" w:eastAsia="仿宋_GB2312"/>
          <w:sz w:val="32"/>
        </w:rPr>
        <w:t>案件涉嫌人员的储蓄存款由设区的市、自治州以上税务局（分局）局长</w:t>
      </w:r>
      <w:r>
        <w:rPr>
          <w:rFonts w:hint="eastAsia" w:ascii="仿宋_GB2312" w:eastAsia="仿宋_GB2312"/>
          <w:sz w:val="32"/>
        </w:rPr>
        <w:t>签发。</w:t>
      </w:r>
    </w:p>
    <w:p w14:paraId="7B89D16A">
      <w:pPr>
        <w:adjustRightInd w:val="0"/>
        <w:snapToGrid w:val="0"/>
        <w:ind w:firstLine="641"/>
        <w:rPr>
          <w:rFonts w:hint="eastAsia" w:ascii="仿宋_GB2312" w:eastAsia="仿宋_GB2312"/>
          <w:sz w:val="32"/>
        </w:rPr>
      </w:pPr>
      <w:r>
        <w:rPr>
          <w:rFonts w:hint="eastAsia" w:ascii="仿宋_GB2312" w:eastAsia="仿宋_GB2312"/>
          <w:sz w:val="32"/>
        </w:rPr>
        <w:t xml:space="preserve">8.“前去你处查询 </w:t>
      </w:r>
      <w:r>
        <w:rPr>
          <w:rFonts w:hint="eastAsia" w:ascii="仿宋_GB2312" w:eastAsia="仿宋_GB2312"/>
          <w:sz w:val="32"/>
          <w:u w:val="single"/>
        </w:rPr>
        <w:t xml:space="preserve">     </w:t>
      </w:r>
      <w:r>
        <w:rPr>
          <w:rFonts w:hint="eastAsia" w:ascii="仿宋_GB2312" w:eastAsia="仿宋_GB2312"/>
          <w:sz w:val="32"/>
        </w:rPr>
        <w:t>的</w:t>
      </w:r>
      <w:r>
        <w:rPr>
          <w:rFonts w:hint="eastAsia" w:ascii="仿宋_GB2312" w:eastAsia="仿宋_GB2312"/>
          <w:sz w:val="32"/>
          <w:u w:val="single"/>
        </w:rPr>
        <w:t xml:space="preserve">     </w:t>
      </w:r>
      <w:r>
        <w:rPr>
          <w:rFonts w:hint="eastAsia" w:ascii="仿宋_GB2312" w:eastAsia="仿宋_GB2312"/>
          <w:sz w:val="32"/>
        </w:rPr>
        <w:t>情况”中第一横线处填写纳税人或扣缴义务人及案件涉嫌人员名称或姓名，第二横线处填写“存款帐户”或者“储蓄存款”。</w:t>
      </w:r>
    </w:p>
    <w:p w14:paraId="24C79C96">
      <w:pPr>
        <w:adjustRightInd w:val="0"/>
        <w:snapToGrid w:val="0"/>
        <w:ind w:firstLine="641"/>
        <w:rPr>
          <w:rFonts w:hint="eastAsia" w:ascii="仿宋_GB2312" w:eastAsia="仿宋_GB2312"/>
          <w:sz w:val="32"/>
        </w:rPr>
      </w:pPr>
      <w:r>
        <w:rPr>
          <w:rFonts w:hint="eastAsia" w:ascii="仿宋_GB2312" w:eastAsia="仿宋_GB2312"/>
          <w:sz w:val="32"/>
        </w:rPr>
        <w:t>9．本证明与《税务文书送达回证》一并使用。</w:t>
      </w:r>
    </w:p>
    <w:p w14:paraId="08EB8A16">
      <w:pPr>
        <w:adjustRightInd w:val="0"/>
        <w:snapToGrid w:val="0"/>
        <w:ind w:firstLine="641"/>
        <w:rPr>
          <w:rFonts w:ascii="仿宋_GB2312" w:eastAsia="仿宋_GB2312"/>
          <w:sz w:val="32"/>
        </w:rPr>
      </w:pPr>
      <w:r>
        <w:rPr>
          <w:rFonts w:hint="eastAsia" w:ascii="仿宋_GB2312" w:eastAsia="仿宋_GB2312"/>
          <w:sz w:val="32"/>
        </w:rPr>
        <w:t>10文书字轨设为“许”，稽查局使用设为“稽许”。</w:t>
      </w:r>
    </w:p>
    <w:p w14:paraId="799A7FD0">
      <w:pPr>
        <w:adjustRightInd w:val="0"/>
        <w:snapToGrid w:val="0"/>
        <w:ind w:firstLine="641"/>
        <w:rPr>
          <w:sz w:val="32"/>
        </w:rPr>
      </w:pPr>
      <w:r>
        <w:rPr>
          <w:rFonts w:hint="eastAsia" w:ascii="仿宋_GB2312" w:eastAsia="仿宋_GB2312"/>
          <w:sz w:val="32"/>
        </w:rPr>
        <w:t>11．</w:t>
      </w:r>
      <w:r>
        <w:rPr>
          <w:rFonts w:hint="eastAsia" w:ascii="仿宋_GB2312" w:hAnsi="宋体" w:eastAsia="仿宋_GB2312"/>
          <w:sz w:val="32"/>
        </w:rPr>
        <w:t>本证明为</w:t>
      </w:r>
      <w:r>
        <w:rPr>
          <w:rFonts w:ascii="仿宋_GB2312" w:hAnsi="宋体" w:eastAsia="仿宋_GB2312"/>
          <w:sz w:val="32"/>
        </w:rPr>
        <w:t>A4竖式</w:t>
      </w:r>
      <w:r>
        <w:rPr>
          <w:rFonts w:hint="eastAsia" w:ascii="仿宋_GB2312" w:eastAsia="仿宋_GB2312"/>
          <w:sz w:val="32"/>
        </w:rPr>
        <w:t>，一式二份，一份送有关银行或其他金融单位，一份</w:t>
      </w:r>
      <w:r>
        <w:rPr>
          <w:rFonts w:ascii="仿宋_GB2312" w:hAnsi="宋体" w:eastAsia="仿宋_GB2312"/>
          <w:sz w:val="32"/>
        </w:rPr>
        <w:t>装</w:t>
      </w:r>
      <w:r>
        <w:rPr>
          <w:rFonts w:hint="eastAsia" w:ascii="仿宋_GB2312" w:hAnsi="宋体" w:eastAsia="仿宋_GB2312"/>
          <w:sz w:val="32"/>
        </w:rPr>
        <w:t>入</w:t>
      </w:r>
      <w:r>
        <w:rPr>
          <w:rFonts w:ascii="仿宋_GB2312" w:hAnsi="宋体" w:eastAsia="仿宋_GB2312"/>
          <w:sz w:val="32"/>
        </w:rPr>
        <w:t>卷</w:t>
      </w:r>
      <w:r>
        <w:rPr>
          <w:rFonts w:hint="eastAsia" w:ascii="仿宋_GB2312" w:hAnsi="宋体" w:eastAsia="仿宋_GB2312"/>
          <w:sz w:val="32"/>
        </w:rPr>
        <w:t>宗</w:t>
      </w:r>
      <w:r>
        <w:rPr>
          <w:rFonts w:hint="eastAsia" w:ascii="仿宋_GB2312" w:eastAsia="仿宋_GB2312"/>
          <w:sz w:val="32"/>
        </w:rPr>
        <w:t>。</w:t>
      </w:r>
    </w:p>
    <w:p w14:paraId="6488CD81">
      <w:pPr>
        <w:ind w:firstLine="607"/>
        <w:rPr>
          <w:rFonts w:hint="eastAsia" w:ascii="仿宋_GB2312" w:eastAsia="仿宋_GB2312"/>
          <w:sz w:val="32"/>
        </w:rPr>
      </w:pPr>
    </w:p>
    <w:p w14:paraId="6B33E04C">
      <w:pPr>
        <w:ind w:firstLine="607"/>
        <w:rPr>
          <w:rFonts w:hint="eastAsia" w:ascii="仿宋_GB2312" w:eastAsia="仿宋_GB2312"/>
          <w:sz w:val="32"/>
        </w:rPr>
      </w:pPr>
    </w:p>
    <w:p w14:paraId="780E26D5">
      <w:pPr>
        <w:ind w:firstLine="607"/>
        <w:rPr>
          <w:rFonts w:hint="eastAsia" w:ascii="仿宋_GB2312" w:eastAsia="仿宋_GB2312"/>
          <w:sz w:val="32"/>
        </w:rPr>
      </w:pPr>
    </w:p>
    <w:p w14:paraId="7728412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62C87F3C"/>
    <w:rsid w:val="4CFC467E"/>
    <w:rsid w:val="62C8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仿宋_GB231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6">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bt04"/>
    <w:basedOn w:val="1"/>
    <w:qFormat/>
    <w:uiPriority w:val="0"/>
    <w:pPr>
      <w:widowControl/>
      <w:adjustRightInd w:val="0"/>
      <w:spacing w:line="360" w:lineRule="auto"/>
      <w:jc w:val="center"/>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2024-07-25T02:04:00Z</dcterms:created>
  <dc:creator>www.shuiwu114.com</dc:creator>
  <cp:lastModifiedBy>www.shuiwu114.com</cp:lastModifiedBy>
  <dcterms:modified xsi:type="dcterms:W3CDTF">2024-07-25T02:05:00Z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41FF1BE6047D451B9B5CDD9D34AD3FE3_11</vt:lpwstr>
  </property>
</Properties>
</file>