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459B">
      <w:pPr>
        <w:jc w:val="center"/>
        <w:outlineLvl w:val="0"/>
        <w:rPr>
          <w:rFonts w:hint="eastAsia"/>
          <w:b/>
          <w:spacing w:val="20"/>
          <w:sz w:val="44"/>
        </w:rPr>
      </w:pPr>
      <w:r>
        <w:rPr>
          <w:rFonts w:hint="eastAsia"/>
          <w:spacing w:val="20"/>
          <w:sz w:val="44"/>
        </w:rPr>
        <w:t xml:space="preserve"> </w:t>
      </w:r>
      <w:r>
        <w:rPr>
          <w:rFonts w:hint="eastAsia"/>
          <w:spacing w:val="20"/>
          <w:sz w:val="44"/>
          <w:u w:val="single"/>
        </w:rPr>
        <w:t xml:space="preserve">           </w:t>
      </w:r>
      <w:r>
        <w:rPr>
          <w:rFonts w:hint="eastAsia"/>
          <w:b/>
          <w:spacing w:val="20"/>
          <w:sz w:val="44"/>
        </w:rPr>
        <w:t>税务局（稽查局）</w:t>
      </w:r>
    </w:p>
    <w:p w14:paraId="156CFEB9">
      <w:pPr>
        <w:jc w:val="center"/>
        <w:rPr>
          <w:spacing w:val="20"/>
          <w:sz w:val="52"/>
        </w:rPr>
      </w:pPr>
      <w:r>
        <w:rPr>
          <w:rFonts w:hint="eastAsia"/>
          <w:b/>
          <w:spacing w:val="20"/>
          <w:sz w:val="52"/>
        </w:rPr>
        <w:t>调取帐簿资料通知书</w:t>
      </w:r>
    </w:p>
    <w:p w14:paraId="4307FDB5">
      <w:pPr>
        <w:ind w:firstLine="600"/>
        <w:jc w:val="center"/>
        <w:rPr>
          <w:rFonts w:hint="eastAsia"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spacing w:val="20"/>
          <w:sz w:val="32"/>
        </w:rPr>
        <w:t>税调〔    〕</w:t>
      </w:r>
      <w:r>
        <w:rPr>
          <w:rFonts w:ascii="仿宋_GB2312" w:eastAsia="仿宋_GB2312"/>
          <w:spacing w:val="20"/>
          <w:sz w:val="32"/>
        </w:rPr>
        <w:t xml:space="preserve">   </w:t>
      </w:r>
      <w:r>
        <w:rPr>
          <w:rFonts w:hint="eastAsia" w:ascii="仿宋_GB2312" w:eastAsia="仿宋_GB2312"/>
          <w:spacing w:val="20"/>
          <w:sz w:val="32"/>
        </w:rPr>
        <w:t>号</w:t>
      </w:r>
    </w:p>
    <w:p w14:paraId="6DDB9630">
      <w:pPr>
        <w:ind w:firstLine="600"/>
        <w:rPr>
          <w:rFonts w:ascii="仿宋_GB2312" w:eastAsia="仿宋_GB2312"/>
          <w:sz w:val="32"/>
        </w:rPr>
      </w:pPr>
    </w:p>
    <w:p w14:paraId="7A11F432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</w:rPr>
        <w:t>：</w:t>
      </w:r>
    </w:p>
    <w:p w14:paraId="7E66E8CA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根据《中华人民共和国税收征收管理法实施细则》第八十六条规定，经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</w:rPr>
        <w:t>税务局（分局）局长批准，决定调取你（单位）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日至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日的帐簿、记帐凭证、报表和其他有关资料到税务机关进行检查，请于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日前送到</w:t>
      </w:r>
      <w:r>
        <w:rPr>
          <w:rFonts w:hint="eastAsia" w:ascii="仿宋_GB2312" w:eastAsia="仿宋_GB2312"/>
          <w:sz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</w:rPr>
        <w:t>税务局（稽查局）。</w:t>
      </w:r>
    </w:p>
    <w:p w14:paraId="5BC50FCB">
      <w:pPr>
        <w:ind w:firstLine="607"/>
        <w:rPr>
          <w:rFonts w:hint="eastAsia" w:ascii="仿宋_GB2312" w:eastAsia="仿宋_GB2312"/>
          <w:sz w:val="32"/>
        </w:rPr>
      </w:pPr>
    </w:p>
    <w:p w14:paraId="14BFD184">
      <w:pPr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联系人员：</w:t>
      </w:r>
    </w:p>
    <w:p w14:paraId="55579530">
      <w:pPr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</w:p>
    <w:p w14:paraId="489273BF">
      <w:pPr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税务机关地址：</w:t>
      </w:r>
    </w:p>
    <w:p w14:paraId="7D091BFE">
      <w:pPr>
        <w:rPr>
          <w:rFonts w:hint="eastAsia"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 xml:space="preserve">    </w:t>
      </w:r>
    </w:p>
    <w:p w14:paraId="3D177CFD">
      <w:pPr>
        <w:rPr>
          <w:rFonts w:ascii="仿宋_GB2312" w:eastAsia="仿宋_GB2312"/>
          <w:sz w:val="32"/>
        </w:rPr>
      </w:pPr>
    </w:p>
    <w:p w14:paraId="3BE3595E">
      <w:pPr>
        <w:rPr>
          <w:rFonts w:ascii="仿宋_GB2312" w:eastAsia="仿宋_GB2312"/>
          <w:sz w:val="32"/>
        </w:rPr>
      </w:pPr>
    </w:p>
    <w:p w14:paraId="16E2B25D">
      <w:pPr>
        <w:ind w:firstLine="1213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</w:t>
      </w:r>
      <w:r>
        <w:rPr>
          <w:rFonts w:hint="eastAsia" w:ascii="仿宋_GB2312" w:eastAsia="仿宋_GB2312"/>
          <w:sz w:val="32"/>
        </w:rPr>
        <w:t xml:space="preserve"> 税务机关（签章）</w:t>
      </w:r>
    </w:p>
    <w:p w14:paraId="58B001CE">
      <w:pPr>
        <w:ind w:firstLine="4871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年   月   日</w:t>
      </w:r>
    </w:p>
    <w:p w14:paraId="03A95D3F">
      <w:pPr>
        <w:ind w:firstLine="4871"/>
        <w:rPr>
          <w:rFonts w:ascii="仿宋_GB2312" w:eastAsia="仿宋_GB2312"/>
          <w:sz w:val="32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634" w:charSpace="-3420"/>
        </w:sectPr>
      </w:pPr>
    </w:p>
    <w:p w14:paraId="73751081">
      <w:pPr>
        <w:jc w:val="center"/>
        <w:outlineLvl w:val="0"/>
        <w:rPr>
          <w:rFonts w:hint="eastAsia" w:ascii="仿宋_GB2312" w:hAnsi="宋体" w:eastAsia="仿宋_GB2312"/>
          <w:b/>
          <w:sz w:val="44"/>
        </w:rPr>
      </w:pPr>
      <w:r>
        <w:rPr>
          <w:rFonts w:hint="eastAsia"/>
          <w:b/>
          <w:sz w:val="44"/>
        </w:rPr>
        <w:t>使用说明</w:t>
      </w:r>
    </w:p>
    <w:p w14:paraId="0EB5B4FA">
      <w:pPr>
        <w:adjustRightInd w:val="0"/>
        <w:snapToGrid w:val="0"/>
        <w:ind w:firstLine="607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1．本通知书根据《中华人民共和国税收征收管理法实施细则》第八十六条设置。</w:t>
      </w:r>
    </w:p>
    <w:p w14:paraId="1B132699">
      <w:pPr>
        <w:adjustRightInd w:val="0"/>
        <w:snapToGrid w:val="0"/>
        <w:ind w:firstLine="607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2．适用范围：检查人员在调取纳税人、扣缴义务人的帐簿凭证等资料时使用。</w:t>
      </w:r>
    </w:p>
    <w:p w14:paraId="29E5C06E">
      <w:pPr>
        <w:adjustRightInd w:val="0"/>
        <w:snapToGrid w:val="0"/>
        <w:ind w:firstLine="607"/>
        <w:rPr>
          <w:rFonts w:ascii="仿宋_GB2312" w:eastAsia="仿宋_GB2312"/>
          <w:sz w:val="32"/>
        </w:rPr>
      </w:pPr>
      <w:r>
        <w:rPr>
          <w:rFonts w:ascii="仿宋_GB2312" w:hAnsi="宋体" w:eastAsia="仿宋_GB2312"/>
          <w:sz w:val="32"/>
        </w:rPr>
        <w:t>3</w:t>
      </w:r>
      <w:r>
        <w:rPr>
          <w:rFonts w:hint="eastAsia" w:ascii="仿宋_GB2312" w:hAnsi="宋体" w:eastAsia="仿宋_GB2312"/>
          <w:sz w:val="32"/>
        </w:rPr>
        <w:t>．本</w:t>
      </w:r>
      <w:r>
        <w:rPr>
          <w:rFonts w:hint="eastAsia" w:ascii="仿宋_GB2312" w:eastAsia="仿宋_GB2312"/>
          <w:sz w:val="32"/>
        </w:rPr>
        <w:t>通知书中的抬头填写纳税人、扣缴义务人的名称。</w:t>
      </w:r>
    </w:p>
    <w:p w14:paraId="66F0CDC7">
      <w:pPr>
        <w:adjustRightInd w:val="0"/>
        <w:snapToGrid w:val="0"/>
        <w:ind w:firstLine="607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．税务机关使用本通知书调取纳税人、扣缴义务人以前会计年度的帐簿、记帐凭证、报表和其他有关资料时，应由县以上税务局(分局)局长批准；调取纳税人、扣缴义务人当年的帐簿、记帐凭证、报表和其他有关资料时，应由设区的市、自治州以上税务局局长批准。本通知书经内部审批后使用。</w:t>
      </w:r>
    </w:p>
    <w:p w14:paraId="6E48BD6F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５．“经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税务局（分局）局长批准”横线处填写依照规定的审批程序和权限符合《中华人民共和国税收征收管理法》规定具有审批权限的税务局（分局）局长所在税务机关的具体名称。</w:t>
      </w:r>
    </w:p>
    <w:p w14:paraId="6B07AC59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6．调取帐簿、记帐凭证、报表和其他资料，可以通知纳税人、扣缴义务人送到税务机关，也可以在下达本通知书后由税务人员带回税务机关。</w:t>
      </w:r>
    </w:p>
    <w:p w14:paraId="010F066D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7．本通知书与《税务文书送达回证》一并使用。</w:t>
      </w:r>
    </w:p>
    <w:p w14:paraId="6CE5FBBB">
      <w:pPr>
        <w:adjustRightInd w:val="0"/>
        <w:snapToGrid w:val="0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8．文书字轨设为“调”，稽查局使用设为“稽调”。</w:t>
      </w:r>
    </w:p>
    <w:p w14:paraId="02F0E05B">
      <w:pPr>
        <w:adjustRightInd w:val="0"/>
        <w:snapToGrid w:val="0"/>
        <w:ind w:firstLine="607"/>
        <w:rPr>
          <w:rFonts w:ascii="仿宋_GB2312" w:hAnsi="宋体" w:eastAsia="仿宋_GB2312"/>
          <w:sz w:val="32"/>
        </w:rPr>
        <w:sectPr>
          <w:type w:val="nextColumn"/>
          <w:pgSz w:w="11906" w:h="16838"/>
          <w:pgMar w:top="1440" w:right="1797" w:bottom="1440" w:left="1797" w:header="851" w:footer="992" w:gutter="0"/>
          <w:cols w:space="425" w:num="1"/>
          <w:docGrid w:type="linesAndChars" w:linePitch="634" w:charSpace="-3420"/>
        </w:sectPr>
      </w:pPr>
      <w:r>
        <w:rPr>
          <w:rFonts w:hint="eastAsia" w:ascii="仿宋_GB2312" w:eastAsia="仿宋_GB2312"/>
          <w:sz w:val="32"/>
        </w:rPr>
        <w:t>9．</w:t>
      </w:r>
      <w:r>
        <w:rPr>
          <w:rFonts w:hint="eastAsia" w:ascii="仿宋_GB2312" w:hAnsi="宋体" w:eastAsia="仿宋_GB2312"/>
          <w:sz w:val="32"/>
        </w:rPr>
        <w:t>本通知书为</w:t>
      </w:r>
      <w:r>
        <w:rPr>
          <w:rFonts w:ascii="仿宋_GB2312" w:hAnsi="宋体" w:eastAsia="仿宋_GB2312"/>
          <w:sz w:val="32"/>
        </w:rPr>
        <w:t>A4竖式，一式二份，一份</w:t>
      </w:r>
      <w:r>
        <w:rPr>
          <w:rFonts w:hint="eastAsia" w:ascii="仿宋_GB2312" w:hAnsi="宋体" w:eastAsia="仿宋_GB2312"/>
          <w:sz w:val="32"/>
        </w:rPr>
        <w:t>送</w:t>
      </w:r>
      <w:r>
        <w:rPr>
          <w:rFonts w:ascii="仿宋_GB2312" w:hAnsi="宋体" w:eastAsia="仿宋_GB2312"/>
          <w:sz w:val="32"/>
        </w:rPr>
        <w:t>被查对象，一份装入</w:t>
      </w:r>
      <w:r>
        <w:rPr>
          <w:rFonts w:hint="eastAsia" w:ascii="仿宋_GB2312" w:eastAsia="仿宋_GB2312"/>
          <w:sz w:val="32"/>
        </w:rPr>
        <w:t>卷宗</w:t>
      </w:r>
      <w:r>
        <w:rPr>
          <w:rFonts w:hint="eastAsia" w:ascii="仿宋_GB2312" w:hAnsi="宋体" w:eastAsia="仿宋_GB2312"/>
          <w:sz w:val="32"/>
        </w:rPr>
        <w:t>。</w:t>
      </w:r>
      <w:bookmarkStart w:id="0" w:name="_GoBack"/>
      <w:bookmarkEnd w:id="0"/>
    </w:p>
    <w:p w14:paraId="49318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84B5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7472B1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2406F1C"/>
    <w:rsid w:val="42406F1C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2024-07-25T02:05:00Z</dcterms:created>
  <dc:creator>www.shuiwu114.com</dc:creator>
  <cp:lastModifiedBy>www.shuiwu114.com</cp:lastModifiedBy>
  <dcterms:modified xsi:type="dcterms:W3CDTF">2024-07-25T02:05:54Z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2B156AB978D24D2980F55D4BBBACF95F_11</vt:lpwstr>
  </property>
</Properties>
</file>