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431AD">
      <w:pPr>
        <w:spacing w:line="360" w:lineRule="auto"/>
        <w:jc w:val="center"/>
        <w:rPr>
          <w:rFonts w:hint="eastAsia" w:ascii="宋体" w:hAnsi="宋体" w:cs="黑体"/>
          <w:color w:val="000000"/>
          <w:spacing w:val="20"/>
          <w:sz w:val="44"/>
          <w:szCs w:val="44"/>
        </w:rPr>
      </w:pPr>
      <w:r>
        <w:rPr>
          <w:rFonts w:hint="eastAsia" w:ascii="宋体" w:hAnsi="宋体" w:cs="黑体"/>
          <w:color w:val="000000"/>
          <w:spacing w:val="20"/>
          <w:sz w:val="44"/>
          <w:szCs w:val="44"/>
          <w:u w:val="single"/>
        </w:rPr>
        <w:t xml:space="preserve">         </w:t>
      </w:r>
      <w:r>
        <w:rPr>
          <w:rFonts w:hint="eastAsia" w:ascii="宋体" w:hAnsi="宋体" w:cs="黑体"/>
          <w:color w:val="000000"/>
          <w:spacing w:val="20"/>
          <w:sz w:val="44"/>
          <w:szCs w:val="44"/>
        </w:rPr>
        <w:t>税务局（稽查局）</w:t>
      </w:r>
    </w:p>
    <w:p w14:paraId="2B26FCCC">
      <w:pPr>
        <w:spacing w:line="360" w:lineRule="auto"/>
        <w:jc w:val="center"/>
        <w:rPr>
          <w:rFonts w:hint="eastAsia" w:ascii="宋体" w:hAnsi="宋体" w:cs="黑体"/>
          <w:color w:val="000000"/>
          <w:spacing w:val="20"/>
          <w:sz w:val="52"/>
          <w:szCs w:val="52"/>
        </w:rPr>
      </w:pPr>
      <w:r>
        <w:rPr>
          <w:rFonts w:hint="eastAsia" w:ascii="宋体" w:hAnsi="宋体" w:cs="黑体"/>
          <w:color w:val="000000"/>
          <w:spacing w:val="20"/>
          <w:sz w:val="52"/>
          <w:szCs w:val="52"/>
        </w:rPr>
        <w:t xml:space="preserve"> 税务处理决定书</w:t>
      </w:r>
    </w:p>
    <w:p w14:paraId="74DA9AA6">
      <w:pPr>
        <w:spacing w:line="360" w:lineRule="auto"/>
        <w:jc w:val="center"/>
        <w:rPr>
          <w:rFonts w:hAnsi="华文仿宋"/>
          <w:color w:val="000000"/>
          <w:spacing w:val="20"/>
          <w:sz w:val="24"/>
        </w:rPr>
      </w:pPr>
      <w:r>
        <w:rPr>
          <w:rFonts w:hint="eastAsia" w:ascii="华文仿宋" w:hAnsi="华文仿宋" w:eastAsia="华文仿宋"/>
          <w:color w:val="000000"/>
          <w:spacing w:val="20"/>
          <w:sz w:val="24"/>
        </w:rPr>
        <w:t xml:space="preserve">     </w:t>
      </w:r>
      <w:r>
        <w:rPr>
          <w:rFonts w:hint="eastAsia" w:hAnsi="华文仿宋"/>
          <w:color w:val="000000"/>
          <w:spacing w:val="20"/>
          <w:sz w:val="24"/>
          <w:u w:val="single"/>
        </w:rPr>
        <w:t xml:space="preserve">    </w:t>
      </w:r>
      <w:r>
        <w:rPr>
          <w:rFonts w:hint="eastAsia" w:ascii="仿宋_GB2312" w:eastAsia="仿宋_GB2312"/>
          <w:color w:val="000000"/>
          <w:sz w:val="32"/>
        </w:rPr>
        <w:t>税处〔    〕   号</w:t>
      </w:r>
    </w:p>
    <w:p w14:paraId="29949E98">
      <w:pPr>
        <w:spacing w:line="560" w:lineRule="exact"/>
        <w:rPr>
          <w:rFonts w:hAnsi="华文仿宋"/>
          <w:color w:val="000000"/>
          <w:sz w:val="24"/>
        </w:rPr>
      </w:pPr>
    </w:p>
    <w:p w14:paraId="70DE194E">
      <w:pPr>
        <w:widowControl/>
        <w:spacing w:line="56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u w:val="single"/>
        </w:rPr>
        <w:t xml:space="preserve">         </w:t>
      </w:r>
      <w:r>
        <w:rPr>
          <w:rFonts w:hint="eastAsia" w:ascii="仿宋_GB2312" w:eastAsia="仿宋_GB2312"/>
          <w:color w:val="000000"/>
          <w:sz w:val="32"/>
          <w:szCs w:val="32"/>
          <w:u w:val="single"/>
        </w:rPr>
        <w:t xml:space="preserve">    </w:t>
      </w:r>
      <w:r>
        <w:rPr>
          <w:rFonts w:hint="eastAsia"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w:t>
      </w:r>
      <w:r>
        <w:rPr>
          <w:rFonts w:hint="eastAsia" w:ascii="仿宋_GB2312" w:eastAsia="仿宋_GB2312"/>
          <w:color w:val="000000"/>
          <w:sz w:val="32"/>
        </w:rPr>
        <w:t xml:space="preserve"> （纳税人识别号：      ）</w:t>
      </w:r>
    </w:p>
    <w:p w14:paraId="4388F1D6">
      <w:pPr>
        <w:widowControl/>
        <w:spacing w:line="560" w:lineRule="exact"/>
        <w:ind w:firstLine="606" w:firstLineChars="200"/>
        <w:jc w:val="left"/>
        <w:rPr>
          <w:rFonts w:hint="eastAsia" w:ascii="仿宋_GB2312" w:eastAsia="仿宋_GB2312"/>
          <w:color w:val="000000"/>
          <w:sz w:val="32"/>
          <w:u w:val="single"/>
        </w:rPr>
      </w:pPr>
      <w:r>
        <w:rPr>
          <w:rFonts w:hint="eastAsia" w:ascii="仿宋_GB2312" w:eastAsia="仿宋_GB2312"/>
          <w:color w:val="000000"/>
          <w:sz w:val="32"/>
        </w:rPr>
        <w:t>我局（所）于</w:t>
      </w:r>
      <w:r>
        <w:rPr>
          <w:rFonts w:hint="eastAsia" w:ascii="仿宋_GB2312" w:eastAsia="仿宋_GB2312"/>
          <w:color w:val="000000"/>
          <w:sz w:val="32"/>
          <w:u w:val="single"/>
        </w:rPr>
        <w:t xml:space="preserve">    </w:t>
      </w:r>
      <w:r>
        <w:rPr>
          <w:rFonts w:hint="eastAsia" w:ascii="仿宋_GB2312" w:eastAsia="仿宋_GB2312"/>
          <w:color w:val="000000"/>
          <w:sz w:val="32"/>
        </w:rPr>
        <w:t>年</w:t>
      </w:r>
      <w:r>
        <w:rPr>
          <w:rFonts w:hint="eastAsia" w:ascii="仿宋_GB2312" w:eastAsia="仿宋_GB2312"/>
          <w:color w:val="000000"/>
          <w:sz w:val="32"/>
          <w:u w:val="single"/>
        </w:rPr>
        <w:t xml:space="preserve">   </w:t>
      </w:r>
      <w:r>
        <w:rPr>
          <w:rFonts w:hint="eastAsia" w:ascii="仿宋_GB2312" w:eastAsia="仿宋_GB2312"/>
          <w:color w:val="000000"/>
          <w:sz w:val="32"/>
        </w:rPr>
        <w:t>月</w:t>
      </w:r>
      <w:r>
        <w:rPr>
          <w:rFonts w:hint="eastAsia" w:ascii="仿宋_GB2312" w:eastAsia="仿宋_GB2312"/>
          <w:color w:val="000000"/>
          <w:sz w:val="32"/>
          <w:u w:val="single"/>
        </w:rPr>
        <w:t xml:space="preserve">   </w:t>
      </w:r>
      <w:r>
        <w:rPr>
          <w:rFonts w:hint="eastAsia" w:ascii="仿宋_GB2312" w:eastAsia="仿宋_GB2312"/>
          <w:color w:val="000000"/>
          <w:sz w:val="32"/>
        </w:rPr>
        <w:t>日至</w:t>
      </w:r>
      <w:r>
        <w:rPr>
          <w:rFonts w:hint="eastAsia" w:ascii="仿宋_GB2312" w:eastAsia="仿宋_GB2312"/>
          <w:color w:val="000000"/>
          <w:sz w:val="32"/>
          <w:u w:val="single"/>
        </w:rPr>
        <w:t xml:space="preserve">    </w:t>
      </w:r>
      <w:r>
        <w:rPr>
          <w:rFonts w:hint="eastAsia" w:ascii="仿宋_GB2312" w:eastAsia="仿宋_GB2312"/>
          <w:color w:val="000000"/>
          <w:sz w:val="32"/>
        </w:rPr>
        <w:t>年</w:t>
      </w:r>
      <w:r>
        <w:rPr>
          <w:rFonts w:hint="eastAsia" w:ascii="仿宋_GB2312" w:eastAsia="仿宋_GB2312"/>
          <w:color w:val="000000"/>
          <w:sz w:val="32"/>
          <w:u w:val="single"/>
        </w:rPr>
        <w:t xml:space="preserve">   </w:t>
      </w:r>
      <w:r>
        <w:rPr>
          <w:rFonts w:hint="eastAsia" w:ascii="仿宋_GB2312" w:eastAsia="仿宋_GB2312"/>
          <w:color w:val="000000"/>
          <w:sz w:val="32"/>
        </w:rPr>
        <w:t>月</w:t>
      </w:r>
      <w:r>
        <w:rPr>
          <w:rFonts w:hint="eastAsia" w:ascii="仿宋_GB2312" w:eastAsia="仿宋_GB2312"/>
          <w:color w:val="000000"/>
          <w:sz w:val="32"/>
          <w:u w:val="single"/>
        </w:rPr>
        <w:t xml:space="preserve">   </w:t>
      </w:r>
      <w:r>
        <w:rPr>
          <w:rFonts w:hint="eastAsia" w:ascii="仿宋_GB2312" w:eastAsia="仿宋_GB2312"/>
          <w:color w:val="000000"/>
          <w:sz w:val="32"/>
        </w:rPr>
        <w:t>日对你（单位）（地址:</w:t>
      </w:r>
      <w:r>
        <w:rPr>
          <w:rFonts w:ascii="仿宋_GB2312" w:eastAsia="仿宋_GB2312"/>
          <w:color w:val="000000"/>
          <w:sz w:val="32"/>
          <w:u w:val="single"/>
        </w:rPr>
        <w:t xml:space="preserve">        </w:t>
      </w:r>
      <w:r>
        <w:rPr>
          <w:rFonts w:hint="eastAsia" w:ascii="仿宋_GB2312" w:eastAsia="仿宋_GB2312"/>
          <w:color w:val="000000"/>
          <w:sz w:val="32"/>
        </w:rPr>
        <w:t>）</w:t>
      </w:r>
      <w:r>
        <w:rPr>
          <w:rFonts w:hint="eastAsia" w:ascii="仿宋_GB2312" w:eastAsia="仿宋_GB2312"/>
          <w:color w:val="000000"/>
          <w:sz w:val="32"/>
          <w:u w:val="single"/>
        </w:rPr>
        <w:t xml:space="preserve">   </w:t>
      </w:r>
      <w:r>
        <w:rPr>
          <w:rFonts w:hint="eastAsia" w:ascii="仿宋_GB2312" w:eastAsia="仿宋_GB2312"/>
          <w:color w:val="000000"/>
          <w:sz w:val="32"/>
        </w:rPr>
        <w:t>年</w:t>
      </w:r>
      <w:r>
        <w:rPr>
          <w:rFonts w:hint="eastAsia" w:ascii="仿宋_GB2312" w:eastAsia="仿宋_GB2312"/>
          <w:color w:val="000000"/>
          <w:sz w:val="32"/>
          <w:u w:val="single"/>
        </w:rPr>
        <w:t xml:space="preserve">   </w:t>
      </w:r>
      <w:r>
        <w:rPr>
          <w:rFonts w:hint="eastAsia" w:ascii="仿宋_GB2312" w:eastAsia="仿宋_GB2312"/>
          <w:color w:val="000000"/>
          <w:sz w:val="32"/>
        </w:rPr>
        <w:t>月</w:t>
      </w:r>
      <w:r>
        <w:rPr>
          <w:rFonts w:hint="eastAsia" w:ascii="仿宋_GB2312" w:eastAsia="仿宋_GB2312"/>
          <w:color w:val="000000"/>
          <w:sz w:val="32"/>
          <w:u w:val="single"/>
        </w:rPr>
        <w:t xml:space="preserve">   </w:t>
      </w:r>
      <w:r>
        <w:rPr>
          <w:rFonts w:hint="eastAsia" w:ascii="仿宋_GB2312" w:eastAsia="仿宋_GB2312"/>
          <w:color w:val="000000"/>
          <w:sz w:val="32"/>
        </w:rPr>
        <w:t>日至</w:t>
      </w:r>
      <w:r>
        <w:rPr>
          <w:rFonts w:hint="eastAsia" w:ascii="仿宋_GB2312" w:eastAsia="仿宋_GB2312"/>
          <w:color w:val="000000"/>
          <w:sz w:val="32"/>
          <w:u w:val="single"/>
        </w:rPr>
        <w:t xml:space="preserve">   </w:t>
      </w:r>
      <w:r>
        <w:rPr>
          <w:rFonts w:hint="eastAsia" w:ascii="仿宋_GB2312" w:eastAsia="仿宋_GB2312"/>
          <w:color w:val="000000"/>
          <w:sz w:val="32"/>
        </w:rPr>
        <w:t>年</w:t>
      </w:r>
      <w:r>
        <w:rPr>
          <w:rFonts w:hint="eastAsia" w:ascii="宋体" w:hAnsi="宋体" w:cs="宋体"/>
          <w:b w:val="0"/>
          <w:bCs w:val="0"/>
          <w:color w:val="000000"/>
          <w:sz w:val="32"/>
        </w:rPr>
        <w:t>___</w:t>
      </w:r>
      <w:r>
        <w:rPr>
          <w:rFonts w:hint="eastAsia" w:ascii="仿宋_GB2312" w:eastAsia="仿宋_GB2312"/>
          <w:color w:val="000000"/>
          <w:sz w:val="32"/>
        </w:rPr>
        <w:t>月</w:t>
      </w:r>
      <w:r>
        <w:rPr>
          <w:rFonts w:hint="eastAsia" w:ascii="仿宋_GB2312" w:eastAsia="仿宋_GB2312"/>
          <w:color w:val="000000"/>
          <w:sz w:val="32"/>
          <w:u w:val="single"/>
        </w:rPr>
        <w:t xml:space="preserve">   </w:t>
      </w:r>
      <w:r>
        <w:rPr>
          <w:rFonts w:hint="eastAsia" w:ascii="仿宋_GB2312" w:eastAsia="仿宋_GB2312"/>
          <w:color w:val="000000"/>
          <w:sz w:val="32"/>
        </w:rPr>
        <w:t>日</w:t>
      </w:r>
      <w:r>
        <w:rPr>
          <w:rFonts w:hint="eastAsia" w:ascii="仿宋_GB2312" w:eastAsia="仿宋_GB2312"/>
          <w:color w:val="000000"/>
          <w:sz w:val="32"/>
          <w:u w:val="single"/>
        </w:rPr>
        <w:t xml:space="preserve">                                     </w:t>
      </w:r>
    </w:p>
    <w:p w14:paraId="280CECBA">
      <w:pPr>
        <w:widowControl/>
        <w:spacing w:line="560" w:lineRule="exact"/>
        <w:ind w:firstLine="0" w:firstLineChars="0"/>
        <w:jc w:val="left"/>
        <w:rPr>
          <w:rFonts w:hint="eastAsia" w:ascii="仿宋_GB2312" w:eastAsia="仿宋_GB2312"/>
          <w:color w:val="000000"/>
          <w:sz w:val="32"/>
        </w:rPr>
      </w:pPr>
      <w:r>
        <w:rPr>
          <w:rFonts w:ascii="仿宋_GB2312" w:eastAsia="仿宋_GB2312"/>
          <w:color w:val="000000"/>
          <w:sz w:val="32"/>
          <w:u w:val="single"/>
        </w:rPr>
        <w:t xml:space="preserve">                </w:t>
      </w:r>
      <w:r>
        <w:rPr>
          <w:rFonts w:hint="eastAsia" w:ascii="仿宋_GB2312" w:eastAsia="仿宋_GB2312"/>
          <w:color w:val="000000"/>
          <w:sz w:val="32"/>
        </w:rPr>
        <w:t>情况进行了检查，违法事实及处理决定如下：</w:t>
      </w:r>
    </w:p>
    <w:p w14:paraId="40A56B99">
      <w:pPr>
        <w:widowControl/>
        <w:spacing w:line="560" w:lineRule="exact"/>
        <w:ind w:firstLine="606" w:firstLineChars="200"/>
        <w:jc w:val="left"/>
        <w:rPr>
          <w:rFonts w:hint="eastAsia" w:ascii="黑体" w:hAnsi="黑体" w:eastAsia="黑体"/>
          <w:color w:val="000000"/>
          <w:sz w:val="32"/>
        </w:rPr>
      </w:pPr>
      <w:r>
        <w:rPr>
          <w:rFonts w:hint="eastAsia" w:ascii="黑体" w:hAnsi="黑体" w:eastAsia="黑体"/>
          <w:color w:val="000000"/>
          <w:sz w:val="32"/>
        </w:rPr>
        <w:t>一、违法事实</w:t>
      </w:r>
    </w:p>
    <w:p w14:paraId="6ACBB8DE">
      <w:pPr>
        <w:widowControl/>
        <w:spacing w:line="560" w:lineRule="exact"/>
        <w:ind w:firstLine="606" w:firstLineChars="200"/>
        <w:jc w:val="left"/>
        <w:rPr>
          <w:rFonts w:hint="eastAsia" w:ascii="仿宋_GB2312" w:eastAsia="仿宋_GB2312"/>
          <w:color w:val="000000"/>
          <w:sz w:val="32"/>
        </w:rPr>
      </w:pPr>
      <w:r>
        <w:rPr>
          <w:rFonts w:hint="eastAsia" w:ascii="仿宋_GB2312" w:eastAsia="仿宋_GB2312"/>
          <w:color w:val="000000"/>
          <w:sz w:val="32"/>
        </w:rPr>
        <w:t>（一）</w:t>
      </w:r>
    </w:p>
    <w:p w14:paraId="24B85963">
      <w:pPr>
        <w:widowControl/>
        <w:spacing w:line="560" w:lineRule="exact"/>
        <w:ind w:firstLine="606" w:firstLineChars="200"/>
        <w:jc w:val="left"/>
        <w:rPr>
          <w:rFonts w:hint="eastAsia" w:ascii="仿宋_GB2312" w:eastAsia="仿宋_GB2312"/>
          <w:color w:val="000000"/>
          <w:sz w:val="32"/>
        </w:rPr>
      </w:pPr>
      <w:r>
        <w:rPr>
          <w:rFonts w:hint="eastAsia" w:ascii="仿宋_GB2312" w:eastAsia="仿宋_GB2312"/>
          <w:color w:val="000000"/>
          <w:sz w:val="32"/>
        </w:rPr>
        <w:t>1．</w:t>
      </w:r>
    </w:p>
    <w:p w14:paraId="6AA04E8C">
      <w:pPr>
        <w:widowControl/>
        <w:spacing w:line="560" w:lineRule="exact"/>
        <w:ind w:firstLine="606" w:firstLineChars="200"/>
        <w:jc w:val="left"/>
        <w:rPr>
          <w:rFonts w:hint="eastAsia" w:ascii="仿宋_GB2312" w:eastAsia="仿宋_GB2312"/>
          <w:color w:val="000000"/>
          <w:sz w:val="32"/>
        </w:rPr>
      </w:pPr>
      <w:r>
        <w:rPr>
          <w:rFonts w:hint="eastAsia" w:ascii="仿宋_GB2312" w:eastAsia="仿宋_GB2312"/>
          <w:color w:val="000000"/>
          <w:sz w:val="32"/>
        </w:rPr>
        <w:t>2．</w:t>
      </w:r>
    </w:p>
    <w:p w14:paraId="61CB6AFA">
      <w:pPr>
        <w:widowControl/>
        <w:spacing w:line="560" w:lineRule="exact"/>
        <w:ind w:firstLine="606" w:firstLineChars="200"/>
        <w:jc w:val="left"/>
        <w:rPr>
          <w:rFonts w:hint="eastAsia" w:ascii="仿宋_GB2312" w:eastAsia="仿宋_GB2312"/>
          <w:color w:val="000000"/>
          <w:sz w:val="32"/>
        </w:rPr>
      </w:pPr>
      <w:r>
        <w:rPr>
          <w:rFonts w:hint="eastAsia" w:ascii="仿宋_GB2312" w:eastAsia="仿宋_GB2312"/>
          <w:color w:val="000000"/>
          <w:sz w:val="32"/>
        </w:rPr>
        <w:t>（二）</w:t>
      </w:r>
    </w:p>
    <w:p w14:paraId="0F17082C">
      <w:pPr>
        <w:widowControl/>
        <w:spacing w:line="560" w:lineRule="exact"/>
        <w:ind w:firstLine="606" w:firstLineChars="200"/>
        <w:jc w:val="left"/>
        <w:rPr>
          <w:rFonts w:hint="eastAsia" w:ascii="仿宋_GB2312" w:eastAsia="仿宋_GB2312"/>
          <w:color w:val="000000"/>
          <w:sz w:val="32"/>
        </w:rPr>
      </w:pPr>
      <w:r>
        <w:rPr>
          <w:rFonts w:hint="eastAsia" w:ascii="仿宋_GB2312" w:eastAsia="仿宋_GB2312"/>
          <w:color w:val="000000"/>
          <w:sz w:val="32"/>
        </w:rPr>
        <w:t>……</w:t>
      </w:r>
    </w:p>
    <w:p w14:paraId="66189C31">
      <w:pPr>
        <w:widowControl/>
        <w:spacing w:line="560" w:lineRule="exact"/>
        <w:ind w:firstLine="606" w:firstLineChars="200"/>
        <w:jc w:val="left"/>
        <w:rPr>
          <w:rFonts w:hint="eastAsia" w:ascii="黑体" w:hAnsi="黑体" w:eastAsia="黑体"/>
          <w:color w:val="000000"/>
          <w:sz w:val="32"/>
        </w:rPr>
      </w:pPr>
      <w:r>
        <w:rPr>
          <w:rFonts w:hint="eastAsia" w:ascii="黑体" w:hAnsi="黑体" w:eastAsia="黑体"/>
          <w:color w:val="000000"/>
          <w:sz w:val="32"/>
        </w:rPr>
        <w:t>二、处理决定及依据</w:t>
      </w:r>
    </w:p>
    <w:p w14:paraId="3F448BB3">
      <w:pPr>
        <w:widowControl/>
        <w:spacing w:line="560" w:lineRule="exact"/>
        <w:ind w:firstLine="606" w:firstLineChars="200"/>
        <w:jc w:val="left"/>
        <w:rPr>
          <w:rFonts w:hint="eastAsia" w:ascii="仿宋_GB2312" w:eastAsia="仿宋_GB2312"/>
          <w:color w:val="000000"/>
          <w:sz w:val="32"/>
        </w:rPr>
      </w:pPr>
      <w:r>
        <w:rPr>
          <w:rFonts w:hint="eastAsia" w:ascii="仿宋_GB2312" w:eastAsia="仿宋_GB2312"/>
          <w:color w:val="000000"/>
          <w:sz w:val="32"/>
        </w:rPr>
        <w:t>（一）</w:t>
      </w:r>
    </w:p>
    <w:p w14:paraId="218BCD4F">
      <w:pPr>
        <w:widowControl/>
        <w:spacing w:line="560" w:lineRule="exact"/>
        <w:ind w:firstLine="606" w:firstLineChars="200"/>
        <w:jc w:val="left"/>
        <w:rPr>
          <w:rFonts w:hint="eastAsia" w:ascii="仿宋_GB2312" w:eastAsia="仿宋_GB2312"/>
          <w:color w:val="000000"/>
          <w:sz w:val="32"/>
        </w:rPr>
      </w:pPr>
      <w:r>
        <w:rPr>
          <w:rFonts w:hint="eastAsia" w:ascii="仿宋_GB2312" w:eastAsia="仿宋_GB2312"/>
          <w:color w:val="000000"/>
          <w:sz w:val="32"/>
        </w:rPr>
        <w:t>1．</w:t>
      </w:r>
    </w:p>
    <w:p w14:paraId="6FEBB68A">
      <w:pPr>
        <w:widowControl/>
        <w:spacing w:line="560" w:lineRule="exact"/>
        <w:ind w:firstLine="606" w:firstLineChars="200"/>
        <w:jc w:val="left"/>
        <w:rPr>
          <w:rFonts w:hint="eastAsia" w:ascii="仿宋_GB2312" w:eastAsia="仿宋_GB2312"/>
          <w:color w:val="000000"/>
          <w:sz w:val="32"/>
        </w:rPr>
      </w:pPr>
      <w:r>
        <w:rPr>
          <w:rFonts w:hint="eastAsia" w:ascii="仿宋_GB2312" w:eastAsia="仿宋_GB2312"/>
          <w:color w:val="000000"/>
          <w:sz w:val="32"/>
        </w:rPr>
        <w:t>2．</w:t>
      </w:r>
    </w:p>
    <w:p w14:paraId="21D6B98C">
      <w:pPr>
        <w:widowControl/>
        <w:spacing w:line="560" w:lineRule="exact"/>
        <w:ind w:firstLine="606" w:firstLineChars="200"/>
        <w:jc w:val="left"/>
        <w:rPr>
          <w:rFonts w:hint="eastAsia" w:ascii="仿宋_GB2312" w:eastAsia="仿宋_GB2312"/>
          <w:color w:val="000000"/>
          <w:sz w:val="32"/>
        </w:rPr>
      </w:pPr>
      <w:r>
        <w:rPr>
          <w:rFonts w:hint="eastAsia" w:ascii="仿宋_GB2312" w:eastAsia="仿宋_GB2312"/>
          <w:color w:val="000000"/>
          <w:sz w:val="32"/>
        </w:rPr>
        <w:t>（二）</w:t>
      </w:r>
    </w:p>
    <w:p w14:paraId="6C195C58">
      <w:pPr>
        <w:widowControl/>
        <w:spacing w:line="560" w:lineRule="exact"/>
        <w:ind w:firstLine="606" w:firstLineChars="200"/>
        <w:jc w:val="left"/>
        <w:rPr>
          <w:rFonts w:hint="eastAsia" w:ascii="仿宋_GB2312" w:eastAsia="仿宋_GB2312"/>
          <w:color w:val="000000"/>
          <w:sz w:val="32"/>
        </w:rPr>
      </w:pPr>
      <w:r>
        <w:rPr>
          <w:rFonts w:hint="eastAsia" w:ascii="仿宋_GB2312" w:eastAsia="仿宋_GB2312"/>
          <w:color w:val="000000"/>
          <w:sz w:val="32"/>
        </w:rPr>
        <w:t>……</w:t>
      </w:r>
    </w:p>
    <w:p w14:paraId="3299828B">
      <w:pPr>
        <w:widowControl/>
        <w:spacing w:line="560" w:lineRule="exact"/>
        <w:ind w:firstLine="606" w:firstLineChars="200"/>
        <w:jc w:val="left"/>
        <w:rPr>
          <w:rFonts w:hint="eastAsia" w:ascii="仿宋_GB2312" w:eastAsia="仿宋_GB2312"/>
          <w:color w:val="000000"/>
          <w:sz w:val="32"/>
        </w:rPr>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7" w:charSpace="-3482"/>
        </w:sectPr>
      </w:pPr>
      <w:r>
        <w:rPr>
          <w:rFonts w:hint="eastAsia" w:ascii="仿宋_GB2312" w:eastAsia="仿宋_GB2312"/>
          <w:color w:val="000000"/>
          <w:sz w:val="32"/>
        </w:rPr>
        <w:t>限你（单位）自收到本决定书之日起</w:t>
      </w:r>
      <w:r>
        <w:rPr>
          <w:rFonts w:hint="eastAsia" w:ascii="仿宋_GB2312" w:eastAsia="仿宋_GB2312"/>
          <w:color w:val="000000"/>
          <w:sz w:val="32"/>
          <w:u w:val="single"/>
        </w:rPr>
        <w:t xml:space="preserve">   </w:t>
      </w:r>
      <w:r>
        <w:rPr>
          <w:rFonts w:hint="eastAsia" w:ascii="仿宋_GB2312" w:eastAsia="仿宋_GB2312"/>
          <w:color w:val="000000"/>
          <w:sz w:val="32"/>
        </w:rPr>
        <w:t>日内到</w:t>
      </w:r>
      <w:r>
        <w:rPr>
          <w:rFonts w:hint="eastAsia" w:ascii="仿宋_GB2312" w:eastAsia="仿宋_GB2312"/>
          <w:color w:val="000000"/>
          <w:sz w:val="32"/>
          <w:u w:val="single"/>
        </w:rPr>
        <w:t xml:space="preserve">       </w:t>
      </w:r>
      <w:r>
        <w:rPr>
          <w:rFonts w:hint="eastAsia" w:ascii="仿宋_GB2312" w:eastAsia="仿宋_GB2312"/>
          <w:color w:val="000000"/>
          <w:sz w:val="32"/>
        </w:rPr>
        <w:t xml:space="preserve">  将上述税款及滞纳金缴纳入库，并按照规定进行相关账务调整。</w:t>
      </w:r>
    </w:p>
    <w:p w14:paraId="393660CA">
      <w:pPr>
        <w:widowControl/>
        <w:spacing w:line="560" w:lineRule="exact"/>
        <w:ind w:firstLine="0" w:firstLineChars="0"/>
        <w:jc w:val="left"/>
        <w:rPr>
          <w:rFonts w:hint="eastAsia" w:ascii="仿宋_GB2312" w:eastAsia="仿宋_GB2312"/>
          <w:color w:val="000000"/>
          <w:sz w:val="32"/>
        </w:rPr>
      </w:pPr>
      <w:r>
        <w:rPr>
          <w:rFonts w:hint="eastAsia" w:ascii="仿宋_GB2312" w:eastAsia="仿宋_GB2312"/>
          <w:color w:val="000000"/>
          <w:sz w:val="32"/>
        </w:rPr>
        <w:t>逾期未缴清的，将依照《中华人民共和国税收征收管理法》第四十条规定强制执行。</w:t>
      </w:r>
    </w:p>
    <w:p w14:paraId="1682809F">
      <w:pPr>
        <w:spacing w:line="560" w:lineRule="exact"/>
        <w:ind w:firstLine="640" w:firstLineChars="200"/>
        <w:rPr>
          <w:rFonts w:hint="eastAsia"/>
          <w:color w:val="000000"/>
        </w:rPr>
      </w:pPr>
      <w:r>
        <w:rPr>
          <w:rFonts w:hint="eastAsia" w:ascii="仿宋_GB2312" w:eastAsia="仿宋_GB2312"/>
          <w:color w:val="000000"/>
          <w:sz w:val="32"/>
        </w:rPr>
        <w:t xml:space="preserve">你（单位）若同我局（所）在纳税上有争议，必须先依照本决定的期限缴纳税款及滞纳金或者提供相应的担保，然后可自上述款项缴清或者提供相应担保被税务机关确认之日起六十日内依法向 </w:t>
      </w:r>
      <w:r>
        <w:rPr>
          <w:rFonts w:hint="eastAsia" w:ascii="仿宋_GB2312" w:eastAsia="仿宋_GB2312"/>
          <w:color w:val="000000"/>
          <w:sz w:val="32"/>
          <w:u w:val="single"/>
        </w:rPr>
        <w:t xml:space="preserve">               </w:t>
      </w:r>
      <w:r>
        <w:rPr>
          <w:rFonts w:hint="eastAsia" w:ascii="仿宋_GB2312" w:eastAsia="仿宋_GB2312"/>
          <w:color w:val="000000"/>
          <w:sz w:val="32"/>
        </w:rPr>
        <w:t xml:space="preserve">申请行政复议。  </w:t>
      </w:r>
      <w:r>
        <w:rPr>
          <w:rFonts w:hint="eastAsia"/>
          <w:color w:val="000000"/>
        </w:rPr>
        <w:t xml:space="preserve">                                  </w:t>
      </w:r>
    </w:p>
    <w:p w14:paraId="25A65D26">
      <w:pPr>
        <w:spacing w:line="560" w:lineRule="exact"/>
        <w:rPr>
          <w:rFonts w:hint="eastAsia"/>
          <w:color w:val="000000"/>
        </w:rPr>
      </w:pPr>
    </w:p>
    <w:p w14:paraId="27709B44">
      <w:pPr>
        <w:widowControl/>
        <w:spacing w:line="560" w:lineRule="exact"/>
        <w:ind w:firstLine="640" w:firstLineChars="200"/>
        <w:jc w:val="left"/>
        <w:rPr>
          <w:rFonts w:hint="eastAsia" w:ascii="仿宋_GB2312" w:eastAsia="仿宋_GB2312"/>
          <w:color w:val="000000"/>
          <w:sz w:val="32"/>
        </w:rPr>
      </w:pPr>
    </w:p>
    <w:p w14:paraId="7FBAB81E">
      <w:pPr>
        <w:widowControl/>
        <w:spacing w:line="560" w:lineRule="exact"/>
        <w:ind w:firstLine="640" w:firstLineChars="200"/>
        <w:jc w:val="left"/>
        <w:rPr>
          <w:rFonts w:hint="eastAsia" w:ascii="仿宋_GB2312" w:eastAsia="仿宋_GB2312"/>
          <w:color w:val="000000"/>
          <w:sz w:val="32"/>
        </w:rPr>
      </w:pPr>
    </w:p>
    <w:p w14:paraId="41FAD754">
      <w:pPr>
        <w:pStyle w:val="8"/>
        <w:adjustRightInd/>
        <w:spacing w:line="560" w:lineRule="exact"/>
        <w:jc w:val="right"/>
        <w:rPr>
          <w:rFonts w:hint="default" w:ascii="仿宋_GB2312" w:eastAsia="仿宋_GB2312"/>
          <w:color w:val="000000"/>
          <w:sz w:val="32"/>
        </w:rPr>
      </w:pPr>
      <w:r>
        <w:rPr>
          <w:rFonts w:ascii="仿宋_GB2312" w:eastAsia="仿宋_GB2312"/>
          <w:color w:val="000000"/>
          <w:sz w:val="32"/>
        </w:rPr>
        <w:t>税务机关（印章）</w:t>
      </w:r>
    </w:p>
    <w:p w14:paraId="72DA094F">
      <w:pPr>
        <w:spacing w:line="560" w:lineRule="exact"/>
        <w:ind w:firstLine="303"/>
        <w:jc w:val="right"/>
        <w:rPr>
          <w:rFonts w:hint="eastAsia" w:ascii="仿宋_GB2312" w:eastAsia="仿宋_GB2312"/>
          <w:color w:val="000000"/>
          <w:sz w:val="32"/>
        </w:rPr>
      </w:pPr>
      <w:r>
        <w:rPr>
          <w:rFonts w:hint="eastAsia" w:ascii="仿宋_GB2312" w:eastAsia="仿宋_GB2312"/>
          <w:color w:val="000000"/>
          <w:sz w:val="32"/>
        </w:rPr>
        <w:t xml:space="preserve">年  </w:t>
      </w:r>
      <w:r>
        <w:rPr>
          <w:rFonts w:ascii="仿宋_GB2312" w:eastAsia="仿宋_GB2312"/>
          <w:color w:val="000000"/>
          <w:sz w:val="32"/>
        </w:rPr>
        <w:t xml:space="preserve"> </w:t>
      </w:r>
      <w:r>
        <w:rPr>
          <w:rFonts w:hint="eastAsia" w:ascii="仿宋_GB2312" w:eastAsia="仿宋_GB2312"/>
          <w:color w:val="000000"/>
          <w:sz w:val="32"/>
        </w:rPr>
        <w:t xml:space="preserve">月  </w:t>
      </w:r>
      <w:r>
        <w:rPr>
          <w:rFonts w:ascii="仿宋_GB2312" w:eastAsia="仿宋_GB2312"/>
          <w:color w:val="000000"/>
          <w:sz w:val="32"/>
        </w:rPr>
        <w:t xml:space="preserve"> </w:t>
      </w:r>
      <w:r>
        <w:rPr>
          <w:rFonts w:hint="eastAsia" w:ascii="仿宋_GB2312" w:eastAsia="仿宋_GB2312"/>
          <w:color w:val="000000"/>
          <w:sz w:val="32"/>
        </w:rPr>
        <w:t xml:space="preserve">日 </w:t>
      </w:r>
      <w:r>
        <w:rPr>
          <w:rFonts w:ascii="仿宋_GB2312" w:eastAsia="仿宋_GB2312"/>
          <w:color w:val="000000"/>
          <w:sz w:val="32"/>
        </w:rPr>
        <w:t xml:space="preserve"> </w:t>
      </w:r>
    </w:p>
    <w:p w14:paraId="1A1D34D1">
      <w:pPr>
        <w:spacing w:line="360" w:lineRule="auto"/>
        <w:ind w:firstLine="548"/>
        <w:jc w:val="center"/>
        <w:rPr>
          <w:rFonts w:ascii="宋体" w:hAnsi="宋体"/>
          <w:color w:val="000000"/>
          <w:sz w:val="44"/>
        </w:rPr>
      </w:pPr>
    </w:p>
    <w:p w14:paraId="5F2F8E09">
      <w:pPr>
        <w:jc w:val="center"/>
        <w:rPr>
          <w:rFonts w:ascii="宋体" w:hAnsi="宋体"/>
          <w:color w:val="000000"/>
          <w:sz w:val="44"/>
        </w:rPr>
      </w:pPr>
      <w:r>
        <w:rPr>
          <w:rFonts w:ascii="宋体" w:hAnsi="宋体"/>
          <w:color w:val="000000"/>
          <w:sz w:val="44"/>
        </w:rPr>
        <w:br w:type="page"/>
      </w:r>
      <w:r>
        <w:rPr>
          <w:rFonts w:hint="eastAsia" w:ascii="宋体" w:hAnsi="宋体"/>
          <w:color w:val="000000"/>
          <w:sz w:val="44"/>
        </w:rPr>
        <w:t>使用说明</w:t>
      </w:r>
    </w:p>
    <w:p w14:paraId="64FA45DB">
      <w:pPr>
        <w:adjustRightInd w:val="0"/>
        <w:snapToGrid w:val="0"/>
        <w:ind w:firstLine="640" w:firstLineChars="200"/>
        <w:rPr>
          <w:rFonts w:ascii="仿宋_GB2312" w:eastAsia="仿宋_GB2312"/>
          <w:color w:val="000000"/>
          <w:sz w:val="32"/>
          <w:szCs w:val="32"/>
        </w:rPr>
      </w:pPr>
      <w:r>
        <w:rPr>
          <w:rFonts w:hint="eastAsia" w:ascii="仿宋_GB2312" w:eastAsia="仿宋_GB2312"/>
          <w:color w:val="000000"/>
          <w:sz w:val="32"/>
          <w:szCs w:val="32"/>
        </w:rPr>
        <w:t>1．本决定书依据《中华人民共和国税收征收管理法》、《中华人民共和国税收征收管理法实施细则》和《中华人民共和国行政复议法》第二十条、</w:t>
      </w:r>
      <w:r>
        <w:rPr>
          <w:rFonts w:hint="eastAsia" w:ascii="仿宋_GB2312" w:eastAsia="仿宋_GB2312"/>
          <w:color w:val="000000"/>
          <w:sz w:val="32"/>
        </w:rPr>
        <w:t>《税务稽查案件办理程序规定》第四十三条</w:t>
      </w:r>
      <w:r>
        <w:rPr>
          <w:rFonts w:hint="eastAsia" w:ascii="仿宋_GB2312" w:eastAsia="仿宋_GB2312"/>
          <w:color w:val="000000"/>
          <w:sz w:val="32"/>
          <w:szCs w:val="32"/>
        </w:rPr>
        <w:t>设置。</w:t>
      </w:r>
    </w:p>
    <w:p w14:paraId="522A1F20">
      <w:pPr>
        <w:adjustRightInd w:val="0"/>
        <w:snapToGrid w:val="0"/>
        <w:ind w:firstLine="640" w:firstLineChars="200"/>
        <w:rPr>
          <w:rFonts w:ascii="仿宋_GB2312" w:eastAsia="仿宋_GB2312"/>
          <w:color w:val="000000"/>
          <w:sz w:val="32"/>
          <w:szCs w:val="32"/>
        </w:rPr>
      </w:pPr>
      <w:r>
        <w:rPr>
          <w:rFonts w:hint="eastAsia" w:ascii="仿宋_GB2312" w:eastAsia="仿宋_GB2312"/>
          <w:color w:val="000000"/>
          <w:sz w:val="32"/>
          <w:szCs w:val="32"/>
        </w:rPr>
        <w:t>2．适用范围：税务机关对各类税收违法行为依据有关税收法律、行政法规、规章作出处理决定时使用。</w:t>
      </w:r>
    </w:p>
    <w:p w14:paraId="351D70C6">
      <w:pPr>
        <w:adjustRightInd w:val="0"/>
        <w:snapToGrid w:val="0"/>
        <w:ind w:firstLine="640" w:firstLineChars="200"/>
        <w:rPr>
          <w:rFonts w:ascii="仿宋_GB2312" w:eastAsia="仿宋_GB2312"/>
          <w:color w:val="000000"/>
          <w:sz w:val="32"/>
          <w:szCs w:val="32"/>
        </w:rPr>
      </w:pPr>
      <w:r>
        <w:rPr>
          <w:rFonts w:hint="eastAsia" w:ascii="仿宋_GB2312" w:eastAsia="仿宋_GB2312"/>
          <w:color w:val="000000"/>
          <w:sz w:val="32"/>
          <w:szCs w:val="32"/>
        </w:rPr>
        <w:t>3．本决定书应当包括如下内容：被处理对象名称、查证的违法事实及违法所属期间、处理依据、处理决定、作出处理决定的税务机关名称及印章、作出处理决定日期、处理决定文号、告知申请行政复议的时限、途径。</w:t>
      </w:r>
    </w:p>
    <w:p w14:paraId="3C7EB2BE">
      <w:pPr>
        <w:adjustRightInd w:val="0"/>
        <w:snapToGrid w:val="0"/>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本文书受送达人处填写纳税人、扣缴义务人等税务行政相对人名称或者姓名，统一社会信用代码或者有效身份证件号码，没有统一社会信用代码的，填写纳税人识别号。地址填写注册登记地址或者有效身份证件上的地址。</w:t>
      </w:r>
    </w:p>
    <w:p w14:paraId="2EDD263E">
      <w:pPr>
        <w:adjustRightInd w:val="0"/>
        <w:snapToGrid w:val="0"/>
        <w:ind w:firstLine="640" w:firstLineChars="200"/>
        <w:rPr>
          <w:rFonts w:ascii="仿宋_GB2312" w:eastAsia="仿宋_GB2312"/>
          <w:color w:val="000000"/>
          <w:sz w:val="32"/>
          <w:szCs w:val="32"/>
        </w:rPr>
      </w:pPr>
      <w:r>
        <w:rPr>
          <w:rFonts w:hint="eastAsia" w:ascii="仿宋_GB2312" w:eastAsia="仿宋_GB2312"/>
          <w:color w:val="000000"/>
          <w:sz w:val="32"/>
          <w:szCs w:val="32"/>
        </w:rPr>
        <w:t>5．本决定书的主体部分，必须抓住税收违法行为的主要事实，简明扼要地加以叙述，然后列举处理的依据，写明处理结论。若违法事实复杂，应当分类分项叙述。</w:t>
      </w:r>
    </w:p>
    <w:p w14:paraId="1626B507">
      <w:pPr>
        <w:adjustRightInd w:val="0"/>
        <w:snapToGrid w:val="0"/>
        <w:ind w:firstLine="640" w:firstLineChars="200"/>
        <w:rPr>
          <w:rFonts w:ascii="仿宋_GB2312" w:eastAsia="仿宋_GB2312"/>
          <w:color w:val="000000"/>
          <w:sz w:val="32"/>
          <w:szCs w:val="32"/>
        </w:rPr>
      </w:pPr>
      <w:r>
        <w:rPr>
          <w:rFonts w:hint="eastAsia" w:ascii="仿宋_GB2312" w:eastAsia="仿宋_GB2312"/>
          <w:color w:val="000000"/>
          <w:sz w:val="32"/>
          <w:szCs w:val="32"/>
        </w:rPr>
        <w:t>6．本决定书所援引的处理依据，必须是税收及其他相关法律、行政法规或者规章，并应当注明文件名称、文号和有关条款。</w:t>
      </w:r>
    </w:p>
    <w:p w14:paraId="3C2549AC">
      <w:pPr>
        <w:adjustRightInd w:val="0"/>
        <w:snapToGrid w:val="0"/>
        <w:ind w:firstLine="640" w:firstLineChars="200"/>
        <w:rPr>
          <w:rFonts w:ascii="仿宋_GB2312" w:eastAsia="仿宋_GB2312"/>
          <w:color w:val="000000"/>
          <w:sz w:val="32"/>
          <w:szCs w:val="32"/>
        </w:rPr>
      </w:pPr>
      <w:r>
        <w:rPr>
          <w:rFonts w:hint="eastAsia" w:ascii="仿宋_GB2312" w:eastAsia="仿宋_GB2312"/>
          <w:color w:val="000000"/>
          <w:sz w:val="32"/>
          <w:szCs w:val="32"/>
        </w:rPr>
        <w:t>7.“限你（单位）自本决定书送达之日起</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日内到</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将上述税款及滞纳金缴纳入库，</w:t>
      </w:r>
      <w:r>
        <w:rPr>
          <w:rFonts w:hint="eastAsia" w:ascii="仿宋_GB2312" w:eastAsia="仿宋_GB2312"/>
          <w:color w:val="000000"/>
          <w:sz w:val="32"/>
        </w:rPr>
        <w:t>并按照规定进行相关账务调整。</w:t>
      </w:r>
      <w:r>
        <w:rPr>
          <w:rFonts w:ascii="仿宋_GB2312" w:eastAsia="仿宋_GB2312"/>
          <w:color w:val="000000"/>
          <w:sz w:val="32"/>
          <w:szCs w:val="32"/>
        </w:rPr>
        <w:t>逾期未缴</w:t>
      </w:r>
      <w:r>
        <w:rPr>
          <w:rFonts w:hint="eastAsia" w:ascii="仿宋_GB2312" w:eastAsia="仿宋_GB2312"/>
          <w:color w:val="000000"/>
          <w:sz w:val="32"/>
          <w:szCs w:val="32"/>
        </w:rPr>
        <w:t>清的</w:t>
      </w:r>
      <w:r>
        <w:rPr>
          <w:rFonts w:ascii="仿宋_GB2312" w:eastAsia="仿宋_GB2312"/>
          <w:color w:val="000000"/>
          <w:sz w:val="32"/>
          <w:szCs w:val="32"/>
        </w:rPr>
        <w:t>，将依照《中华人民共和国税收征收管理法》第四十条规定强制执行。</w:t>
      </w:r>
      <w:r>
        <w:rPr>
          <w:rFonts w:hint="eastAsia" w:ascii="仿宋_GB2312" w:eastAsia="仿宋_GB2312"/>
          <w:color w:val="000000"/>
          <w:sz w:val="32"/>
          <w:szCs w:val="32"/>
        </w:rPr>
        <w:t>”其中强制执行措施仅限于对从事生产、经营的纳税人、扣缴义务人适用，对非从事生产、经营的纳税人、扣缴义务人可以申请人民法院强制执行。</w:t>
      </w:r>
    </w:p>
    <w:p w14:paraId="47A6E676">
      <w:pPr>
        <w:adjustRightInd w:val="0"/>
        <w:snapToGrid w:val="0"/>
        <w:ind w:firstLine="640" w:firstLineChars="200"/>
        <w:rPr>
          <w:rFonts w:ascii="仿宋_GB2312" w:eastAsia="仿宋_GB2312"/>
          <w:color w:val="000000"/>
          <w:sz w:val="32"/>
          <w:szCs w:val="32"/>
        </w:rPr>
      </w:pPr>
      <w:r>
        <w:rPr>
          <w:rFonts w:hint="eastAsia" w:ascii="仿宋_GB2312" w:eastAsia="仿宋_GB2312"/>
          <w:color w:val="000000"/>
          <w:sz w:val="32"/>
          <w:szCs w:val="32"/>
        </w:rPr>
        <w:t>8．本决定书与《税务文书送达回证》一并使用。</w:t>
      </w:r>
    </w:p>
    <w:p w14:paraId="4D903D85">
      <w:pPr>
        <w:adjustRightInd w:val="0"/>
        <w:snapToGrid w:val="0"/>
        <w:ind w:firstLine="640" w:firstLineChars="200"/>
        <w:rPr>
          <w:rFonts w:ascii="仿宋_GB2312" w:eastAsia="仿宋_GB2312"/>
          <w:color w:val="000000"/>
          <w:sz w:val="32"/>
          <w:szCs w:val="32"/>
        </w:rPr>
      </w:pPr>
      <w:r>
        <w:rPr>
          <w:rFonts w:hint="eastAsia" w:ascii="仿宋_GB2312" w:eastAsia="仿宋_GB2312"/>
          <w:color w:val="000000"/>
          <w:sz w:val="32"/>
          <w:szCs w:val="32"/>
        </w:rPr>
        <w:t>9．文书字号设为“税处”，稽查局使用设为“税稽处”。</w:t>
      </w:r>
    </w:p>
    <w:p w14:paraId="399D026D">
      <w:pPr>
        <w:adjustRightInd w:val="0"/>
        <w:snapToGrid w:val="0"/>
        <w:ind w:firstLine="640" w:firstLineChars="200"/>
        <w:rPr>
          <w:rFonts w:hint="eastAsia"/>
          <w:color w:val="000000"/>
        </w:rPr>
      </w:pPr>
      <w:r>
        <w:rPr>
          <w:rFonts w:hint="eastAsia" w:ascii="仿宋_GB2312" w:eastAsia="仿宋_GB2312"/>
          <w:color w:val="000000"/>
          <w:sz w:val="32"/>
          <w:szCs w:val="32"/>
        </w:rPr>
        <w:t>10．本决定书为A4竖式，一式三份，一份送达纳税人、扣缴义务人，一份交给纳税人、扣缴义务人的征管部门，一份装入卷宗。</w:t>
      </w:r>
    </w:p>
    <w:p w14:paraId="11D4DF88">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C73A7">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A058F0B">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path/>
              <v:fill on="f" focussize="0,0"/>
              <v:stroke on="f" weight="0.5pt"/>
              <v:imagedata o:title=""/>
              <o:lock v:ext="edit" aspectratio="f"/>
              <v:textbox inset="0mm,0mm,0mm,0mm" style="mso-fit-shape-to-text:t;">
                <w:txbxContent>
                  <w:p w14:paraId="1A058F0B">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C3A10D8">
                          <w:pPr>
                            <w:pStyle w:val="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path/>
              <v:fill on="f" focussize="0,0"/>
              <v:stroke on="f" weight="0.5pt"/>
              <v:imagedata o:title=""/>
              <o:lock v:ext="edit" aspectratio="f"/>
              <v:textbox inset="0mm,0mm,0mm,0mm" style="mso-fit-shape-to-text:t;">
                <w:txbxContent>
                  <w:p w14:paraId="1C3A10D8">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27C90">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73AE1C88"/>
    <w:rsid w:val="32AC0122"/>
    <w:rsid w:val="4CFC467E"/>
    <w:rsid w:val="5DF15655"/>
    <w:rsid w:val="73AE1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spacing w:line="660" w:lineRule="exact"/>
      <w:ind w:firstLine="720" w:firstLineChars="200"/>
    </w:pPr>
    <w:rPr>
      <w:rFonts w:ascii="Calibri" w:hAnsi="Calibri" w:eastAsia="楷体_GB2312" w:cs="Times New Roman"/>
      <w:sz w:val="36"/>
      <w:szCs w:val="36"/>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8">
    <w:name w:val="bw1"/>
    <w:qFormat/>
    <w:uiPriority w:val="0"/>
    <w:pPr>
      <w:widowControl w:val="0"/>
      <w:adjustRightInd w:val="0"/>
      <w:spacing w:line="360" w:lineRule="atLeast"/>
    </w:pPr>
    <w:rPr>
      <w:rFonts w:hint="eastAsia"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1015</Words>
  <Characters>1022</Characters>
  <Lines>0</Lines>
  <Paragraphs>0</Paragraphs>
  <TotalTime>0</TotalTime>
  <ScaleCrop>false</ScaleCrop>
  <LinksUpToDate>false</LinksUpToDate>
  <CharactersWithSpaces>1231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2024-07-25T02:16:00Z</dcterms:created>
  <dc:creator>www.shuiwu114.com</dc:creator>
  <cp:lastModifiedBy>www.shuiwu114.com</cp:lastModifiedBy>
  <dcterms:modified xsi:type="dcterms:W3CDTF">2024-07-25T08:00:39Z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5DAB59BC063C4710A00A2C9A34E85885_11</vt:lpwstr>
  </property>
</Properties>
</file>