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0A12A">
      <w:pPr>
        <w:outlineLvl w:val="0"/>
        <w:rPr>
          <w:rFonts w:hint="eastAsia"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>格式二</w:t>
      </w:r>
    </w:p>
    <w:p w14:paraId="119B134F">
      <w:pPr>
        <w:jc w:val="center"/>
        <w:rPr>
          <w:rFonts w:ascii="宋体" w:hAnsi="宋体"/>
          <w:b/>
          <w:spacing w:val="20"/>
          <w:sz w:val="44"/>
        </w:rPr>
      </w:pPr>
      <w:r>
        <w:rPr>
          <w:rFonts w:ascii="宋体" w:hAnsi="宋体"/>
          <w:b/>
          <w:spacing w:val="20"/>
          <w:sz w:val="44"/>
          <w:u w:val="single"/>
        </w:rPr>
        <w:t xml:space="preserve">        </w:t>
      </w:r>
      <w:r>
        <w:rPr>
          <w:rFonts w:hint="eastAsia" w:ascii="宋体" w:hAnsi="宋体"/>
          <w:b/>
          <w:spacing w:val="20"/>
          <w:sz w:val="44"/>
        </w:rPr>
        <w:t>税务局（稽查局）</w:t>
      </w:r>
    </w:p>
    <w:p w14:paraId="3A74D09B">
      <w:pPr>
        <w:jc w:val="center"/>
        <w:rPr>
          <w:rFonts w:ascii="宋体" w:hAnsi="宋体"/>
          <w:b/>
          <w:spacing w:val="20"/>
          <w:sz w:val="52"/>
        </w:rPr>
      </w:pPr>
      <w:r>
        <w:rPr>
          <w:rFonts w:hint="eastAsia" w:ascii="宋体" w:hAnsi="宋体"/>
          <w:b/>
          <w:spacing w:val="20"/>
          <w:sz w:val="52"/>
        </w:rPr>
        <w:t>协助执行通知书</w:t>
      </w:r>
    </w:p>
    <w:p w14:paraId="555CF514">
      <w:pPr>
        <w:spacing w:before="80"/>
        <w:jc w:val="center"/>
        <w:rPr>
          <w:rFonts w:ascii="仿宋_GB2312" w:eastAsia="仿宋_GB2312"/>
          <w:spacing w:val="20"/>
          <w:sz w:val="32"/>
        </w:rPr>
      </w:pPr>
      <w:r>
        <w:rPr>
          <w:rFonts w:ascii="仿宋_GB2312" w:eastAsia="仿宋_GB2312"/>
          <w:spacing w:val="20"/>
          <w:sz w:val="32"/>
          <w:u w:val="single"/>
        </w:rPr>
        <w:t xml:space="preserve">     </w:t>
      </w:r>
      <w:r>
        <w:rPr>
          <w:rFonts w:hint="eastAsia" w:ascii="仿宋_GB2312" w:eastAsia="仿宋_GB2312"/>
          <w:spacing w:val="20"/>
          <w:sz w:val="32"/>
        </w:rPr>
        <w:t>税协二〔    〕</w:t>
      </w:r>
      <w:r>
        <w:rPr>
          <w:rFonts w:ascii="仿宋_GB2312" w:eastAsia="仿宋_GB2312"/>
          <w:spacing w:val="20"/>
          <w:sz w:val="32"/>
        </w:rPr>
        <w:t xml:space="preserve">  </w:t>
      </w:r>
      <w:r>
        <w:rPr>
          <w:rFonts w:hint="eastAsia" w:ascii="仿宋_GB2312" w:eastAsia="仿宋_GB2312"/>
          <w:spacing w:val="20"/>
          <w:sz w:val="32"/>
        </w:rPr>
        <w:t>号</w:t>
      </w:r>
    </w:p>
    <w:p w14:paraId="7B68A4D3">
      <w:pPr>
        <w:ind w:left="425" w:hanging="425"/>
        <w:rPr>
          <w:rFonts w:hint="eastAsia" w:ascii="仿宋_GB2312" w:eastAsia="仿宋_GB2312"/>
          <w:sz w:val="32"/>
          <w:u w:val="single"/>
        </w:rPr>
      </w:pPr>
    </w:p>
    <w:p w14:paraId="073D57F8">
      <w:pPr>
        <w:ind w:left="425" w:hanging="425"/>
        <w:rPr>
          <w:rFonts w:hint="eastAsia" w:ascii="仿宋_GB2312" w:eastAsia="仿宋_GB2312"/>
          <w:sz w:val="32"/>
        </w:rPr>
      </w:pPr>
      <w:r>
        <w:rPr>
          <w:rFonts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ascii="仿宋_GB2312" w:eastAsia="仿宋_GB2312"/>
          <w:sz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</w:rPr>
        <w:t xml:space="preserve"> ：</w:t>
      </w:r>
    </w:p>
    <w:p w14:paraId="1DD204D4">
      <w:pPr>
        <w:spacing w:before="80"/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根据</w:t>
      </w:r>
      <w:r>
        <w:rPr>
          <w:rFonts w:hint="eastAsia" w:ascii="仿宋_GB2312" w:eastAsia="仿宋_GB2312"/>
          <w:sz w:val="32"/>
          <w:u w:val="single"/>
        </w:rPr>
        <w:t xml:space="preserve">                                </w:t>
      </w:r>
      <w:r>
        <w:rPr>
          <w:rFonts w:hint="eastAsia" w:ascii="仿宋_GB2312" w:eastAsia="仿宋_GB2312"/>
          <w:sz w:val="32"/>
        </w:rPr>
        <w:t>规定，我局已依法解除对</w:t>
      </w:r>
      <w:r>
        <w:rPr>
          <w:rFonts w:hint="eastAsia" w:ascii="仿宋_GB2312" w:eastAsia="仿宋_GB2312"/>
          <w:sz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</w:rPr>
        <w:t>的</w:t>
      </w:r>
      <w:r>
        <w:rPr>
          <w:rFonts w:hint="eastAsia" w:ascii="仿宋_GB2312" w:eastAsia="仿宋_GB2312"/>
          <w:sz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</w:rPr>
        <w:t>实施的查封、扣押，请解除对该动产或不动产的过户限制。</w:t>
      </w:r>
    </w:p>
    <w:p w14:paraId="178E08FC">
      <w:pPr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附件：《解除税收保全措施决定书（查封/扣押适用）》（</w:t>
      </w:r>
      <w:r>
        <w:rPr>
          <w:rFonts w:ascii="仿宋_GB2312" w:eastAsia="仿宋_GB2312"/>
          <w:sz w:val="32"/>
          <w:u w:val="single"/>
        </w:rPr>
        <w:t xml:space="preserve">    </w:t>
      </w:r>
      <w:r>
        <w:rPr>
          <w:rFonts w:hint="eastAsia" w:ascii="仿宋_GB2312" w:eastAsia="仿宋_GB2312"/>
          <w:sz w:val="32"/>
        </w:rPr>
        <w:t xml:space="preserve">税解保封〔    〕 </w:t>
      </w:r>
      <w:r>
        <w:rPr>
          <w:rFonts w:ascii="仿宋_GB2312" w:eastAsia="仿宋_GB2312"/>
          <w:sz w:val="32"/>
        </w:rPr>
        <w:t xml:space="preserve">  </w:t>
      </w:r>
      <w:r>
        <w:rPr>
          <w:rFonts w:hint="eastAsia" w:ascii="仿宋_GB2312" w:eastAsia="仿宋_GB2312"/>
          <w:sz w:val="32"/>
        </w:rPr>
        <w:t>号）</w:t>
      </w:r>
    </w:p>
    <w:p w14:paraId="0F94059E">
      <w:pPr>
        <w:ind w:firstLine="640"/>
        <w:rPr>
          <w:rFonts w:hint="eastAsia" w:ascii="仿宋_GB2312" w:eastAsia="仿宋_GB2312"/>
          <w:sz w:val="32"/>
        </w:rPr>
      </w:pPr>
    </w:p>
    <w:p w14:paraId="0F349443">
      <w:pPr>
        <w:ind w:left="425" w:hanging="425"/>
        <w:rPr>
          <w:rFonts w:hint="eastAsia" w:ascii="仿宋_GB2312" w:eastAsia="仿宋_GB2312"/>
          <w:sz w:val="32"/>
        </w:rPr>
      </w:pPr>
    </w:p>
    <w:p w14:paraId="092668EE">
      <w:pPr>
        <w:ind w:left="425" w:hanging="425"/>
        <w:rPr>
          <w:rFonts w:hint="eastAsia" w:ascii="仿宋_GB2312" w:eastAsia="仿宋_GB2312"/>
          <w:sz w:val="32"/>
        </w:rPr>
      </w:pPr>
    </w:p>
    <w:p w14:paraId="29A66821">
      <w:pPr>
        <w:ind w:left="425" w:hanging="425"/>
        <w:rPr>
          <w:rFonts w:hint="eastAsia" w:ascii="仿宋_GB2312" w:eastAsia="仿宋_GB2312"/>
          <w:sz w:val="32"/>
        </w:rPr>
      </w:pPr>
    </w:p>
    <w:p w14:paraId="77D186C5">
      <w:pPr>
        <w:ind w:left="425" w:hanging="425"/>
        <w:rPr>
          <w:rFonts w:hint="eastAsia" w:ascii="仿宋_GB2312" w:eastAsia="仿宋_GB2312"/>
          <w:sz w:val="32"/>
        </w:rPr>
      </w:pPr>
    </w:p>
    <w:p w14:paraId="52EAF419">
      <w:pPr>
        <w:ind w:left="425" w:hanging="425"/>
        <w:rPr>
          <w:rFonts w:hint="eastAsia" w:ascii="仿宋_GB2312" w:eastAsia="仿宋_GB2312"/>
          <w:sz w:val="32"/>
        </w:rPr>
      </w:pPr>
    </w:p>
    <w:p w14:paraId="3AB6EC52">
      <w:pPr>
        <w:ind w:left="460" w:firstLine="1280"/>
        <w:outlineLvl w:val="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        </w:t>
      </w:r>
      <w:r>
        <w:rPr>
          <w:rFonts w:hint="eastAsia" w:ascii="仿宋_GB2312" w:eastAsia="仿宋_GB2312"/>
          <w:sz w:val="32"/>
        </w:rPr>
        <w:t xml:space="preserve">         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>税务机关</w:t>
      </w:r>
      <w:r>
        <w:rPr>
          <w:rFonts w:ascii="仿宋_GB2312" w:eastAsia="仿宋_GB2312"/>
          <w:sz w:val="32"/>
        </w:rPr>
        <w:t>（签章）</w:t>
      </w:r>
    </w:p>
    <w:p w14:paraId="1CC59672"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          </w:t>
      </w:r>
      <w:r>
        <w:rPr>
          <w:rFonts w:hint="eastAsia" w:ascii="仿宋_GB2312" w:eastAsia="仿宋_GB2312"/>
          <w:sz w:val="32"/>
        </w:rPr>
        <w:t xml:space="preserve">   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 xml:space="preserve">                 年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 xml:space="preserve">  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 xml:space="preserve">月  </w:t>
      </w:r>
      <w:r>
        <w:rPr>
          <w:rFonts w:ascii="仿宋_GB2312" w:eastAsia="仿宋_GB2312"/>
          <w:sz w:val="32"/>
        </w:rPr>
        <w:t xml:space="preserve">  </w:t>
      </w:r>
      <w:r>
        <w:rPr>
          <w:rFonts w:hint="eastAsia" w:ascii="仿宋_GB2312" w:eastAsia="仿宋_GB2312"/>
          <w:sz w:val="32"/>
        </w:rPr>
        <w:t>日</w:t>
      </w:r>
    </w:p>
    <w:p w14:paraId="20AE756E">
      <w:pPr>
        <w:jc w:val="center"/>
      </w:pPr>
    </w:p>
    <w:p w14:paraId="3993D1FC"/>
    <w:p w14:paraId="0DD65384">
      <w:pPr>
        <w:ind w:firstLine="640"/>
        <w:rPr>
          <w:rFonts w:ascii="仿宋_GB2312" w:eastAsia="仿宋_GB2312"/>
          <w:sz w:val="32"/>
        </w:rPr>
      </w:pPr>
    </w:p>
    <w:p w14:paraId="276E0131">
      <w:pPr>
        <w:jc w:val="center"/>
        <w:outlineLvl w:val="0"/>
        <w:rPr>
          <w:rFonts w:hint="eastAsia" w:ascii="宋体"/>
          <w:b/>
          <w:sz w:val="44"/>
        </w:rPr>
      </w:pPr>
      <w:r>
        <w:rPr>
          <w:rFonts w:ascii="仿宋_GB2312" w:eastAsia="仿宋_GB2312"/>
          <w:sz w:val="32"/>
        </w:rPr>
        <w:br w:type="page"/>
      </w:r>
      <w:r>
        <w:rPr>
          <w:rFonts w:hint="eastAsia" w:ascii="宋体"/>
          <w:b/>
          <w:sz w:val="44"/>
        </w:rPr>
        <w:t>使用说明</w:t>
      </w:r>
    </w:p>
    <w:p w14:paraId="172ED9A9">
      <w:pPr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1．本通知书依据《中华人民共和国税收征收管理法》第五条、《中华人民共和国税收征收管理法实施细则》第六十六条设置。</w:t>
      </w:r>
    </w:p>
    <w:p w14:paraId="77AE5337">
      <w:pPr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2．适用范围：税务机关在通知有关机关协助执行解除税收保全措施时使用。</w:t>
      </w:r>
    </w:p>
    <w:p w14:paraId="0080C7AF">
      <w:pPr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3．抬头填写应通知的有关机关的具体名称，如：房地产管理、车辆管理等机关。</w:t>
      </w:r>
    </w:p>
    <w:p w14:paraId="395C9934">
      <w:pPr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4．“根据</w:t>
      </w:r>
      <w:r>
        <w:rPr>
          <w:rFonts w:hint="eastAsia" w:ascii="仿宋_GB2312" w:eastAsia="仿宋_GB2312"/>
          <w:sz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</w:rPr>
        <w:t>规定”横线处填写解除查封、扣押的法律依据。一般填写《中华人民共和国税收征收管理法》第三十八条、第四十条等条款。</w:t>
      </w:r>
    </w:p>
    <w:p w14:paraId="46A8AAA1">
      <w:pPr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5．“我局已依法解除对</w:t>
      </w:r>
      <w:r>
        <w:rPr>
          <w:rFonts w:hint="eastAsia" w:ascii="仿宋_GB2312" w:eastAsia="仿宋_GB2312"/>
          <w:sz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</w:rPr>
        <w:t>的</w:t>
      </w:r>
      <w:r>
        <w:rPr>
          <w:rFonts w:hint="eastAsia" w:ascii="仿宋_GB2312" w:eastAsia="仿宋_GB2312"/>
          <w:sz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</w:rPr>
        <w:t>实施查封、扣押”中第一横线处填写被查封、扣押商品、货物或者其他财产纳税人的具体名称；第二横线处填写被查封、扣押商品、货物或者其他财产的具体名称。</w:t>
      </w:r>
    </w:p>
    <w:p w14:paraId="6A6827FC">
      <w:pPr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6．本通知书与《解除税收保全措施决定书（查封/扣押适用）》、《税务文书送达回证》一并使用。</w:t>
      </w:r>
    </w:p>
    <w:p w14:paraId="5151C0B6">
      <w:pPr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7．文书字轨设为“协二”，稽查局使用设为“稽协二”。</w:t>
      </w:r>
    </w:p>
    <w:p w14:paraId="06399880">
      <w:pPr>
        <w:ind w:firstLine="640"/>
      </w:pPr>
      <w:r>
        <w:rPr>
          <w:rFonts w:hint="eastAsia" w:ascii="仿宋_GB2312" w:eastAsia="仿宋_GB2312"/>
          <w:sz w:val="32"/>
        </w:rPr>
        <w:t>8．本通知书为A4竖式，一式二份，一份随同《解除税收保全措施决定书（查封/扣押适用）》送协助执行机关，一份装入卷宗。</w:t>
      </w:r>
    </w:p>
    <w:p w14:paraId="094E4AA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GNkMTU3OWQzNDA3NjVmODJmMjIxMTIxOTBhNjUifQ=="/>
  </w:docVars>
  <w:rsids>
    <w:rsidRoot w:val="086E50E8"/>
    <w:rsid w:val="086E50E8"/>
    <w:rsid w:val="4CF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件"/>
    <w:basedOn w:val="1"/>
    <w:qFormat/>
    <w:uiPriority w:val="0"/>
    <w:pPr>
      <w:spacing w:line="540" w:lineRule="atLeast"/>
      <w:ind w:firstLine="480" w:firstLineChars="200"/>
      <w:jc w:val="left"/>
    </w:pPr>
    <w:rPr>
      <w:rFonts w:hint="default" w:ascii="宋体" w:hAnsi="宋体" w:eastAsiaTheme="majorEastAsia" w:cstheme="major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2024-07-25T03:06:00Z</dcterms:created>
  <dc:creator>www.shuiwu114.com</dc:creator>
  <cp:lastModifiedBy>www.shuiwu114.com</cp:lastModifiedBy>
  <dcterms:modified xsi:type="dcterms:W3CDTF">2024-07-25T03:07:18Z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6D469743A17840B8865CAAC8F1E758CB_11</vt:lpwstr>
  </property>
</Properties>
</file>