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5A88">
      <w:pPr>
        <w:tabs>
          <w:tab w:val="left" w:pos="3453"/>
        </w:tabs>
        <w:spacing w:before="139" w:line="224" w:lineRule="auto"/>
        <w:ind w:left="235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451C765D">
      <w:pPr>
        <w:spacing w:before="217" w:line="220" w:lineRule="auto"/>
        <w:ind w:left="2608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29"/>
      <w:bookmarkEnd w:id="0"/>
      <w:r>
        <w:rPr>
          <w:rFonts w:ascii="宋体" w:hAnsi="宋体" w:eastAsia="宋体" w:cs="宋体"/>
          <w:spacing w:val="-3"/>
          <w:sz w:val="52"/>
          <w:szCs w:val="52"/>
        </w:rPr>
        <w:t>提取证据专用收据</w:t>
      </w:r>
    </w:p>
    <w:p w14:paraId="58DDBF45">
      <w:pPr>
        <w:pStyle w:val="3"/>
        <w:spacing w:before="303" w:line="217" w:lineRule="auto"/>
        <w:ind w:left="4988"/>
        <w:rPr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填发</w:t>
      </w:r>
      <w:r>
        <w:rPr>
          <w:spacing w:val="-29"/>
          <w:sz w:val="24"/>
          <w:szCs w:val="24"/>
        </w:rPr>
        <w:t xml:space="preserve"> </w:t>
      </w:r>
      <w:r>
        <w:rPr>
          <w:b/>
          <w:bCs/>
          <w:spacing w:val="-12"/>
          <w:sz w:val="24"/>
          <w:szCs w:val="24"/>
        </w:rPr>
        <w:t>日期</w:t>
      </w:r>
      <w:r>
        <w:rPr>
          <w:spacing w:val="-63"/>
          <w:sz w:val="24"/>
          <w:szCs w:val="24"/>
        </w:rPr>
        <w:t xml:space="preserve"> </w:t>
      </w:r>
      <w:r>
        <w:rPr>
          <w:b/>
          <w:bCs/>
          <w:spacing w:val="-12"/>
          <w:sz w:val="24"/>
          <w:szCs w:val="24"/>
        </w:rPr>
        <w:t>：</w:t>
      </w:r>
      <w:r>
        <w:rPr>
          <w:spacing w:val="17"/>
          <w:sz w:val="24"/>
          <w:szCs w:val="24"/>
        </w:rPr>
        <w:t xml:space="preserve">       </w:t>
      </w:r>
      <w:r>
        <w:rPr>
          <w:b/>
          <w:bCs/>
          <w:spacing w:val="-12"/>
          <w:sz w:val="24"/>
          <w:szCs w:val="24"/>
        </w:rPr>
        <w:t>年</w:t>
      </w:r>
      <w:r>
        <w:rPr>
          <w:spacing w:val="11"/>
          <w:sz w:val="24"/>
          <w:szCs w:val="24"/>
        </w:rPr>
        <w:t xml:space="preserve">     </w:t>
      </w:r>
      <w:r>
        <w:rPr>
          <w:b/>
          <w:bCs/>
          <w:spacing w:val="-12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  </w:t>
      </w:r>
      <w:r>
        <w:rPr>
          <w:b/>
          <w:bCs/>
          <w:spacing w:val="-12"/>
          <w:sz w:val="24"/>
          <w:szCs w:val="24"/>
        </w:rPr>
        <w:t>日</w:t>
      </w:r>
    </w:p>
    <w:p w14:paraId="4416EEAF">
      <w:pPr>
        <w:pStyle w:val="3"/>
        <w:spacing w:before="218" w:line="219" w:lineRule="auto"/>
        <w:ind w:left="137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编号：</w:t>
      </w:r>
      <w:r>
        <w:rPr>
          <w:sz w:val="24"/>
          <w:szCs w:val="24"/>
          <w:u w:val="single" w:color="auto"/>
        </w:rPr>
        <w:t xml:space="preserve">        </w:t>
      </w:r>
    </w:p>
    <w:p w14:paraId="306AA425">
      <w:pPr>
        <w:spacing w:line="20" w:lineRule="exact"/>
      </w:pPr>
    </w:p>
    <w:tbl>
      <w:tblPr>
        <w:tblStyle w:val="10"/>
        <w:tblW w:w="929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5"/>
        <w:gridCol w:w="1801"/>
        <w:gridCol w:w="1681"/>
        <w:gridCol w:w="1440"/>
        <w:gridCol w:w="1874"/>
      </w:tblGrid>
      <w:tr w14:paraId="66954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95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 w14:paraId="52D7082C">
            <w:pPr>
              <w:spacing w:before="198" w:line="216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据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称</w:t>
            </w:r>
          </w:p>
        </w:tc>
        <w:tc>
          <w:tcPr>
            <w:tcW w:w="1801" w:type="dxa"/>
            <w:tcBorders>
              <w:top w:val="single" w:color="000000" w:sz="16" w:space="0"/>
            </w:tcBorders>
            <w:vAlign w:val="top"/>
          </w:tcPr>
          <w:p w14:paraId="18562B41">
            <w:pPr>
              <w:spacing w:before="198" w:line="218" w:lineRule="auto"/>
              <w:ind w:left="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量</w:t>
            </w:r>
          </w:p>
        </w:tc>
        <w:tc>
          <w:tcPr>
            <w:tcW w:w="1681" w:type="dxa"/>
            <w:tcBorders>
              <w:top w:val="single" w:color="000000" w:sz="16" w:space="0"/>
            </w:tcBorders>
            <w:vAlign w:val="top"/>
          </w:tcPr>
          <w:p w14:paraId="48DA476D">
            <w:pPr>
              <w:spacing w:before="198" w:line="218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据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处</w:t>
            </w:r>
          </w:p>
        </w:tc>
        <w:tc>
          <w:tcPr>
            <w:tcW w:w="1440" w:type="dxa"/>
            <w:tcBorders>
              <w:top w:val="single" w:color="000000" w:sz="16" w:space="0"/>
            </w:tcBorders>
            <w:vAlign w:val="top"/>
          </w:tcPr>
          <w:p w14:paraId="3EC092C8">
            <w:pPr>
              <w:spacing w:before="43" w:line="222" w:lineRule="auto"/>
              <w:ind w:left="638" w:right="101" w:hanging="4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证据所属时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间</w:t>
            </w:r>
          </w:p>
        </w:tc>
        <w:tc>
          <w:tcPr>
            <w:tcW w:w="187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 w14:paraId="763D9F48">
            <w:pPr>
              <w:spacing w:before="42" w:line="217" w:lineRule="auto"/>
              <w:ind w:left="3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2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22"/>
                <w:sz w:val="24"/>
                <w:szCs w:val="24"/>
              </w:rPr>
              <w:t>容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22"/>
                <w:sz w:val="24"/>
                <w:szCs w:val="24"/>
              </w:rPr>
              <w:t>摘</w:t>
            </w:r>
          </w:p>
          <w:p w14:paraId="4E5364A2">
            <w:pPr>
              <w:spacing w:before="29" w:line="205" w:lineRule="auto"/>
              <w:ind w:left="8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要</w:t>
            </w:r>
          </w:p>
        </w:tc>
      </w:tr>
      <w:tr w14:paraId="7914E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32E6C0FE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7395A163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24B24D4F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2C6F84F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3F8BCA92">
            <w:pPr>
              <w:rPr>
                <w:rFonts w:ascii="Arial"/>
                <w:sz w:val="21"/>
              </w:rPr>
            </w:pPr>
          </w:p>
        </w:tc>
      </w:tr>
      <w:tr w14:paraId="7AA33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2194A0DB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0F745741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5C41B34A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540875D0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4842E96F">
            <w:pPr>
              <w:rPr>
                <w:rFonts w:ascii="Arial"/>
                <w:sz w:val="21"/>
              </w:rPr>
            </w:pPr>
          </w:p>
        </w:tc>
      </w:tr>
      <w:tr w14:paraId="10FD5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22114DCD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7E10DD68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4A92ED9B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32045BD9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33DEAC19">
            <w:pPr>
              <w:rPr>
                <w:rFonts w:ascii="Arial"/>
                <w:sz w:val="21"/>
              </w:rPr>
            </w:pPr>
          </w:p>
        </w:tc>
      </w:tr>
      <w:tr w14:paraId="3A57F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5F320147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1A5E0ADF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2D37783B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FA92A42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0FD9A734">
            <w:pPr>
              <w:rPr>
                <w:rFonts w:ascii="Arial"/>
                <w:sz w:val="21"/>
              </w:rPr>
            </w:pPr>
          </w:p>
        </w:tc>
      </w:tr>
      <w:tr w14:paraId="6EE6A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41A72FB0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5A11F8C5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3F14BE25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46920A4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4BDFFAF2">
            <w:pPr>
              <w:rPr>
                <w:rFonts w:ascii="Arial"/>
                <w:sz w:val="21"/>
              </w:rPr>
            </w:pPr>
          </w:p>
        </w:tc>
      </w:tr>
      <w:tr w14:paraId="0A1EE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06BFC9F6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1EF0447B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730B4DCD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42C21CA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2DFA63A6">
            <w:pPr>
              <w:rPr>
                <w:rFonts w:ascii="Arial"/>
                <w:sz w:val="21"/>
              </w:rPr>
            </w:pPr>
          </w:p>
        </w:tc>
      </w:tr>
      <w:tr w14:paraId="7C393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388C3B7F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6B97680F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2AF44DC6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6E7194B9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02D0E042">
            <w:pPr>
              <w:rPr>
                <w:rFonts w:ascii="Arial"/>
                <w:sz w:val="21"/>
              </w:rPr>
            </w:pPr>
          </w:p>
        </w:tc>
      </w:tr>
      <w:tr w14:paraId="3E0CB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676E0BA6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5510B947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4BA7CD82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4ED74617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20FEDD7F">
            <w:pPr>
              <w:rPr>
                <w:rFonts w:ascii="Arial"/>
                <w:sz w:val="21"/>
              </w:rPr>
            </w:pPr>
          </w:p>
        </w:tc>
      </w:tr>
      <w:tr w14:paraId="6DC5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4FC138D9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6D612A6E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3AD02D9B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47BDCD92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39EC429C">
            <w:pPr>
              <w:rPr>
                <w:rFonts w:ascii="Arial"/>
                <w:sz w:val="21"/>
              </w:rPr>
            </w:pPr>
          </w:p>
        </w:tc>
      </w:tr>
      <w:tr w14:paraId="2BD47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95" w:type="dxa"/>
            <w:tcBorders>
              <w:left w:val="single" w:color="000000" w:sz="16" w:space="0"/>
            </w:tcBorders>
            <w:vAlign w:val="top"/>
          </w:tcPr>
          <w:p w14:paraId="7A2BE12F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 w14:paraId="45E83A55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 w14:paraId="5CC620EF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5E771B83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right w:val="single" w:color="000000" w:sz="16" w:space="0"/>
            </w:tcBorders>
            <w:vAlign w:val="top"/>
          </w:tcPr>
          <w:p w14:paraId="56B48C68">
            <w:pPr>
              <w:rPr>
                <w:rFonts w:ascii="Arial"/>
                <w:sz w:val="21"/>
              </w:rPr>
            </w:pPr>
          </w:p>
        </w:tc>
      </w:tr>
      <w:tr w14:paraId="73631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495" w:type="dxa"/>
            <w:tcBorders>
              <w:left w:val="single" w:color="000000" w:sz="16" w:space="0"/>
              <w:bottom w:val="single" w:color="000000" w:sz="16" w:space="0"/>
            </w:tcBorders>
            <w:vAlign w:val="top"/>
          </w:tcPr>
          <w:p w14:paraId="2D9F56F2"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tcBorders>
              <w:bottom w:val="single" w:color="000000" w:sz="16" w:space="0"/>
            </w:tcBorders>
            <w:vAlign w:val="top"/>
          </w:tcPr>
          <w:p w14:paraId="1AD30779"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tcBorders>
              <w:bottom w:val="single" w:color="000000" w:sz="16" w:space="0"/>
            </w:tcBorders>
            <w:vAlign w:val="top"/>
          </w:tcPr>
          <w:p w14:paraId="7321D979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tcBorders>
              <w:bottom w:val="single" w:color="000000" w:sz="16" w:space="0"/>
            </w:tcBorders>
            <w:vAlign w:val="top"/>
          </w:tcPr>
          <w:p w14:paraId="41741064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tcBorders>
              <w:bottom w:val="single" w:color="000000" w:sz="16" w:space="0"/>
              <w:right w:val="single" w:color="000000" w:sz="16" w:space="0"/>
            </w:tcBorders>
            <w:vAlign w:val="top"/>
          </w:tcPr>
          <w:p w14:paraId="491A796C">
            <w:pPr>
              <w:rPr>
                <w:rFonts w:ascii="Arial"/>
                <w:sz w:val="21"/>
              </w:rPr>
            </w:pPr>
          </w:p>
        </w:tc>
      </w:tr>
    </w:tbl>
    <w:p w14:paraId="1FCE38B0">
      <w:pPr>
        <w:pStyle w:val="3"/>
        <w:spacing w:before="38" w:line="216" w:lineRule="auto"/>
        <w:ind w:left="145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证据提供单位或者个人（签章</w:t>
      </w:r>
      <w:r>
        <w:rPr>
          <w:b/>
          <w:bCs/>
          <w:spacing w:val="-5"/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                       </w:t>
      </w:r>
      <w:r>
        <w:rPr>
          <w:b/>
          <w:bCs/>
          <w:spacing w:val="-3"/>
          <w:sz w:val="24"/>
          <w:szCs w:val="24"/>
        </w:rPr>
        <w:t>提取人（签名</w:t>
      </w:r>
      <w:r>
        <w:rPr>
          <w:b/>
          <w:bCs/>
          <w:spacing w:val="-5"/>
          <w:sz w:val="24"/>
          <w:szCs w:val="24"/>
        </w:rPr>
        <w:t>）：</w:t>
      </w:r>
    </w:p>
    <w:p w14:paraId="5C472CF7">
      <w:pPr>
        <w:pStyle w:val="3"/>
        <w:spacing w:before="32" w:line="216" w:lineRule="auto"/>
        <w:ind w:left="136"/>
        <w:rPr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税务机关（</w:t>
      </w:r>
      <w:r>
        <w:rPr>
          <w:spacing w:val="-48"/>
          <w:sz w:val="24"/>
          <w:szCs w:val="24"/>
        </w:rPr>
        <w:t xml:space="preserve"> </w:t>
      </w:r>
      <w:r>
        <w:rPr>
          <w:b/>
          <w:bCs/>
          <w:spacing w:val="-12"/>
          <w:sz w:val="24"/>
          <w:szCs w:val="24"/>
        </w:rPr>
        <w:t>印章）</w:t>
      </w:r>
    </w:p>
    <w:p w14:paraId="431CADCA">
      <w:pPr>
        <w:spacing w:line="216" w:lineRule="auto"/>
        <w:rPr>
          <w:sz w:val="24"/>
          <w:szCs w:val="24"/>
        </w:rPr>
        <w:sectPr>
          <w:footerReference r:id="rId3" w:type="default"/>
          <w:pgSz w:w="11906" w:h="16839"/>
          <w:pgMar w:top="1431" w:right="1287" w:bottom="1079" w:left="1287" w:header="0" w:footer="917" w:gutter="0"/>
          <w:cols w:space="720" w:num="1"/>
        </w:sectPr>
      </w:pPr>
    </w:p>
    <w:p w14:paraId="688A5DB8">
      <w:pPr>
        <w:spacing w:before="126" w:line="224" w:lineRule="auto"/>
        <w:ind w:left="3340"/>
        <w:rPr>
          <w:rFonts w:ascii="宋体" w:hAnsi="宋体" w:eastAsia="宋体" w:cs="宋体"/>
          <w:sz w:val="43"/>
          <w:szCs w:val="43"/>
        </w:rPr>
      </w:pPr>
      <w:bookmarkStart w:id="1" w:name="bookmark62"/>
      <w:bookmarkEnd w:id="1"/>
      <w:r>
        <w:rPr>
          <w:rFonts w:ascii="宋体" w:hAnsi="宋体" w:eastAsia="宋体" w:cs="宋体"/>
          <w:spacing w:val="-6"/>
          <w:sz w:val="43"/>
          <w:szCs w:val="43"/>
        </w:rPr>
        <w:t>使用说明</w:t>
      </w:r>
    </w:p>
    <w:p w14:paraId="11053875">
      <w:pPr>
        <w:pStyle w:val="3"/>
        <w:spacing w:before="28" w:line="241" w:lineRule="auto"/>
        <w:ind w:left="34" w:right="2" w:firstLine="615"/>
      </w:pPr>
      <w:r>
        <w:rPr>
          <w:rFonts w:hint="eastAsia"/>
          <w:spacing w:val="-8"/>
        </w:rPr>
        <w:t>1．《提取证据专用收据》依据《中华人民共和国行政处罚法》第五十六条和《税务稽查案件办理程序规定》（国家税务总局令第52号）第十九条设置</w:t>
      </w:r>
      <w:bookmarkStart w:id="2" w:name="_GoBack"/>
      <w:bookmarkEnd w:id="2"/>
      <w:r>
        <w:rPr>
          <w:spacing w:val="-7"/>
        </w:rPr>
        <w:t>。</w:t>
      </w:r>
    </w:p>
    <w:p w14:paraId="23B7962C">
      <w:pPr>
        <w:pStyle w:val="3"/>
        <w:spacing w:before="31" w:line="234" w:lineRule="auto"/>
        <w:ind w:left="34" w:right="2" w:firstLine="607"/>
      </w:pPr>
      <w:r>
        <w:rPr>
          <w:spacing w:val="-8"/>
        </w:rPr>
        <w:t>2．适用范围：税务稽查人员或者其他税收执法人员在提取</w:t>
      </w:r>
      <w:r>
        <w:rPr>
          <w:spacing w:val="7"/>
        </w:rPr>
        <w:t xml:space="preserve"> </w:t>
      </w:r>
      <w:r>
        <w:rPr>
          <w:spacing w:val="-7"/>
        </w:rPr>
        <w:t>证据材料原件时使用。</w:t>
      </w:r>
    </w:p>
    <w:p w14:paraId="49344282">
      <w:pPr>
        <w:pStyle w:val="3"/>
        <w:spacing w:before="44" w:line="222" w:lineRule="auto"/>
        <w:ind w:left="653"/>
      </w:pPr>
      <w:r>
        <w:rPr>
          <w:spacing w:val="-8"/>
        </w:rPr>
        <w:t>3．证据原件的提取范围应当包括但不限于以下类型：</w:t>
      </w:r>
    </w:p>
    <w:p w14:paraId="736CE9D7">
      <w:pPr>
        <w:pStyle w:val="3"/>
        <w:spacing w:before="43" w:line="235" w:lineRule="auto"/>
        <w:ind w:left="39" w:right="2" w:firstLine="581"/>
      </w:pPr>
      <w:r>
        <w:rPr>
          <w:spacing w:val="-7"/>
        </w:rPr>
        <w:t>（1）伪造、变造、虚开的发票及其他税款抵扣、出口退税</w:t>
      </w:r>
      <w:r>
        <w:rPr>
          <w:spacing w:val="1"/>
        </w:rPr>
        <w:t xml:space="preserve"> </w:t>
      </w:r>
      <w:r>
        <w:rPr>
          <w:spacing w:val="-8"/>
        </w:rPr>
        <w:t>等凭证；</w:t>
      </w:r>
    </w:p>
    <w:p w14:paraId="582A78FA">
      <w:pPr>
        <w:pStyle w:val="3"/>
        <w:spacing w:before="41" w:line="222" w:lineRule="auto"/>
        <w:ind w:left="621"/>
      </w:pPr>
      <w:r>
        <w:rPr>
          <w:spacing w:val="-6"/>
        </w:rPr>
        <w:t>（2）伪造、变造的金融票据及其他收付款凭证；</w:t>
      </w:r>
    </w:p>
    <w:p w14:paraId="18732CA6">
      <w:pPr>
        <w:pStyle w:val="3"/>
        <w:spacing w:before="43" w:line="220" w:lineRule="auto"/>
        <w:ind w:left="621"/>
      </w:pPr>
      <w:r>
        <w:rPr>
          <w:spacing w:val="-9"/>
        </w:rPr>
        <w:t>（</w:t>
      </w:r>
      <w:r>
        <w:rPr>
          <w:spacing w:val="-88"/>
        </w:rPr>
        <w:t xml:space="preserve"> </w:t>
      </w:r>
      <w:r>
        <w:rPr>
          <w:spacing w:val="-9"/>
        </w:rPr>
        <w:t>3）伪造、变造的账簿、凭证及有关资料；</w:t>
      </w:r>
    </w:p>
    <w:p w14:paraId="45C9C1B0">
      <w:pPr>
        <w:pStyle w:val="3"/>
        <w:spacing w:before="45" w:line="234" w:lineRule="auto"/>
        <w:ind w:left="27" w:right="2" w:firstLine="593"/>
      </w:pPr>
      <w:r>
        <w:rPr>
          <w:spacing w:val="-7"/>
        </w:rPr>
        <w:t>（4）不提取原件可能导致灭失或者被转移、藏匿的其他证</w:t>
      </w:r>
      <w:r>
        <w:rPr>
          <w:spacing w:val="1"/>
        </w:rPr>
        <w:t xml:space="preserve"> </w:t>
      </w:r>
      <w:r>
        <w:rPr>
          <w:spacing w:val="-6"/>
        </w:rPr>
        <w:t>据材料。</w:t>
      </w:r>
    </w:p>
    <w:p w14:paraId="1E843E06">
      <w:pPr>
        <w:pStyle w:val="3"/>
        <w:spacing w:before="40" w:line="241" w:lineRule="auto"/>
        <w:ind w:left="27" w:right="2" w:firstLine="612"/>
      </w:pPr>
      <w:r>
        <w:rPr>
          <w:spacing w:val="-4"/>
        </w:rPr>
        <w:t>4.</w:t>
      </w:r>
      <w:r>
        <w:rPr>
          <w:spacing w:val="-96"/>
        </w:rPr>
        <w:t xml:space="preserve"> </w:t>
      </w:r>
      <w:r>
        <w:rPr>
          <w:spacing w:val="-4"/>
        </w:rPr>
        <w:t>“证据名称”填写需要提取的证据材料原件名称。如：</w:t>
      </w:r>
      <w:r>
        <w:t xml:space="preserve"> </w:t>
      </w:r>
      <w:r>
        <w:rPr>
          <w:spacing w:val="-2"/>
        </w:rPr>
        <w:t>伪造、变造、虚开的发票；伪造、变造的金融票据；伪造、变</w:t>
      </w:r>
      <w:r>
        <w:rPr>
          <w:spacing w:val="1"/>
        </w:rPr>
        <w:t xml:space="preserve"> </w:t>
      </w:r>
      <w:r>
        <w:rPr>
          <w:spacing w:val="-2"/>
        </w:rPr>
        <w:t>造的其他税款抵扣凭证；伪造、变造的账簿；伪造、变造的凭</w:t>
      </w:r>
      <w:r>
        <w:rPr>
          <w:spacing w:val="1"/>
        </w:rPr>
        <w:t xml:space="preserve"> </w:t>
      </w:r>
      <w:r>
        <w:rPr>
          <w:spacing w:val="-7"/>
        </w:rPr>
        <w:t>证；印制假发票的工具、设备；等等。</w:t>
      </w:r>
    </w:p>
    <w:p w14:paraId="041B1992">
      <w:pPr>
        <w:pStyle w:val="3"/>
        <w:spacing w:before="44" w:line="220" w:lineRule="auto"/>
        <w:ind w:left="645"/>
      </w:pPr>
      <w:r>
        <w:rPr>
          <w:spacing w:val="-9"/>
        </w:rPr>
        <w:t>5.</w:t>
      </w:r>
      <w:r>
        <w:rPr>
          <w:spacing w:val="-97"/>
        </w:rPr>
        <w:t xml:space="preserve"> </w:t>
      </w:r>
      <w:r>
        <w:rPr>
          <w:spacing w:val="-9"/>
        </w:rPr>
        <w:t>“证据出处”填写获取具体证据的来源和原存放处。</w:t>
      </w:r>
    </w:p>
    <w:p w14:paraId="27DBED7D">
      <w:pPr>
        <w:pStyle w:val="3"/>
        <w:spacing w:before="46" w:line="235" w:lineRule="auto"/>
        <w:ind w:left="67" w:right="52" w:firstLine="576"/>
      </w:pPr>
      <w:r>
        <w:rPr>
          <w:spacing w:val="-10"/>
        </w:rPr>
        <w:t>6．现场难以判定是否为伪造、变造、虚开的证据材料的，</w:t>
      </w:r>
      <w:r>
        <w:rPr>
          <w:spacing w:val="6"/>
        </w:rPr>
        <w:t xml:space="preserve"> </w:t>
      </w:r>
      <w:r>
        <w:rPr>
          <w:spacing w:val="-10"/>
        </w:rPr>
        <w:t>区分不同情况分别处理：</w:t>
      </w:r>
    </w:p>
    <w:p w14:paraId="70A0F262">
      <w:pPr>
        <w:pStyle w:val="3"/>
        <w:spacing w:before="42" w:line="243" w:lineRule="auto"/>
        <w:ind w:left="16" w:right="2" w:firstLine="604"/>
      </w:pPr>
      <w:r>
        <w:rPr>
          <w:spacing w:val="-7"/>
        </w:rPr>
        <w:t>（1）现场难以判定是否为伪造、变造、虚开的发票的，可</w:t>
      </w:r>
      <w:r>
        <w:rPr>
          <w:spacing w:val="1"/>
        </w:rPr>
        <w:t xml:space="preserve"> </w:t>
      </w:r>
      <w:r>
        <w:rPr>
          <w:spacing w:val="-2"/>
        </w:rPr>
        <w:t>以先行依照相关规定分别使用《发票换票证》或者《调验空白</w:t>
      </w:r>
      <w:r>
        <w:rPr>
          <w:spacing w:val="13"/>
        </w:rPr>
        <w:t xml:space="preserve"> </w:t>
      </w:r>
      <w:r>
        <w:rPr>
          <w:spacing w:val="-2"/>
        </w:rPr>
        <w:t>发票收据》进行调取。经鉴定或者查验确认为伪造、变造、虚</w:t>
      </w:r>
      <w:r>
        <w:rPr>
          <w:spacing w:val="13"/>
        </w:rPr>
        <w:t xml:space="preserve"> </w:t>
      </w:r>
      <w:r>
        <w:rPr>
          <w:spacing w:val="-2"/>
        </w:rPr>
        <w:t>开的发票后，使用《提取证据专用收据》调取证据原件，同时</w:t>
      </w:r>
      <w:r>
        <w:rPr>
          <w:spacing w:val="13"/>
        </w:rPr>
        <w:t xml:space="preserve"> </w:t>
      </w:r>
      <w:r>
        <w:rPr>
          <w:spacing w:val="-2"/>
        </w:rPr>
        <w:t>换回原先交付给证据提供单位或者个人的《发票换票证》或者</w:t>
      </w:r>
      <w:r>
        <w:rPr>
          <w:spacing w:val="13"/>
        </w:rPr>
        <w:t xml:space="preserve"> </w:t>
      </w:r>
      <w:r>
        <w:rPr>
          <w:spacing w:val="-4"/>
        </w:rPr>
        <w:t>《调验空白发票收据》。</w:t>
      </w:r>
    </w:p>
    <w:p w14:paraId="42BD528D">
      <w:pPr>
        <w:pStyle w:val="3"/>
        <w:spacing w:before="38" w:line="243" w:lineRule="auto"/>
        <w:ind w:left="26" w:right="2" w:firstLine="594"/>
      </w:pPr>
      <w:r>
        <w:rPr>
          <w:spacing w:val="-7"/>
        </w:rPr>
        <w:t>（2）现场难以判定是否为伪造、变造的账簿、凭证及有关</w:t>
      </w:r>
      <w:r>
        <w:rPr>
          <w:spacing w:val="1"/>
        </w:rPr>
        <w:t xml:space="preserve"> </w:t>
      </w:r>
      <w:r>
        <w:rPr>
          <w:spacing w:val="-2"/>
        </w:rPr>
        <w:t>资料的，可以先行依照法律、行政法规的规定使用《调取账簿</w:t>
      </w:r>
      <w:r>
        <w:rPr>
          <w:spacing w:val="2"/>
        </w:rPr>
        <w:t xml:space="preserve"> </w:t>
      </w:r>
      <w:r>
        <w:rPr>
          <w:spacing w:val="-2"/>
        </w:rPr>
        <w:t>资料通知书》并附《调取账簿资料清单》进行调取。经鉴定或</w:t>
      </w:r>
      <w:r>
        <w:rPr>
          <w:spacing w:val="2"/>
        </w:rPr>
        <w:t xml:space="preserve"> </w:t>
      </w:r>
      <w:r>
        <w:rPr>
          <w:spacing w:val="-13"/>
        </w:rPr>
        <w:t>者查验确认为伪造、变造的账簿、凭证及有关资料后，使用《提</w:t>
      </w:r>
      <w:r>
        <w:rPr>
          <w:spacing w:val="3"/>
        </w:rPr>
        <w:t xml:space="preserve"> </w:t>
      </w:r>
      <w:r>
        <w:rPr>
          <w:spacing w:val="-2"/>
        </w:rPr>
        <w:t>取证据专用收据》调取证据原件，同时在原先出具的《调取账</w:t>
      </w:r>
      <w:r>
        <w:rPr>
          <w:spacing w:val="2"/>
        </w:rPr>
        <w:t xml:space="preserve"> </w:t>
      </w:r>
      <w:r>
        <w:rPr>
          <w:spacing w:val="-7"/>
        </w:rPr>
        <w:t>簿资料清单》（一式二份）上注明。</w:t>
      </w:r>
    </w:p>
    <w:p w14:paraId="78BE9EE7">
      <w:pPr>
        <w:pStyle w:val="3"/>
        <w:spacing w:before="45" w:line="221" w:lineRule="auto"/>
        <w:jc w:val="right"/>
      </w:pPr>
      <w:r>
        <w:rPr>
          <w:spacing w:val="-8"/>
        </w:rPr>
        <w:t>7.“证据提供单位或者个人（签章）” 栏区分以下情况填</w:t>
      </w:r>
    </w:p>
    <w:p w14:paraId="33551E71">
      <w:pPr>
        <w:spacing w:line="221" w:lineRule="auto"/>
        <w:sectPr>
          <w:footerReference r:id="rId4" w:type="default"/>
          <w:pgSz w:w="11906" w:h="16839"/>
          <w:pgMar w:top="1431" w:right="1771" w:bottom="1156" w:left="1785" w:header="0" w:footer="994" w:gutter="0"/>
          <w:cols w:space="720" w:num="1"/>
        </w:sectPr>
      </w:pPr>
    </w:p>
    <w:p w14:paraId="5AB437BD">
      <w:pPr>
        <w:pStyle w:val="3"/>
        <w:spacing w:before="62" w:line="225" w:lineRule="auto"/>
        <w:ind w:left="37"/>
      </w:pPr>
      <w:r>
        <w:rPr>
          <w:spacing w:val="-9"/>
        </w:rPr>
        <w:t>写：</w:t>
      </w:r>
    </w:p>
    <w:p w14:paraId="1F1CB71E">
      <w:pPr>
        <w:pStyle w:val="3"/>
        <w:spacing w:before="37" w:line="234" w:lineRule="auto"/>
        <w:ind w:left="19" w:firstLine="601"/>
      </w:pPr>
      <w:r>
        <w:rPr>
          <w:spacing w:val="-7"/>
        </w:rPr>
        <w:t>（1）证据提供单位为法人或者其他组织的，由相关人员签</w:t>
      </w:r>
      <w:r>
        <w:rPr>
          <w:spacing w:val="1"/>
        </w:rPr>
        <w:t xml:space="preserve"> </w:t>
      </w:r>
      <w:r>
        <w:rPr>
          <w:spacing w:val="-6"/>
        </w:rPr>
        <w:t>名，加盖单位印章并注明日期；</w:t>
      </w:r>
    </w:p>
    <w:p w14:paraId="06337A4F">
      <w:pPr>
        <w:pStyle w:val="3"/>
        <w:spacing w:before="45" w:line="220" w:lineRule="auto"/>
        <w:ind w:left="621"/>
      </w:pPr>
      <w:r>
        <w:rPr>
          <w:spacing w:val="-6"/>
        </w:rPr>
        <w:t>（2）证据提供单位为个人的，由个人签名并注明日期。</w:t>
      </w:r>
    </w:p>
    <w:p w14:paraId="1ACBA381">
      <w:pPr>
        <w:pStyle w:val="3"/>
        <w:spacing w:before="43" w:line="235" w:lineRule="auto"/>
        <w:ind w:left="19" w:firstLine="624"/>
      </w:pPr>
      <w:r>
        <w:rPr>
          <w:spacing w:val="1"/>
        </w:rPr>
        <w:t>8．本收据为A4</w:t>
      </w:r>
      <w:r>
        <w:rPr>
          <w:spacing w:val="-69"/>
        </w:rPr>
        <w:t xml:space="preserve"> </w:t>
      </w:r>
      <w:r>
        <w:rPr>
          <w:spacing w:val="1"/>
        </w:rPr>
        <w:t>横式，一式二份，一份交给</w:t>
      </w:r>
      <w:r>
        <w:t xml:space="preserve">提供证据的单 </w:t>
      </w:r>
      <w:r>
        <w:rPr>
          <w:spacing w:val="-6"/>
        </w:rPr>
        <w:t>位或者个人，一份装入卷宗。</w:t>
      </w:r>
    </w:p>
    <w:p w14:paraId="0785B8BD">
      <w:pPr>
        <w:spacing w:line="235" w:lineRule="auto"/>
        <w:sectPr>
          <w:footerReference r:id="rId5" w:type="default"/>
          <w:pgSz w:w="11906" w:h="16839"/>
          <w:pgMar w:top="1426" w:right="1773" w:bottom="1156" w:left="1785" w:header="0" w:footer="994" w:gutter="0"/>
          <w:cols w:space="720" w:num="1"/>
        </w:sectPr>
      </w:pPr>
    </w:p>
    <w:p w14:paraId="210CB338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CD720">
    <w:pPr>
      <w:spacing w:line="176" w:lineRule="auto"/>
      <w:ind w:left="45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A85D6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BE43D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F4410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7463D58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39E0612"/>
    <w:rsid w:val="2CCE3E11"/>
    <w:rsid w:val="339E0612"/>
    <w:rsid w:val="4CFC467E"/>
    <w:rsid w:val="684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882</Words>
  <Characters>886</Characters>
  <Lines>0</Lines>
  <Paragraphs>0</Paragraphs>
  <TotalTime>1</TotalTime>
  <ScaleCrop>false</ScaleCrop>
  <LinksUpToDate>false</LinksUpToDate>
  <CharactersWithSpaces>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2024-07-25T03:31:00Z</dcterms:created>
  <dc:creator>www.shuiwu114.com</dc:creator>
  <cp:lastModifiedBy>www.shuiwu114.com</cp:lastModifiedBy>
  <dcterms:modified xsi:type="dcterms:W3CDTF">2025-03-28T06:42:22Z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78A869A69FAD415EA6FBA31E90EA2109_11</vt:lpwstr>
  </property>
  <property fmtid="{D5CDD505-2E9C-101B-9397-08002B2CF9AE}" pid="4" name="KSOTemplateDocerSaveRecord">
    <vt:lpwstr>eyJoZGlkIjoiMDY0MGNkMTU3OWQzNDA3NjVmODJmMjIxMTIxOTBhNjUiLCJ1c2VySWQiOiIxMDczMTkyOTA3In0=</vt:lpwstr>
  </property>
</Properties>
</file>