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7F8C9">
      <w:pPr>
        <w:tabs>
          <w:tab w:val="left" w:pos="3155"/>
        </w:tabs>
        <w:spacing w:before="100" w:line="224" w:lineRule="auto"/>
        <w:ind w:left="183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z w:val="43"/>
          <w:szCs w:val="43"/>
          <w:u w:val="single" w:color="auto"/>
        </w:rPr>
        <w:tab/>
      </w:r>
      <w:r>
        <w:rPr>
          <w:rFonts w:ascii="宋体" w:hAnsi="宋体" w:eastAsia="宋体" w:cs="宋体"/>
          <w:spacing w:val="-195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6"/>
          <w:sz w:val="43"/>
          <w:szCs w:val="43"/>
        </w:rPr>
        <w:t>税务局（稽查局）</w:t>
      </w:r>
    </w:p>
    <w:p w14:paraId="7414E317">
      <w:pPr>
        <w:spacing w:before="215" w:line="220" w:lineRule="auto"/>
        <w:ind w:left="1939"/>
        <w:outlineLvl w:val="0"/>
        <w:rPr>
          <w:rFonts w:ascii="宋体" w:hAnsi="宋体" w:eastAsia="宋体" w:cs="宋体"/>
          <w:sz w:val="52"/>
          <w:szCs w:val="52"/>
        </w:rPr>
      </w:pPr>
      <w:bookmarkStart w:id="0" w:name="bookmark15"/>
      <w:bookmarkEnd w:id="0"/>
      <w:bookmarkStart w:id="1" w:name="bookmark48"/>
      <w:bookmarkEnd w:id="1"/>
      <w:r>
        <w:rPr>
          <w:rFonts w:ascii="宋体" w:hAnsi="宋体" w:eastAsia="宋体" w:cs="宋体"/>
          <w:spacing w:val="-3"/>
          <w:sz w:val="52"/>
          <w:szCs w:val="52"/>
        </w:rPr>
        <w:t>涉嫌犯罪案件移送书</w:t>
      </w:r>
    </w:p>
    <w:p w14:paraId="2C72AD97">
      <w:pPr>
        <w:pStyle w:val="3"/>
        <w:tabs>
          <w:tab w:val="left" w:pos="3196"/>
        </w:tabs>
        <w:spacing w:before="240" w:line="222" w:lineRule="auto"/>
        <w:ind w:left="2515"/>
      </w:pPr>
      <w:r>
        <w:rPr>
          <w:u w:val="single" w:color="auto"/>
        </w:rPr>
        <w:tab/>
      </w:r>
      <w:r>
        <w:rPr>
          <w:spacing w:val="-139"/>
        </w:rPr>
        <w:t xml:space="preserve"> </w:t>
      </w:r>
      <w:r>
        <w:rPr>
          <w:spacing w:val="-5"/>
        </w:rPr>
        <w:t>税</w:t>
      </w:r>
      <w:r>
        <w:rPr>
          <w:spacing w:val="-93"/>
        </w:rPr>
        <w:t xml:space="preserve"> </w:t>
      </w:r>
      <w:r>
        <w:rPr>
          <w:spacing w:val="-5"/>
        </w:rPr>
        <w:t>移〔     〕</w:t>
      </w:r>
      <w:r>
        <w:rPr>
          <w:spacing w:val="55"/>
        </w:rPr>
        <w:t xml:space="preserve">  </w:t>
      </w:r>
      <w:r>
        <w:rPr>
          <w:spacing w:val="-5"/>
        </w:rPr>
        <w:t>号</w:t>
      </w:r>
    </w:p>
    <w:p w14:paraId="245074F4">
      <w:pPr>
        <w:spacing w:before="123" w:line="65" w:lineRule="exact"/>
      </w:pPr>
      <w:r>
        <w:rPr>
          <w:position w:val="-1"/>
        </w:rPr>
        <w:drawing>
          <wp:inline distT="0" distB="0" distL="0" distR="0">
            <wp:extent cx="5687060" cy="41275"/>
            <wp:effectExtent l="0" t="0" r="8890" b="15875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7694" cy="4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31518">
      <w:pPr>
        <w:spacing w:line="471" w:lineRule="auto"/>
        <w:rPr>
          <w:rFonts w:ascii="Arial"/>
          <w:sz w:val="21"/>
        </w:rPr>
      </w:pPr>
    </w:p>
    <w:p w14:paraId="062C725C">
      <w:pPr>
        <w:spacing w:before="169" w:line="220" w:lineRule="auto"/>
        <w:ind w:left="1403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spacing w:val="-7"/>
          <w:sz w:val="52"/>
          <w:szCs w:val="52"/>
        </w:rPr>
        <w:t>关于</w:t>
      </w:r>
      <w:r>
        <w:rPr>
          <w:rFonts w:ascii="宋体" w:hAnsi="宋体" w:eastAsia="宋体" w:cs="宋体"/>
          <w:spacing w:val="7"/>
          <w:sz w:val="52"/>
          <w:szCs w:val="52"/>
          <w:u w:val="single" w:color="auto"/>
        </w:rPr>
        <w:t xml:space="preserve">      </w:t>
      </w:r>
      <w:r>
        <w:rPr>
          <w:rFonts w:ascii="宋体" w:hAnsi="宋体" w:eastAsia="宋体" w:cs="宋体"/>
          <w:spacing w:val="-234"/>
          <w:sz w:val="52"/>
          <w:szCs w:val="52"/>
        </w:rPr>
        <w:t xml:space="preserve"> </w:t>
      </w:r>
      <w:r>
        <w:rPr>
          <w:rFonts w:ascii="宋体" w:hAnsi="宋体" w:eastAsia="宋体" w:cs="宋体"/>
          <w:spacing w:val="-7"/>
          <w:sz w:val="52"/>
          <w:szCs w:val="52"/>
        </w:rPr>
        <w:t>案件的移送书</w:t>
      </w:r>
    </w:p>
    <w:p w14:paraId="32FAC9FE">
      <w:pPr>
        <w:spacing w:line="247" w:lineRule="auto"/>
        <w:rPr>
          <w:rFonts w:ascii="Arial"/>
          <w:sz w:val="21"/>
        </w:rPr>
      </w:pPr>
    </w:p>
    <w:p w14:paraId="2EEC8B91">
      <w:pPr>
        <w:spacing w:line="248" w:lineRule="auto"/>
        <w:rPr>
          <w:rFonts w:ascii="Arial"/>
          <w:sz w:val="21"/>
        </w:rPr>
      </w:pPr>
    </w:p>
    <w:p w14:paraId="28509D0F">
      <w:pPr>
        <w:spacing w:line="248" w:lineRule="auto"/>
        <w:rPr>
          <w:rFonts w:ascii="Arial"/>
          <w:sz w:val="21"/>
        </w:rPr>
      </w:pPr>
    </w:p>
    <w:p w14:paraId="64E06906">
      <w:pPr>
        <w:pStyle w:val="3"/>
        <w:tabs>
          <w:tab w:val="left" w:pos="2982"/>
        </w:tabs>
        <w:spacing w:before="100" w:line="146" w:lineRule="auto"/>
        <w:ind w:left="102"/>
      </w:pPr>
      <w:r>
        <w:rPr>
          <w:u w:val="single" w:color="auto"/>
        </w:rPr>
        <w:tab/>
      </w:r>
      <w:r>
        <w:rPr>
          <w:spacing w:val="-123"/>
        </w:rPr>
        <w:t xml:space="preserve"> </w:t>
      </w:r>
      <w:r>
        <w:t>:</w:t>
      </w:r>
    </w:p>
    <w:p w14:paraId="442BFB2C">
      <w:pPr>
        <w:pStyle w:val="3"/>
        <w:tabs>
          <w:tab w:val="left" w:pos="4102"/>
        </w:tabs>
        <w:spacing w:before="194" w:line="327" w:lineRule="auto"/>
        <w:ind w:left="115" w:right="466" w:firstLine="627"/>
        <w:jc w:val="both"/>
      </w:pPr>
      <w:r>
        <w:rPr>
          <w:u w:val="single" w:color="auto"/>
        </w:rPr>
        <w:tab/>
      </w:r>
      <w:r>
        <w:rPr>
          <w:spacing w:val="-113"/>
        </w:rPr>
        <w:t xml:space="preserve"> </w:t>
      </w:r>
      <w:r>
        <w:rPr>
          <w:spacing w:val="18"/>
        </w:rPr>
        <w:t>一案，经我局调查核实，认为</w:t>
      </w:r>
      <w:r>
        <w:t xml:space="preserve"> </w:t>
      </w:r>
      <w:r>
        <w:rPr>
          <w:spacing w:val="12"/>
        </w:rPr>
        <w:t>已涉嫌触犯《中华人民共和国刑法》</w:t>
      </w:r>
      <w:r>
        <w:rPr>
          <w:spacing w:val="12"/>
          <w:u w:val="single" w:color="auto"/>
        </w:rPr>
        <w:t xml:space="preserve">     </w:t>
      </w:r>
      <w:r>
        <w:rPr>
          <w:spacing w:val="11"/>
          <w:u w:val="single" w:color="auto"/>
        </w:rPr>
        <w:t xml:space="preserve">      </w:t>
      </w:r>
      <w:r>
        <w:rPr>
          <w:spacing w:val="-132"/>
        </w:rPr>
        <w:t xml:space="preserve"> </w:t>
      </w:r>
      <w:r>
        <w:rPr>
          <w:spacing w:val="11"/>
        </w:rPr>
        <w:t>规定。根</w:t>
      </w:r>
      <w:r>
        <w:t xml:space="preserve"> </w:t>
      </w:r>
      <w:r>
        <w:rPr>
          <w:spacing w:val="7"/>
        </w:rPr>
        <w:t>据</w:t>
      </w:r>
      <w:r>
        <w:rPr>
          <w:spacing w:val="-141"/>
        </w:rPr>
        <w:t xml:space="preserve"> </w:t>
      </w:r>
      <w:r>
        <w:rPr>
          <w:spacing w:val="5"/>
          <w:u w:val="single" w:color="auto"/>
        </w:rPr>
        <w:t xml:space="preserve">        </w:t>
      </w:r>
      <w:r>
        <w:rPr>
          <w:spacing w:val="-133"/>
        </w:rPr>
        <w:t xml:space="preserve"> </w:t>
      </w:r>
      <w:r>
        <w:rPr>
          <w:spacing w:val="7"/>
        </w:rPr>
        <w:t>和《行政执法机关移送涉嫌犯罪案件的规定》第</w:t>
      </w:r>
      <w:r>
        <w:t xml:space="preserve"> 三条有关规定，现将该案移送你局审查，是否决定立案侦查，</w:t>
      </w:r>
      <w:r>
        <w:rPr>
          <w:spacing w:val="4"/>
        </w:rPr>
        <w:t xml:space="preserve"> </w:t>
      </w:r>
      <w:r>
        <w:rPr>
          <w:spacing w:val="8"/>
        </w:rPr>
        <w:t>请于收到本移送书三日内将审查结果告知我局。</w:t>
      </w:r>
    </w:p>
    <w:p w14:paraId="0AC66CF2">
      <w:pPr>
        <w:spacing w:line="253" w:lineRule="auto"/>
        <w:rPr>
          <w:rFonts w:ascii="Arial"/>
          <w:sz w:val="21"/>
        </w:rPr>
      </w:pPr>
    </w:p>
    <w:p w14:paraId="60B0D253">
      <w:pPr>
        <w:spacing w:line="253" w:lineRule="auto"/>
        <w:rPr>
          <w:rFonts w:ascii="Arial"/>
          <w:sz w:val="21"/>
        </w:rPr>
      </w:pPr>
    </w:p>
    <w:p w14:paraId="347697E8">
      <w:pPr>
        <w:pStyle w:val="3"/>
        <w:spacing w:before="101" w:line="315" w:lineRule="auto"/>
        <w:ind w:left="1727" w:right="3415" w:hanging="948"/>
      </w:pPr>
      <w:r>
        <w:rPr>
          <w:spacing w:val="5"/>
        </w:rPr>
        <w:t>附件：1.关于</w:t>
      </w:r>
      <w:r>
        <w:rPr>
          <w:spacing w:val="-154"/>
        </w:rPr>
        <w:t xml:space="preserve"> </w:t>
      </w:r>
      <w:r>
        <w:rPr>
          <w:spacing w:val="4"/>
          <w:u w:val="single" w:color="auto"/>
        </w:rPr>
        <w:t xml:space="preserve">    </w:t>
      </w:r>
      <w:r>
        <w:rPr>
          <w:spacing w:val="-132"/>
        </w:rPr>
        <w:t xml:space="preserve"> </w:t>
      </w:r>
      <w:r>
        <w:rPr>
          <w:spacing w:val="5"/>
        </w:rPr>
        <w:t>案件的调查报告</w:t>
      </w:r>
      <w:r>
        <w:t xml:space="preserve"> </w:t>
      </w:r>
      <w:r>
        <w:rPr>
          <w:spacing w:val="-1"/>
        </w:rPr>
        <w:t>2.</w:t>
      </w:r>
    </w:p>
    <w:p w14:paraId="4589D1D4">
      <w:pPr>
        <w:pStyle w:val="3"/>
        <w:spacing w:before="265" w:line="218" w:lineRule="exact"/>
        <w:ind w:left="1756"/>
      </w:pPr>
      <w:r>
        <w:rPr>
          <w:spacing w:val="4"/>
          <w:position w:val="-13"/>
        </w:rPr>
        <w:t>……</w:t>
      </w:r>
    </w:p>
    <w:p w14:paraId="05B190A5">
      <w:pPr>
        <w:spacing w:line="244" w:lineRule="auto"/>
        <w:rPr>
          <w:rFonts w:ascii="Arial"/>
          <w:sz w:val="21"/>
        </w:rPr>
      </w:pPr>
    </w:p>
    <w:p w14:paraId="0A2B6A69">
      <w:pPr>
        <w:spacing w:line="244" w:lineRule="auto"/>
        <w:rPr>
          <w:rFonts w:ascii="Arial"/>
          <w:sz w:val="21"/>
        </w:rPr>
      </w:pPr>
    </w:p>
    <w:p w14:paraId="019CC174">
      <w:pPr>
        <w:spacing w:line="244" w:lineRule="auto"/>
        <w:rPr>
          <w:rFonts w:ascii="Arial"/>
          <w:sz w:val="21"/>
        </w:rPr>
      </w:pPr>
    </w:p>
    <w:p w14:paraId="58C258B8">
      <w:pPr>
        <w:spacing w:line="244" w:lineRule="auto"/>
        <w:rPr>
          <w:rFonts w:ascii="Arial"/>
          <w:sz w:val="21"/>
        </w:rPr>
      </w:pPr>
    </w:p>
    <w:p w14:paraId="64F92049">
      <w:pPr>
        <w:spacing w:line="244" w:lineRule="auto"/>
        <w:rPr>
          <w:rFonts w:ascii="Arial"/>
          <w:sz w:val="21"/>
        </w:rPr>
      </w:pPr>
    </w:p>
    <w:p w14:paraId="5AD2C1BB">
      <w:pPr>
        <w:spacing w:line="244" w:lineRule="auto"/>
        <w:rPr>
          <w:rFonts w:ascii="Arial"/>
          <w:sz w:val="21"/>
        </w:rPr>
      </w:pPr>
    </w:p>
    <w:p w14:paraId="7E8A4422">
      <w:pPr>
        <w:spacing w:line="244" w:lineRule="auto"/>
        <w:rPr>
          <w:rFonts w:ascii="Arial"/>
          <w:sz w:val="21"/>
        </w:rPr>
      </w:pPr>
    </w:p>
    <w:p w14:paraId="469E6ED8">
      <w:pPr>
        <w:pStyle w:val="3"/>
        <w:spacing w:before="101" w:line="320" w:lineRule="auto"/>
        <w:ind w:left="6183" w:right="554" w:hanging="325"/>
      </w:pPr>
      <w:r>
        <w:rPr>
          <w:spacing w:val="-5"/>
        </w:rPr>
        <w:t>税务机关（</w:t>
      </w:r>
      <w:r>
        <w:rPr>
          <w:spacing w:val="-53"/>
        </w:rPr>
        <w:t xml:space="preserve"> </w:t>
      </w:r>
      <w:r>
        <w:rPr>
          <w:spacing w:val="-5"/>
        </w:rPr>
        <w:t>印章）</w:t>
      </w:r>
      <w:r>
        <w:t xml:space="preserve"> </w:t>
      </w:r>
      <w:r>
        <w:rPr>
          <w:spacing w:val="-9"/>
        </w:rPr>
        <w:t>年</w:t>
      </w:r>
      <w:r>
        <w:rPr>
          <w:spacing w:val="15"/>
        </w:rPr>
        <w:t xml:space="preserve">   </w:t>
      </w:r>
      <w:r>
        <w:rPr>
          <w:spacing w:val="-9"/>
        </w:rPr>
        <w:t>月</w:t>
      </w:r>
      <w:r>
        <w:rPr>
          <w:spacing w:val="29"/>
        </w:rPr>
        <w:t xml:space="preserve">   </w:t>
      </w:r>
      <w:r>
        <w:rPr>
          <w:spacing w:val="-9"/>
        </w:rPr>
        <w:t>日</w:t>
      </w:r>
    </w:p>
    <w:p w14:paraId="4C441730">
      <w:pPr>
        <w:spacing w:line="320" w:lineRule="auto"/>
        <w:sectPr>
          <w:footerReference r:id="rId3" w:type="default"/>
          <w:pgSz w:w="11906" w:h="16839"/>
          <w:pgMar w:top="1431" w:right="1252" w:bottom="1156" w:left="1697" w:header="0" w:footer="994" w:gutter="0"/>
          <w:cols w:space="720" w:num="1"/>
        </w:sectPr>
      </w:pPr>
    </w:p>
    <w:p w14:paraId="03643B7D">
      <w:pPr>
        <w:spacing w:before="87" w:line="224" w:lineRule="auto"/>
        <w:ind w:left="330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5"/>
          <w:sz w:val="43"/>
          <w:szCs w:val="43"/>
        </w:rPr>
        <w:t>使用说明</w:t>
      </w:r>
    </w:p>
    <w:p w14:paraId="583088D0">
      <w:pPr>
        <w:pStyle w:val="3"/>
        <w:spacing w:before="5" w:line="241" w:lineRule="auto"/>
        <w:ind w:left="18" w:firstLine="668"/>
      </w:pPr>
      <w:r>
        <w:rPr>
          <w:rFonts w:hint="eastAsia"/>
          <w:spacing w:val="13"/>
        </w:rPr>
        <w:t>1．《涉嫌犯罪案件移送书》依据《中华人民共和国税收征收管理法》第七十七条、《行政执法机关移送涉嫌犯罪案件的规定》、《税务稽查案件办理程序规定》（国家税务总局令第52号）第四十八条设置</w:t>
      </w:r>
      <w:bookmarkStart w:id="2" w:name="_GoBack"/>
      <w:bookmarkEnd w:id="2"/>
      <w:r>
        <w:rPr>
          <w:spacing w:val="9"/>
        </w:rPr>
        <w:t>。</w:t>
      </w:r>
    </w:p>
    <w:p w14:paraId="77C8DD28">
      <w:pPr>
        <w:pStyle w:val="3"/>
        <w:spacing w:before="41" w:line="235" w:lineRule="auto"/>
        <w:ind w:left="50" w:right="97" w:firstLine="629"/>
      </w:pPr>
      <w:r>
        <w:rPr>
          <w:spacing w:val="14"/>
        </w:rPr>
        <w:t>2．适用范围：税务机关向公安机关移送涉嫌犯罪的税</w:t>
      </w:r>
      <w:r>
        <w:rPr>
          <w:spacing w:val="18"/>
        </w:rPr>
        <w:t xml:space="preserve"> </w:t>
      </w:r>
      <w:r>
        <w:rPr>
          <w:spacing w:val="4"/>
        </w:rPr>
        <w:t>收违法案件时使用。</w:t>
      </w:r>
    </w:p>
    <w:p w14:paraId="4287565E">
      <w:pPr>
        <w:pStyle w:val="3"/>
        <w:spacing w:before="42" w:line="234" w:lineRule="auto"/>
        <w:ind w:left="678" w:right="474" w:firstLine="13"/>
      </w:pPr>
      <w:r>
        <w:rPr>
          <w:spacing w:val="9"/>
        </w:rPr>
        <w:t>3．本移送书抬头填写受移送案件的公安机关名称。</w:t>
      </w:r>
      <w:r>
        <w:rPr>
          <w:spacing w:val="2"/>
        </w:rPr>
        <w:t xml:space="preserve"> 4.</w:t>
      </w:r>
      <w:r>
        <w:rPr>
          <w:spacing w:val="-104"/>
        </w:rPr>
        <w:t xml:space="preserve"> </w:t>
      </w:r>
      <w:r>
        <w:rPr>
          <w:spacing w:val="2"/>
        </w:rPr>
        <w:t>“</w:t>
      </w:r>
      <w:r>
        <w:rPr>
          <w:spacing w:val="2"/>
          <w:u w:val="single" w:color="auto"/>
        </w:rPr>
        <w:t xml:space="preserve">          </w:t>
      </w:r>
      <w:r>
        <w:rPr>
          <w:spacing w:val="-122"/>
        </w:rPr>
        <w:t xml:space="preserve"> </w:t>
      </w:r>
      <w:r>
        <w:rPr>
          <w:spacing w:val="2"/>
        </w:rPr>
        <w:t>一案”横线处填写</w:t>
      </w:r>
      <w:r>
        <w:rPr>
          <w:spacing w:val="1"/>
        </w:rPr>
        <w:t>移送案件的名称。</w:t>
      </w:r>
    </w:p>
    <w:p w14:paraId="72FA29FB">
      <w:pPr>
        <w:pStyle w:val="3"/>
        <w:spacing w:before="42" w:line="239" w:lineRule="auto"/>
        <w:ind w:left="29" w:right="97" w:firstLine="654"/>
        <w:jc w:val="both"/>
      </w:pPr>
      <w:r>
        <w:rPr>
          <w:spacing w:val="3"/>
        </w:rPr>
        <w:t>5.</w:t>
      </w:r>
      <w:r>
        <w:rPr>
          <w:spacing w:val="-97"/>
        </w:rPr>
        <w:t xml:space="preserve"> </w:t>
      </w:r>
      <w:r>
        <w:rPr>
          <w:spacing w:val="3"/>
        </w:rPr>
        <w:t>“根据</w:t>
      </w:r>
      <w:r>
        <w:rPr>
          <w:spacing w:val="-152"/>
        </w:rPr>
        <w:t xml:space="preserve"> </w:t>
      </w:r>
      <w:r>
        <w:rPr>
          <w:spacing w:val="5"/>
          <w:u w:val="single" w:color="auto"/>
        </w:rPr>
        <w:t xml:space="preserve">          </w:t>
      </w:r>
      <w:r>
        <w:rPr>
          <w:spacing w:val="-133"/>
        </w:rPr>
        <w:t xml:space="preserve"> </w:t>
      </w:r>
      <w:r>
        <w:rPr>
          <w:spacing w:val="3"/>
        </w:rPr>
        <w:t>”横线处根据案件情况填写《中华</w:t>
      </w:r>
      <w:r>
        <w:t xml:space="preserve"> </w:t>
      </w:r>
      <w:r>
        <w:rPr>
          <w:spacing w:val="9"/>
        </w:rPr>
        <w:t>人民共和国税收征收管理法》第七十七条或《中华</w:t>
      </w:r>
      <w:r>
        <w:rPr>
          <w:spacing w:val="8"/>
        </w:rPr>
        <w:t>人民共和</w:t>
      </w:r>
      <w:r>
        <w:t xml:space="preserve"> </w:t>
      </w:r>
      <w:r>
        <w:rPr>
          <w:spacing w:val="8"/>
        </w:rPr>
        <w:t>国发票管理办法》相关规定。</w:t>
      </w:r>
    </w:p>
    <w:p w14:paraId="2E0BA856">
      <w:pPr>
        <w:pStyle w:val="3"/>
        <w:spacing w:before="44" w:line="220" w:lineRule="auto"/>
        <w:ind w:left="682"/>
      </w:pPr>
      <w:r>
        <w:rPr>
          <w:spacing w:val="8"/>
        </w:rPr>
        <w:t>6．依法向公安机关移送案件时，应当附送以下资料：</w:t>
      </w:r>
    </w:p>
    <w:p w14:paraId="1AFD70B8">
      <w:pPr>
        <w:pStyle w:val="3"/>
        <w:spacing w:before="43" w:line="222" w:lineRule="auto"/>
        <w:ind w:left="659"/>
      </w:pPr>
      <w:r>
        <w:rPr>
          <w:spacing w:val="1"/>
        </w:rPr>
        <w:t>（</w:t>
      </w:r>
      <w:r>
        <w:rPr>
          <w:spacing w:val="-73"/>
        </w:rPr>
        <w:t xml:space="preserve"> </w:t>
      </w:r>
      <w:r>
        <w:rPr>
          <w:spacing w:val="1"/>
        </w:rPr>
        <w:t>1）《关于</w:t>
      </w:r>
      <w:r>
        <w:rPr>
          <w:spacing w:val="-155"/>
        </w:rPr>
        <w:t xml:space="preserve"> </w:t>
      </w:r>
      <w:r>
        <w:rPr>
          <w:spacing w:val="4"/>
          <w:u w:val="single" w:color="auto"/>
        </w:rPr>
        <w:t xml:space="preserve">     </w:t>
      </w:r>
      <w:r>
        <w:rPr>
          <w:spacing w:val="-131"/>
        </w:rPr>
        <w:t xml:space="preserve"> </w:t>
      </w:r>
      <w:r>
        <w:rPr>
          <w:spacing w:val="1"/>
        </w:rPr>
        <w:t>案件的调查报告》；</w:t>
      </w:r>
    </w:p>
    <w:p w14:paraId="539C24FB">
      <w:pPr>
        <w:pStyle w:val="3"/>
        <w:spacing w:before="41" w:line="239" w:lineRule="auto"/>
        <w:ind w:left="41" w:right="90" w:firstLine="617"/>
      </w:pPr>
      <w:r>
        <w:rPr>
          <w:spacing w:val="10"/>
        </w:rPr>
        <w:t>（</w:t>
      </w:r>
      <w:r>
        <w:rPr>
          <w:spacing w:val="-81"/>
        </w:rPr>
        <w:t xml:space="preserve"> </w:t>
      </w:r>
      <w:r>
        <w:rPr>
          <w:spacing w:val="10"/>
        </w:rPr>
        <w:t>2）作出处理决定的，应附送《税务处理决定</w:t>
      </w:r>
      <w:r>
        <w:rPr>
          <w:spacing w:val="9"/>
        </w:rPr>
        <w:t>书》</w:t>
      </w:r>
      <w:r>
        <w:rPr>
          <w:spacing w:val="-92"/>
        </w:rPr>
        <w:t xml:space="preserve"> </w:t>
      </w:r>
      <w:r>
        <w:rPr>
          <w:spacing w:val="9"/>
        </w:rPr>
        <w:t>的</w:t>
      </w:r>
      <w:r>
        <w:t xml:space="preserve"> </w:t>
      </w:r>
      <w:r>
        <w:rPr>
          <w:spacing w:val="8"/>
        </w:rPr>
        <w:t>复制件；作出处罚决定的，应附送《税务行政处罚决定书》</w:t>
      </w:r>
      <w:r>
        <w:rPr>
          <w:spacing w:val="17"/>
        </w:rPr>
        <w:t xml:space="preserve"> </w:t>
      </w:r>
      <w:r>
        <w:rPr>
          <w:spacing w:val="2"/>
        </w:rPr>
        <w:t>的复制件；</w:t>
      </w:r>
    </w:p>
    <w:p w14:paraId="6AB68E20">
      <w:pPr>
        <w:pStyle w:val="3"/>
        <w:spacing w:before="43" w:line="220" w:lineRule="auto"/>
        <w:ind w:left="659"/>
      </w:pPr>
      <w:r>
        <w:rPr>
          <w:spacing w:val="-1"/>
        </w:rPr>
        <w:t>（</w:t>
      </w:r>
      <w:r>
        <w:rPr>
          <w:spacing w:val="-67"/>
        </w:rPr>
        <w:t xml:space="preserve"> </w:t>
      </w:r>
      <w:r>
        <w:rPr>
          <w:spacing w:val="-1"/>
        </w:rPr>
        <w:t>3</w:t>
      </w:r>
      <w:r>
        <w:rPr>
          <w:spacing w:val="-66"/>
        </w:rPr>
        <w:t xml:space="preserve"> </w:t>
      </w:r>
      <w:r>
        <w:rPr>
          <w:spacing w:val="-1"/>
        </w:rPr>
        <w:t>）涉嫌犯罪的主要证据材料复制件；</w:t>
      </w:r>
    </w:p>
    <w:p w14:paraId="1AD1EB7C">
      <w:pPr>
        <w:pStyle w:val="3"/>
        <w:spacing w:before="46" w:line="220" w:lineRule="auto"/>
        <w:ind w:left="659"/>
      </w:pPr>
      <w:r>
        <w:rPr>
          <w:spacing w:val="4"/>
        </w:rPr>
        <w:t>（</w:t>
      </w:r>
      <w:r>
        <w:rPr>
          <w:spacing w:val="-86"/>
        </w:rPr>
        <w:t xml:space="preserve"> </w:t>
      </w:r>
      <w:r>
        <w:rPr>
          <w:spacing w:val="4"/>
        </w:rPr>
        <w:t>4）其他有关涉嫌犯罪的材料。</w:t>
      </w:r>
    </w:p>
    <w:p w14:paraId="701651DF">
      <w:pPr>
        <w:pStyle w:val="3"/>
        <w:spacing w:before="45" w:line="239" w:lineRule="auto"/>
        <w:ind w:left="26" w:right="97" w:firstLine="647"/>
        <w:jc w:val="both"/>
      </w:pPr>
      <w:r>
        <w:rPr>
          <w:spacing w:val="8"/>
        </w:rPr>
        <w:t>对有一定的涉嫌犯罪线索，但依税务机关法定职权无法</w:t>
      </w:r>
      <w:r>
        <w:rPr>
          <w:spacing w:val="13"/>
        </w:rPr>
        <w:t xml:space="preserve"> </w:t>
      </w:r>
      <w:r>
        <w:rPr>
          <w:spacing w:val="9"/>
        </w:rPr>
        <w:t>查证并作出税务处理、处罚决定的税收违法行为，</w:t>
      </w:r>
      <w:r>
        <w:rPr>
          <w:spacing w:val="8"/>
        </w:rPr>
        <w:t>税务机关</w:t>
      </w:r>
      <w:r>
        <w:t xml:space="preserve"> </w:t>
      </w:r>
      <w:r>
        <w:rPr>
          <w:spacing w:val="7"/>
        </w:rPr>
        <w:t>可以依法移送公安机关。</w:t>
      </w:r>
    </w:p>
    <w:p w14:paraId="3D70EA5D">
      <w:pPr>
        <w:pStyle w:val="3"/>
        <w:spacing w:before="41" w:line="234" w:lineRule="auto"/>
        <w:ind w:left="31" w:right="97" w:firstLine="650"/>
      </w:pPr>
      <w:r>
        <w:rPr>
          <w:spacing w:val="14"/>
        </w:rPr>
        <w:t>7．用于证明税务处理、处罚等税收执法行为的证据材</w:t>
      </w:r>
      <w:r>
        <w:rPr>
          <w:spacing w:val="15"/>
        </w:rPr>
        <w:t xml:space="preserve"> </w:t>
      </w:r>
      <w:r>
        <w:rPr>
          <w:spacing w:val="6"/>
        </w:rPr>
        <w:t>料原件不得移交。</w:t>
      </w:r>
    </w:p>
    <w:p w14:paraId="724B03DC">
      <w:pPr>
        <w:pStyle w:val="3"/>
        <w:spacing w:before="44" w:line="242" w:lineRule="auto"/>
        <w:ind w:left="34" w:right="100" w:firstLine="648"/>
      </w:pPr>
      <w:r>
        <w:rPr>
          <w:spacing w:val="8"/>
        </w:rPr>
        <w:t>8.《税务稽查报告》《税务稽查审理报告</w:t>
      </w:r>
      <w:r>
        <w:rPr>
          <w:spacing w:val="7"/>
        </w:rPr>
        <w:t>》《税收违法</w:t>
      </w:r>
      <w:r>
        <w:t xml:space="preserve"> </w:t>
      </w:r>
      <w:r>
        <w:rPr>
          <w:spacing w:val="19"/>
        </w:rPr>
        <w:t>案件集体审理纪要》</w:t>
      </w:r>
      <w:r>
        <w:rPr>
          <w:spacing w:val="-92"/>
        </w:rPr>
        <w:t xml:space="preserve"> </w:t>
      </w:r>
      <w:r>
        <w:rPr>
          <w:spacing w:val="19"/>
        </w:rPr>
        <w:t>等税务机关内部研究相</w:t>
      </w:r>
      <w:r>
        <w:rPr>
          <w:spacing w:val="18"/>
        </w:rPr>
        <w:t>关材料不得移</w:t>
      </w:r>
      <w:r>
        <w:t xml:space="preserve"> </w:t>
      </w:r>
      <w:r>
        <w:rPr>
          <w:spacing w:val="-6"/>
        </w:rPr>
        <w:t>送。</w:t>
      </w:r>
    </w:p>
    <w:p w14:paraId="74843C51">
      <w:pPr>
        <w:pStyle w:val="3"/>
        <w:spacing w:before="26" w:line="220" w:lineRule="auto"/>
        <w:ind w:left="682"/>
      </w:pPr>
      <w:r>
        <w:rPr>
          <w:spacing w:val="7"/>
        </w:rPr>
        <w:t>9.本移送书与《税务文书送达回证》一并使用。</w:t>
      </w:r>
    </w:p>
    <w:p w14:paraId="7DD4AA20">
      <w:pPr>
        <w:pStyle w:val="3"/>
        <w:spacing w:before="46" w:line="222" w:lineRule="auto"/>
        <w:ind w:left="687"/>
      </w:pPr>
      <w:r>
        <w:rPr>
          <w:spacing w:val="3"/>
        </w:rPr>
        <w:t>10.文书字号设为</w:t>
      </w:r>
      <w:r>
        <w:rPr>
          <w:spacing w:val="-92"/>
        </w:rPr>
        <w:t xml:space="preserve"> </w:t>
      </w:r>
      <w:r>
        <w:rPr>
          <w:spacing w:val="3"/>
        </w:rPr>
        <w:t>“移”，稽查局使用设为</w:t>
      </w:r>
      <w:r>
        <w:rPr>
          <w:spacing w:val="-105"/>
        </w:rPr>
        <w:t xml:space="preserve"> </w:t>
      </w:r>
      <w:r>
        <w:rPr>
          <w:spacing w:val="3"/>
        </w:rPr>
        <w:t>“稽移”。</w:t>
      </w:r>
    </w:p>
    <w:p w14:paraId="42EFEB89">
      <w:pPr>
        <w:pStyle w:val="3"/>
        <w:spacing w:before="41" w:line="235" w:lineRule="auto"/>
        <w:ind w:left="46" w:right="162" w:firstLine="640"/>
      </w:pPr>
      <w:r>
        <w:rPr>
          <w:spacing w:val="3"/>
        </w:rPr>
        <w:t>11.本移送书为</w:t>
      </w:r>
      <w:r>
        <w:rPr>
          <w:spacing w:val="-61"/>
        </w:rPr>
        <w:t xml:space="preserve"> </w:t>
      </w:r>
      <w:r>
        <w:rPr>
          <w:spacing w:val="3"/>
        </w:rPr>
        <w:t>A4</w:t>
      </w:r>
      <w:r>
        <w:rPr>
          <w:spacing w:val="-45"/>
        </w:rPr>
        <w:t xml:space="preserve"> </w:t>
      </w:r>
      <w:r>
        <w:rPr>
          <w:spacing w:val="3"/>
        </w:rPr>
        <w:t>竖式，一式二份，一份送公安机关，</w:t>
      </w:r>
      <w:r>
        <w:t xml:space="preserve"> </w:t>
      </w:r>
      <w:r>
        <w:rPr>
          <w:spacing w:val="3"/>
        </w:rPr>
        <w:t>一份装入卷宗。</w:t>
      </w:r>
    </w:p>
    <w:p w14:paraId="13919005">
      <w:pPr>
        <w:spacing w:line="235" w:lineRule="auto"/>
        <w:sectPr>
          <w:footerReference r:id="rId4" w:type="default"/>
          <w:pgSz w:w="11906" w:h="16839"/>
          <w:pgMar w:top="1374" w:right="1702" w:bottom="1156" w:left="1785" w:header="0" w:footer="994" w:gutter="0"/>
          <w:cols w:space="720" w:num="1"/>
        </w:sectPr>
      </w:pPr>
    </w:p>
    <w:p w14:paraId="037AF1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7DF96">
    <w:pPr>
      <w:spacing w:line="176" w:lineRule="auto"/>
      <w:ind w:left="417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C1E21">
    <w:pPr>
      <w:spacing w:line="176" w:lineRule="auto"/>
      <w:ind w:left="40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37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1D094E55"/>
    <w:rsid w:val="1D094E55"/>
    <w:rsid w:val="4CFC467E"/>
    <w:rsid w:val="4E333D59"/>
    <w:rsid w:val="592D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ascii="Helvetica" w:hAnsi="Helvetica" w:eastAsia="华文中宋"/>
      <w:b/>
      <w:bCs/>
      <w:kern w:val="44"/>
      <w:sz w:val="52"/>
      <w:szCs w:val="44"/>
      <w:lang w:val="en-GB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文件"/>
    <w:basedOn w:val="1"/>
    <w:qFormat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742</Words>
  <Characters>753</Characters>
  <Lines>0</Lines>
  <Paragraphs>0</Paragraphs>
  <TotalTime>0</TotalTime>
  <ScaleCrop>false</ScaleCrop>
  <LinksUpToDate>false</LinksUpToDate>
  <CharactersWithSpaces>876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2024-07-25T03:57:00Z</dcterms:created>
  <dc:creator>www.shuiwu114.com</dc:creator>
  <cp:lastModifiedBy>www.shuiwu114.com</cp:lastModifiedBy>
  <dcterms:modified xsi:type="dcterms:W3CDTF">2025-03-28T06:46:17Z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A5A8B1C4D1C143A083202DADB1BCADDF_11</vt:lpwstr>
  </property>
  <property fmtid="{D5CDD505-2E9C-101B-9397-08002B2CF9AE}" pid="4" name="KSOTemplateDocerSaveRecord">
    <vt:lpwstr>eyJoZGlkIjoiMDY0MGNkMTU3OWQzNDA3NjVmODJmMjIxMTIxOTBhNjUiLCJ1c2VySWQiOiIxMDczMTkyOTA3In0=</vt:lpwstr>
  </property>
</Properties>
</file>