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color w:val="000000"/>
        </w:rPr>
      </w:pPr>
      <w:bookmarkStart w:id="0" w:name="_Toc25328007"/>
      <w:r>
        <w:rPr>
          <w:rFonts w:hint="eastAsia" w:ascii="宋体" w:hAnsi="宋体"/>
          <w:color w:val="000000"/>
        </w:rPr>
        <w:t>A06152《资产负债表（适用未执行新金融工具准则的证券公司）》</w:t>
      </w:r>
      <w:bookmarkEnd w:id="0"/>
    </w:p>
    <w:p>
      <w:pPr>
        <w:pStyle w:val="9"/>
        <w:rPr>
          <w:color w:val="000000"/>
          <w:szCs w:val="22"/>
        </w:rPr>
      </w:pPr>
      <w:bookmarkStart w:id="1" w:name="_GoBack"/>
      <w:bookmarkEnd w:id="1"/>
    </w:p>
    <w:p>
      <w:pPr>
        <w:pStyle w:val="3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【表单】</w:t>
      </w:r>
    </w:p>
    <w:tbl>
      <w:tblPr>
        <w:tblStyle w:val="4"/>
        <w:tblW w:w="139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8"/>
        <w:gridCol w:w="1186"/>
        <w:gridCol w:w="1226"/>
        <w:gridCol w:w="4902"/>
        <w:gridCol w:w="1340"/>
        <w:gridCol w:w="13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</w:rPr>
              <w:t>资产负债表</w:t>
            </w: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                                                  会证01表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 xml:space="preserve">编制单位：            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>    </w:t>
            </w:r>
            <w:r>
              <w:rPr>
                <w:rFonts w:hint="eastAsia" w:ascii="宋体" w:hAnsi="宋体" w:cs="Arial"/>
                <w:color w:val="000000"/>
              </w:rPr>
              <w:t>年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 xml:space="preserve">    </w:t>
            </w:r>
            <w:r>
              <w:rPr>
                <w:rFonts w:hint="eastAsia" w:ascii="宋体" w:hAnsi="宋体" w:cs="Arial"/>
                <w:color w:val="000000"/>
              </w:rPr>
              <w:t>月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 xml:space="preserve">    </w:t>
            </w:r>
            <w:r>
              <w:rPr>
                <w:rFonts w:hint="eastAsia" w:ascii="宋体" w:hAnsi="宋体" w:cs="Arial"/>
                <w:color w:val="000000"/>
              </w:rPr>
              <w:t>日                          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       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期末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余额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年初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余额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负债和所有者权益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（或股东权益）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期末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余额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年初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余额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资   产：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负   债：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货币资金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短期借款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其中：客户存款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应付短期融资款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结算备付金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拆入资金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其中：客户备付金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交易性金融负债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拆出资金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衍生金融负债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融出资金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卖出回购金融资产款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交易性金融资产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代理买卖证券款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衍生金融资产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代理承销证券款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买入返售金融资产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应付职工薪酬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应收款项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应交税费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应收利息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应付款项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存出保证金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应付利息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可供出售金融资产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预计负债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持有至到期投资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长期借款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长期股权投资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应付债券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投资性房地产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递延所得税负债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固定资产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其他负债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在建工程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负债合计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无形资产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所有者权益（或股东权益）：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递延所得税资产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实收资本（或股本）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其他资产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资本公积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减：库存股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盈余公积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一般风险准备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未分配利润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4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外币报表折算差额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所有者权益（或股东权益）合计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9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资产总计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负债和所有者权益（或股东权益）总计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</w:tbl>
    <w:p>
      <w:pPr>
        <w:pStyle w:val="12"/>
        <w:rPr>
          <w:color w:val="000000"/>
        </w:rPr>
      </w:pPr>
    </w:p>
    <w:p>
      <w:pPr>
        <w:pStyle w:val="3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【表单说明】</w:t>
      </w:r>
    </w:p>
    <w:p>
      <w:pPr>
        <w:pStyle w:val="3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r>
        <w:rPr>
          <w:rFonts w:hint="eastAsia" w:ascii="宋体" w:hAnsi="宋体"/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6818"/>
    <w:rsid w:val="7C6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列出段落1"/>
    <w:basedOn w:val="3"/>
    <w:qFormat/>
    <w:uiPriority w:val="34"/>
    <w:pPr>
      <w:ind w:firstLine="420"/>
    </w:pPr>
  </w:style>
  <w:style w:type="paragraph" w:customStyle="1" w:styleId="11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2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2019-12-12T10:15:00Z</dcterms:created>
  <dc:creator>陈莉佳</dc:creator>
  <cp:lastModifiedBy>陈莉佳</cp:lastModifiedBy>
  <dcterms:modified xsi:type="dcterms:W3CDTF">2019-12-12T10:15:45Z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