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宋体" w:hAnsi="宋体" w:eastAsia="宋体"/>
          <w:color w:val="000000"/>
        </w:rPr>
      </w:pPr>
      <w:bookmarkStart w:id="0" w:name="_Toc25328054"/>
      <w:r>
        <w:rPr>
          <w:rFonts w:hint="eastAsia" w:ascii="宋体" w:hAnsi="宋体" w:eastAsia="宋体"/>
          <w:color w:val="000000"/>
        </w:rPr>
        <w:t>A06341《所有者权益变动表（适用未执行新金融工具准则的证券公司）》</w:t>
      </w:r>
      <w:bookmarkEnd w:id="0"/>
    </w:p>
    <w:p>
      <w:pPr>
        <w:pStyle w:val="5"/>
        <w:jc w:val="center"/>
        <w:rPr>
          <w:color w:val="000000"/>
        </w:rPr>
      </w:pPr>
      <w:bookmarkStart w:id="1" w:name="_GoBack"/>
      <w:bookmarkEnd w:id="1"/>
      <w:r>
        <w:rPr>
          <w:rFonts w:hint="eastAsia" w:ascii="宋体" w:hAnsi="宋体"/>
          <w:b/>
          <w:bCs/>
          <w:color w:val="000000"/>
          <w:sz w:val="28"/>
          <w:szCs w:val="28"/>
        </w:rPr>
        <w:t>所有者权益变动表</w:t>
      </w:r>
    </w:p>
    <w:p>
      <w:pPr>
        <w:pStyle w:val="5"/>
        <w:ind w:firstLine="630" w:firstLineChars="3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会证：04表</w:t>
      </w:r>
    </w:p>
    <w:p>
      <w:pPr>
        <w:pStyle w:val="5"/>
        <w:ind w:firstLine="630" w:firstLineChars="300"/>
        <w:rPr>
          <w:color w:val="000000"/>
        </w:rPr>
      </w:pPr>
      <w:r>
        <w:rPr>
          <w:rFonts w:hint="eastAsia" w:ascii="宋体" w:hAnsi="宋体"/>
          <w:color w:val="000000"/>
        </w:rPr>
        <w:t>编制单位：   年度                      单位：元</w:t>
      </w:r>
    </w:p>
    <w:tbl>
      <w:tblPr>
        <w:tblStyle w:val="2"/>
        <w:tblW w:w="8332" w:type="dxa"/>
        <w:jc w:val="center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3"/>
        <w:gridCol w:w="440"/>
        <w:gridCol w:w="345"/>
        <w:gridCol w:w="440"/>
        <w:gridCol w:w="342"/>
        <w:gridCol w:w="348"/>
        <w:gridCol w:w="348"/>
        <w:gridCol w:w="302"/>
        <w:gridCol w:w="440"/>
        <w:gridCol w:w="335"/>
        <w:gridCol w:w="333"/>
        <w:gridCol w:w="440"/>
        <w:gridCol w:w="336"/>
        <w:gridCol w:w="333"/>
        <w:gridCol w:w="338"/>
        <w:gridCol w:w="358"/>
        <w:gridCol w:w="45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项    目</w:t>
            </w:r>
          </w:p>
        </w:tc>
        <w:tc>
          <w:tcPr>
            <w:tcW w:w="3005" w:type="dxa"/>
            <w:gridSpan w:val="8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本年金额</w:t>
            </w:r>
          </w:p>
        </w:tc>
        <w:tc>
          <w:tcPr>
            <w:tcW w:w="2924" w:type="dxa"/>
            <w:gridSpan w:val="8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上年金额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0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5"/>
              <w:rPr>
                <w:rFonts w:ascii="Arial" w:hAnsi="Arial" w:cs="Arial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实收</w:t>
            </w:r>
          </w:p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资本（或股本）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资本</w:t>
            </w:r>
          </w:p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公积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减：库存股</w:t>
            </w:r>
          </w:p>
        </w:tc>
        <w:tc>
          <w:tcPr>
            <w:tcW w:w="3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盈余</w:t>
            </w:r>
          </w:p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公积</w:t>
            </w:r>
          </w:p>
        </w:tc>
        <w:tc>
          <w:tcPr>
            <w:tcW w:w="3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一般风险准备</w:t>
            </w:r>
          </w:p>
        </w:tc>
        <w:tc>
          <w:tcPr>
            <w:tcW w:w="3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未</w:t>
            </w:r>
          </w:p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分配</w:t>
            </w:r>
          </w:p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利润</w:t>
            </w:r>
          </w:p>
        </w:tc>
        <w:tc>
          <w:tcPr>
            <w:tcW w:w="302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外币报表折算差额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所有者权益（或股东）合计</w:t>
            </w:r>
          </w:p>
        </w:tc>
        <w:tc>
          <w:tcPr>
            <w:tcW w:w="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实收</w:t>
            </w:r>
          </w:p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资本(或股本)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资本</w:t>
            </w:r>
          </w:p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公积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减：库存股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盈余</w:t>
            </w:r>
          </w:p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公积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一般风险准备</w:t>
            </w:r>
          </w:p>
        </w:tc>
        <w:tc>
          <w:tcPr>
            <w:tcW w:w="3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未</w:t>
            </w:r>
          </w:p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分配</w:t>
            </w:r>
          </w:p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利润</w:t>
            </w:r>
          </w:p>
        </w:tc>
        <w:tc>
          <w:tcPr>
            <w:tcW w:w="358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外币报表折算差额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所有者权益（或股东）合计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一、上年年末余额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加：会计政策变更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2403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ind w:firstLine="3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前期差错更正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ind w:firstLine="3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其他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二、本年年初余额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三、本年增减变动金额（减少以“-”号填列）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（一）净利润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（二）其他综合收益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上述（一）和（二）小计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（三）所有者（或股东）投入和减少资本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1．所有者（或股东）投入资本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2．股份支付计入所有者（或股东）权益的金额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3．其他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（四）利润分配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1．提取盈余公积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2．提取一般风险准备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3．对所有者（或股东）的分配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4．其他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（五）所有者（或股东）权益内部结转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1．资本公积转增资本（或股本）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2．盈余公积转增资本（或股本）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3．盈余公积弥补亏损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4．其他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四、本期期末余额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</w:tr>
    </w:tbl>
    <w:p>
      <w:pPr>
        <w:pStyle w:val="10"/>
        <w:rPr>
          <w:color w:val="000000"/>
        </w:rPr>
      </w:pPr>
    </w:p>
    <w:p>
      <w:pPr>
        <w:pStyle w:val="5"/>
        <w:ind w:firstLine="422"/>
        <w:outlineLvl w:val="2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hint="eastAsia" w:ascii="Arial" w:hAnsi="Arial" w:cs="Arial"/>
          <w:b/>
          <w:color w:val="000000"/>
          <w:sz w:val="24"/>
          <w:szCs w:val="24"/>
        </w:rPr>
        <w:t>【表单说明】</w:t>
      </w:r>
    </w:p>
    <w:p>
      <w:pPr>
        <w:pStyle w:val="5"/>
        <w:ind w:firstLine="420"/>
        <w:rPr>
          <w:color w:val="000000"/>
        </w:rPr>
      </w:pPr>
      <w:r>
        <w:rPr>
          <w:rFonts w:hint="eastAsia" w:ascii="Arial" w:hAnsi="Arial" w:cs="Arial"/>
          <w:color w:val="000000"/>
        </w:rPr>
        <w:t>无</w:t>
      </w:r>
    </w:p>
    <w:p>
      <w:pPr>
        <w:pStyle w:val="4"/>
        <w:spacing w:line="415" w:lineRule="auto"/>
        <w:rPr>
          <w:rFonts w:hint="eastAsia" w:ascii="宋体" w:hAnsi="宋体" w:eastAsia="宋体"/>
        </w:rPr>
        <w:sectPr>
          <w:type w:val="continuous"/>
          <w:pgSz w:w="11906" w:h="16838"/>
          <w:pgMar w:top="1440" w:right="851" w:bottom="1440" w:left="851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7000E"/>
    <w:multiLevelType w:val="multilevel"/>
    <w:tmpl w:val="1367000E"/>
    <w:lvl w:ilvl="0" w:tentative="0">
      <w:start w:val="1"/>
      <w:numFmt w:val="bullet"/>
      <w:pStyle w:val="6"/>
      <w:lvlText w:val="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766B00"/>
    <w:rsid w:val="4E76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2_0"/>
    <w:basedOn w:val="5"/>
    <w:next w:val="5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customStyle="1" w:styleId="5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">
    <w:name w:val="四级标题"/>
    <w:basedOn w:val="7"/>
    <w:qFormat/>
    <w:uiPriority w:val="0"/>
    <w:pPr>
      <w:numPr>
        <w:ilvl w:val="0"/>
        <w:numId w:val="1"/>
      </w:numPr>
    </w:pPr>
    <w:rPr>
      <w:rFonts w:eastAsia="宋体" w:cs="Times New Roman"/>
      <w:kern w:val="2"/>
      <w:sz w:val="21"/>
    </w:rPr>
  </w:style>
  <w:style w:type="paragraph" w:customStyle="1" w:styleId="7">
    <w:name w:val="二级标题_0"/>
    <w:basedOn w:val="5"/>
    <w:qFormat/>
    <w:uiPriority w:val="0"/>
    <w:pPr>
      <w:widowControl/>
      <w:ind w:firstLine="420"/>
      <w:jc w:val="left"/>
      <w:outlineLvl w:val="3"/>
    </w:pPr>
    <w:rPr>
      <w:rFonts w:ascii="Arial" w:hAnsi="Arial" w:eastAsia="Times New Roman" w:cs="Arial"/>
      <w:kern w:val="0"/>
      <w:sz w:val="24"/>
      <w:szCs w:val="24"/>
    </w:rPr>
  </w:style>
  <w:style w:type="paragraph" w:customStyle="1" w:styleId="8">
    <w:name w:val="需求正文_0"/>
    <w:basedOn w:val="5"/>
    <w:qFormat/>
    <w:uiPriority w:val="0"/>
    <w:pPr>
      <w:widowControl/>
      <w:ind w:firstLine="420"/>
      <w:jc w:val="left"/>
    </w:pPr>
    <w:rPr>
      <w:rFonts w:ascii="Arial" w:hAnsi="Arial"/>
      <w:szCs w:val="24"/>
    </w:rPr>
  </w:style>
  <w:style w:type="paragraph" w:customStyle="1" w:styleId="9">
    <w:name w:val="列出段落1"/>
    <w:basedOn w:val="5"/>
    <w:qFormat/>
    <w:uiPriority w:val="34"/>
    <w:pPr>
      <w:ind w:firstLine="420"/>
    </w:pPr>
  </w:style>
  <w:style w:type="paragraph" w:customStyle="1" w:styleId="10">
    <w:name w:val="正文_0_0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2019-12-12T10:17:00Z</dcterms:created>
  <dc:creator>陈莉佳</dc:creator>
  <cp:lastModifiedBy>陈莉佳</cp:lastModifiedBy>
  <dcterms:modified xsi:type="dcterms:W3CDTF">2019-12-12T10:17:34Z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