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color w:val="000000"/>
          <w:szCs w:val="21"/>
        </w:rPr>
      </w:pPr>
      <w:bookmarkStart w:id="0" w:name="_Toc25328295"/>
      <w:r>
        <w:rPr>
          <w:rFonts w:hint="eastAsia" w:ascii="宋体" w:hAnsi="宋体" w:eastAsia="宋体" w:cs="宋体"/>
          <w:color w:val="000000"/>
        </w:rPr>
        <w:t>A06895</w:t>
      </w:r>
      <w:r>
        <w:rPr>
          <w:rFonts w:hint="eastAsia" w:ascii="宋体" w:hAnsi="宋体" w:eastAsia="宋体" w:cs="宋体"/>
          <w:color w:val="000000"/>
          <w:szCs w:val="21"/>
        </w:rPr>
        <w:t>《资产负债表（适用已执行新金融工具准则的金融企业）》</w:t>
      </w:r>
      <w:bookmarkEnd w:id="0"/>
    </w:p>
    <w:p>
      <w:pPr>
        <w:spacing w:before="109"/>
        <w:ind w:left="611" w:right="452"/>
        <w:jc w:val="center"/>
        <w:rPr>
          <w:b/>
          <w:color w:val="000000"/>
          <w:szCs w:val="22"/>
        </w:rPr>
      </w:pPr>
      <w:r>
        <w:rPr>
          <w:b/>
          <w:color w:val="000000"/>
          <w:szCs w:val="22"/>
        </w:rPr>
        <w:t>资产负债表</w:t>
      </w:r>
    </w:p>
    <w:p>
      <w:pPr>
        <w:spacing w:before="27"/>
        <w:ind w:right="32"/>
        <w:jc w:val="right"/>
        <w:rPr>
          <w:color w:val="000000"/>
          <w:sz w:val="21"/>
          <w:szCs w:val="22"/>
        </w:rPr>
      </w:pPr>
      <w:bookmarkStart w:id="1" w:name="_GoBack"/>
      <w:bookmarkEnd w:id="1"/>
      <w:r>
        <w:rPr>
          <w:rFonts w:hint="eastAsia"/>
          <w:color w:val="000000"/>
          <w:sz w:val="21"/>
          <w:szCs w:val="22"/>
        </w:rPr>
        <w:t xml:space="preserve"> </w:t>
      </w:r>
      <w:r>
        <w:rPr>
          <w:color w:val="000000"/>
          <w:sz w:val="21"/>
          <w:szCs w:val="22"/>
        </w:rPr>
        <w:t>会金融 01 表</w:t>
      </w:r>
    </w:p>
    <w:p>
      <w:pPr>
        <w:tabs>
          <w:tab w:val="left" w:pos="4395"/>
          <w:tab w:val="left" w:pos="4815"/>
          <w:tab w:val="left" w:pos="5235"/>
          <w:tab w:val="left" w:pos="7440"/>
        </w:tabs>
        <w:spacing w:before="43" w:after="20"/>
        <w:ind w:left="660"/>
        <w:rPr>
          <w:color w:val="000000"/>
          <w:sz w:val="21"/>
          <w:szCs w:val="22"/>
        </w:rPr>
      </w:pPr>
      <w:r>
        <w:rPr>
          <w:color w:val="000000"/>
          <w:sz w:val="21"/>
          <w:szCs w:val="22"/>
        </w:rPr>
        <w:t>编制</w:t>
      </w:r>
      <w:r>
        <w:rPr>
          <w:color w:val="000000"/>
          <w:spacing w:val="-3"/>
          <w:sz w:val="21"/>
          <w:szCs w:val="22"/>
        </w:rPr>
        <w:t>单</w:t>
      </w:r>
      <w:r>
        <w:rPr>
          <w:color w:val="000000"/>
          <w:sz w:val="21"/>
          <w:szCs w:val="22"/>
        </w:rPr>
        <w:t>位:</w:t>
      </w:r>
      <w:r>
        <w:rPr>
          <w:color w:val="000000"/>
          <w:sz w:val="21"/>
          <w:szCs w:val="22"/>
        </w:rPr>
        <w:tab/>
      </w:r>
      <w:r>
        <w:rPr>
          <w:color w:val="000000"/>
          <w:sz w:val="21"/>
          <w:szCs w:val="22"/>
        </w:rPr>
        <w:t>年</w:t>
      </w:r>
      <w:r>
        <w:rPr>
          <w:color w:val="000000"/>
          <w:sz w:val="21"/>
          <w:szCs w:val="22"/>
        </w:rPr>
        <w:tab/>
      </w:r>
      <w:r>
        <w:rPr>
          <w:color w:val="000000"/>
          <w:sz w:val="21"/>
          <w:szCs w:val="22"/>
        </w:rPr>
        <w:t>月</w:t>
      </w:r>
      <w:r>
        <w:rPr>
          <w:color w:val="000000"/>
          <w:sz w:val="21"/>
          <w:szCs w:val="22"/>
        </w:rPr>
        <w:tab/>
      </w:r>
      <w:r>
        <w:rPr>
          <w:color w:val="000000"/>
          <w:sz w:val="21"/>
          <w:szCs w:val="22"/>
        </w:rPr>
        <w:t>日</w:t>
      </w:r>
      <w:r>
        <w:rPr>
          <w:color w:val="000000"/>
          <w:sz w:val="21"/>
          <w:szCs w:val="22"/>
        </w:rPr>
        <w:tab/>
      </w:r>
      <w:r>
        <w:rPr>
          <w:color w:val="000000"/>
          <w:sz w:val="21"/>
          <w:szCs w:val="22"/>
        </w:rPr>
        <w:t>单位:</w:t>
      </w:r>
      <w:r>
        <w:rPr>
          <w:color w:val="000000"/>
          <w:spacing w:val="50"/>
          <w:sz w:val="21"/>
          <w:szCs w:val="22"/>
        </w:rPr>
        <w:t xml:space="preserve"> </w:t>
      </w:r>
      <w:r>
        <w:rPr>
          <w:color w:val="000000"/>
          <w:sz w:val="21"/>
          <w:szCs w:val="22"/>
        </w:rPr>
        <w:t>元</w:t>
      </w:r>
    </w:p>
    <w:tbl>
      <w:tblPr>
        <w:tblStyle w:val="4"/>
        <w:tblW w:w="92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44"/>
        <w:gridCol w:w="852"/>
        <w:gridCol w:w="742"/>
        <w:gridCol w:w="2866"/>
        <w:gridCol w:w="901"/>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trPr>
        <w:tc>
          <w:tcPr>
            <w:tcW w:w="2944" w:type="dxa"/>
            <w:noWrap w:val="0"/>
            <w:vAlign w:val="top"/>
          </w:tcPr>
          <w:p>
            <w:pPr>
              <w:pStyle w:val="10"/>
              <w:spacing w:before="178"/>
              <w:ind w:left="1262" w:right="1211"/>
              <w:jc w:val="center"/>
              <w:rPr>
                <w:color w:val="000000"/>
                <w:sz w:val="21"/>
              </w:rPr>
            </w:pPr>
            <w:r>
              <w:rPr>
                <w:color w:val="000000"/>
                <w:sz w:val="21"/>
              </w:rPr>
              <w:t>资产</w:t>
            </w:r>
          </w:p>
        </w:tc>
        <w:tc>
          <w:tcPr>
            <w:tcW w:w="852" w:type="dxa"/>
            <w:noWrap w:val="0"/>
            <w:vAlign w:val="top"/>
          </w:tcPr>
          <w:p>
            <w:pPr>
              <w:pStyle w:val="10"/>
              <w:spacing w:before="43" w:line="269" w:lineRule="exact"/>
              <w:ind w:left="265"/>
              <w:rPr>
                <w:color w:val="000000"/>
                <w:sz w:val="21"/>
              </w:rPr>
            </w:pPr>
            <w:r>
              <w:rPr>
                <w:rFonts w:hint="eastAsia"/>
                <w:color w:val="000000"/>
                <w:sz w:val="21"/>
              </w:rPr>
              <w:t>期末</w:t>
            </w:r>
          </w:p>
          <w:p>
            <w:pPr>
              <w:pStyle w:val="10"/>
              <w:spacing w:before="43" w:line="269" w:lineRule="exact"/>
              <w:ind w:left="265"/>
              <w:rPr>
                <w:color w:val="000000"/>
                <w:sz w:val="21"/>
              </w:rPr>
            </w:pPr>
            <w:r>
              <w:rPr>
                <w:rFonts w:hint="eastAsia"/>
                <w:color w:val="000000"/>
                <w:sz w:val="21"/>
              </w:rPr>
              <w:t>余额</w:t>
            </w:r>
          </w:p>
        </w:tc>
        <w:tc>
          <w:tcPr>
            <w:tcW w:w="742" w:type="dxa"/>
            <w:noWrap w:val="0"/>
            <w:vAlign w:val="top"/>
          </w:tcPr>
          <w:p>
            <w:pPr>
              <w:pStyle w:val="10"/>
              <w:spacing w:before="43" w:line="269" w:lineRule="exact"/>
              <w:ind w:left="126"/>
              <w:rPr>
                <w:color w:val="000000"/>
                <w:sz w:val="21"/>
              </w:rPr>
            </w:pPr>
            <w:r>
              <w:rPr>
                <w:rFonts w:hint="eastAsia"/>
                <w:color w:val="000000"/>
                <w:sz w:val="21"/>
              </w:rPr>
              <w:t>上年年末余额</w:t>
            </w:r>
          </w:p>
        </w:tc>
        <w:tc>
          <w:tcPr>
            <w:tcW w:w="2866" w:type="dxa"/>
            <w:noWrap w:val="0"/>
            <w:vAlign w:val="top"/>
          </w:tcPr>
          <w:p>
            <w:pPr>
              <w:pStyle w:val="10"/>
              <w:spacing w:before="178"/>
              <w:ind w:left="168"/>
              <w:rPr>
                <w:color w:val="000000"/>
                <w:sz w:val="21"/>
              </w:rPr>
            </w:pPr>
            <w:r>
              <w:rPr>
                <w:rFonts w:hint="eastAsia"/>
                <w:color w:val="000000"/>
                <w:sz w:val="21"/>
              </w:rPr>
              <w:t>负债和所有者权益（或股东权益）</w:t>
            </w:r>
          </w:p>
        </w:tc>
        <w:tc>
          <w:tcPr>
            <w:tcW w:w="901" w:type="dxa"/>
            <w:noWrap w:val="0"/>
            <w:vAlign w:val="top"/>
          </w:tcPr>
          <w:p>
            <w:pPr>
              <w:pStyle w:val="10"/>
              <w:spacing w:before="43" w:line="269" w:lineRule="exact"/>
              <w:ind w:left="275"/>
              <w:rPr>
                <w:color w:val="000000"/>
                <w:sz w:val="21"/>
              </w:rPr>
            </w:pPr>
            <w:r>
              <w:rPr>
                <w:rFonts w:hint="eastAsia"/>
                <w:color w:val="000000"/>
                <w:sz w:val="21"/>
              </w:rPr>
              <w:t>期末</w:t>
            </w:r>
          </w:p>
          <w:p>
            <w:pPr>
              <w:pStyle w:val="10"/>
              <w:spacing w:before="43" w:line="269" w:lineRule="exact"/>
              <w:ind w:left="275"/>
              <w:rPr>
                <w:color w:val="000000"/>
                <w:sz w:val="21"/>
              </w:rPr>
            </w:pPr>
            <w:r>
              <w:rPr>
                <w:rFonts w:hint="eastAsia"/>
                <w:color w:val="000000"/>
                <w:sz w:val="21"/>
              </w:rPr>
              <w:t>余额</w:t>
            </w:r>
          </w:p>
        </w:tc>
        <w:tc>
          <w:tcPr>
            <w:tcW w:w="900" w:type="dxa"/>
            <w:noWrap w:val="0"/>
            <w:vAlign w:val="top"/>
          </w:tcPr>
          <w:p>
            <w:pPr>
              <w:pStyle w:val="10"/>
              <w:spacing w:before="43" w:line="269" w:lineRule="exact"/>
              <w:ind w:left="204"/>
              <w:rPr>
                <w:color w:val="000000"/>
                <w:sz w:val="21"/>
              </w:rPr>
            </w:pPr>
            <w:r>
              <w:rPr>
                <w:rFonts w:hint="eastAsia"/>
                <w:color w:val="000000"/>
                <w:sz w:val="21"/>
              </w:rPr>
              <w:t>上年年</w:t>
            </w:r>
          </w:p>
          <w:p>
            <w:pPr>
              <w:pStyle w:val="10"/>
              <w:spacing w:before="43" w:line="269" w:lineRule="exact"/>
              <w:ind w:left="204"/>
              <w:rPr>
                <w:color w:val="000000"/>
                <w:sz w:val="21"/>
              </w:rPr>
            </w:pPr>
            <w:r>
              <w:rPr>
                <w:rFonts w:hint="eastAsia"/>
                <w:color w:val="000000"/>
                <w:sz w:val="21"/>
              </w:rPr>
              <w:t>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944" w:type="dxa"/>
            <w:noWrap w:val="0"/>
            <w:vAlign w:val="top"/>
          </w:tcPr>
          <w:p>
            <w:pPr>
              <w:pStyle w:val="10"/>
              <w:spacing w:before="22"/>
              <w:ind w:left="136"/>
              <w:rPr>
                <w:color w:val="000000"/>
                <w:sz w:val="21"/>
              </w:rPr>
            </w:pPr>
            <w:r>
              <w:rPr>
                <w:color w:val="000000"/>
                <w:sz w:val="21"/>
              </w:rPr>
              <w:t>资产：</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2"/>
              <w:ind w:left="99"/>
              <w:rPr>
                <w:color w:val="000000"/>
                <w:sz w:val="21"/>
              </w:rPr>
            </w:pPr>
            <w:r>
              <w:rPr>
                <w:color w:val="000000"/>
                <w:sz w:val="21"/>
              </w:rPr>
              <w:t>负债：</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rPr>
        <w:tc>
          <w:tcPr>
            <w:tcW w:w="2944" w:type="dxa"/>
            <w:noWrap w:val="0"/>
            <w:vAlign w:val="top"/>
          </w:tcPr>
          <w:p>
            <w:pPr>
              <w:pStyle w:val="10"/>
              <w:spacing w:before="1"/>
              <w:ind w:left="544"/>
              <w:rPr>
                <w:color w:val="000000"/>
                <w:sz w:val="21"/>
              </w:rPr>
            </w:pPr>
            <w:r>
              <w:rPr>
                <w:rFonts w:ascii="Times New Roman" w:eastAsia="Times New Roman"/>
                <w:color w:val="000000"/>
                <w:sz w:val="21"/>
              </w:rPr>
              <w:t>[</w:t>
            </w:r>
            <w:r>
              <w:rPr>
                <w:color w:val="000000"/>
                <w:sz w:val="21"/>
              </w:rPr>
              <w:t>现金及存放中央银行款</w:t>
            </w:r>
          </w:p>
          <w:p>
            <w:pPr>
              <w:pStyle w:val="10"/>
              <w:spacing w:before="4" w:line="250" w:lineRule="exact"/>
              <w:ind w:left="544"/>
              <w:rPr>
                <w:rFonts w:ascii="Times New Roman" w:eastAsia="Times New Roman"/>
                <w:color w:val="000000"/>
                <w:sz w:val="21"/>
              </w:rPr>
            </w:pPr>
            <w:r>
              <w:rPr>
                <w:color w:val="000000"/>
                <w:sz w:val="21"/>
              </w:rPr>
              <w:t>项</w:t>
            </w:r>
            <w:r>
              <w:rPr>
                <w:rFonts w:ascii="Times New Roman" w:eastAsia="Times New Roman"/>
                <w:color w:val="000000"/>
                <w:sz w:val="21"/>
              </w:rPr>
              <w:t>]</w:t>
            </w:r>
            <w:r>
              <w:rPr>
                <w:rFonts w:ascii="Times New Roman" w:eastAsia="Times New Roman"/>
                <w:color w:val="000000"/>
                <w:sz w:val="21"/>
                <w:vertAlign w:val="superscript"/>
              </w:rPr>
              <w:t>3</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137"/>
              <w:ind w:left="557"/>
              <w:rPr>
                <w:color w:val="000000"/>
                <w:sz w:val="21"/>
              </w:rPr>
            </w:pPr>
            <w:r>
              <w:rPr>
                <w:color w:val="000000"/>
                <w:sz w:val="21"/>
              </w:rPr>
              <w:t>短期借款</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2" w:hRule="atLeast"/>
        </w:trPr>
        <w:tc>
          <w:tcPr>
            <w:tcW w:w="2944" w:type="dxa"/>
            <w:noWrap w:val="0"/>
            <w:vAlign w:val="top"/>
          </w:tcPr>
          <w:p>
            <w:pPr>
              <w:pStyle w:val="10"/>
              <w:rPr>
                <w:color w:val="000000"/>
              </w:rPr>
            </w:pPr>
          </w:p>
          <w:p>
            <w:pPr>
              <w:pStyle w:val="10"/>
              <w:ind w:left="544"/>
              <w:rPr>
                <w:color w:val="000000"/>
                <w:sz w:val="21"/>
              </w:rPr>
            </w:pPr>
            <w:r>
              <w:rPr>
                <w:color w:val="000000"/>
                <w:sz w:val="21"/>
              </w:rPr>
              <w:t>货币资金</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rPr>
                <w:color w:val="000000"/>
              </w:rPr>
            </w:pPr>
          </w:p>
          <w:p>
            <w:pPr>
              <w:pStyle w:val="10"/>
              <w:ind w:left="557"/>
              <w:rPr>
                <w:rFonts w:ascii="Times New Roman" w:eastAsia="Times New Roman"/>
                <w:color w:val="000000"/>
                <w:sz w:val="21"/>
              </w:rPr>
            </w:pPr>
            <w:r>
              <w:rPr>
                <w:rFonts w:ascii="Times New Roman" w:eastAsia="Times New Roman"/>
                <w:color w:val="000000"/>
                <w:sz w:val="21"/>
              </w:rPr>
              <w:t>[</w:t>
            </w:r>
            <w:r>
              <w:rPr>
                <w:color w:val="000000"/>
                <w:sz w:val="21"/>
              </w:rPr>
              <w:t>向中央银行借款</w:t>
            </w:r>
            <w:r>
              <w:rPr>
                <w:rFonts w:ascii="Times New Roman" w:eastAsia="Times New Roman"/>
                <w:color w:val="000000"/>
                <w:sz w:val="21"/>
              </w:rPr>
              <w:t>]</w:t>
            </w:r>
            <w:r>
              <w:rPr>
                <w:rFonts w:ascii="Times New Roman" w:eastAsia="Times New Roman"/>
                <w:color w:val="000000"/>
                <w:sz w:val="21"/>
                <w:vertAlign w:val="superscript"/>
              </w:rPr>
              <w:t>3</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12"/>
              <w:ind w:left="650"/>
              <w:rPr>
                <w:color w:val="000000"/>
                <w:sz w:val="11"/>
              </w:rPr>
            </w:pPr>
            <w:r>
              <w:rPr>
                <w:color w:val="000000"/>
                <w:sz w:val="21"/>
              </w:rPr>
              <w:t>[其中：客户资金存款]</w:t>
            </w:r>
            <w:r>
              <w:rPr>
                <w:color w:val="000000"/>
                <w:position w:val="11"/>
                <w:sz w:val="11"/>
              </w:rPr>
              <w:t>1</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2"/>
              <w:ind w:left="557"/>
              <w:rPr>
                <w:rFonts w:ascii="Times New Roman" w:eastAsia="Times New Roman"/>
                <w:color w:val="000000"/>
                <w:sz w:val="21"/>
              </w:rPr>
            </w:pPr>
            <w:r>
              <w:rPr>
                <w:rFonts w:ascii="Times New Roman" w:eastAsia="Times New Roman"/>
                <w:color w:val="000000"/>
                <w:sz w:val="21"/>
              </w:rPr>
              <w:t>[</w:t>
            </w:r>
            <w:r>
              <w:rPr>
                <w:color w:val="000000"/>
                <w:sz w:val="21"/>
              </w:rPr>
              <w:t>应付短期融资款</w:t>
            </w:r>
            <w:r>
              <w:rPr>
                <w:rFonts w:ascii="Times New Roman" w:eastAsia="Times New Roman"/>
                <w:color w:val="000000"/>
                <w:sz w:val="21"/>
              </w:rPr>
              <w:t xml:space="preserve">] </w:t>
            </w:r>
            <w:r>
              <w:rPr>
                <w:rFonts w:ascii="Times New Roman" w:eastAsia="Times New Roman"/>
                <w:color w:val="000000"/>
                <w:sz w:val="21"/>
                <w:vertAlign w:val="superscript"/>
              </w:rPr>
              <w:t>1</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2" w:hRule="atLeast"/>
        </w:trPr>
        <w:tc>
          <w:tcPr>
            <w:tcW w:w="2944" w:type="dxa"/>
            <w:noWrap w:val="0"/>
            <w:vAlign w:val="top"/>
          </w:tcPr>
          <w:p>
            <w:pPr>
              <w:pStyle w:val="10"/>
              <w:spacing w:before="12"/>
              <w:rPr>
                <w:color w:val="000000"/>
                <w:sz w:val="21"/>
              </w:rPr>
            </w:pPr>
          </w:p>
          <w:p>
            <w:pPr>
              <w:pStyle w:val="10"/>
              <w:ind w:left="544"/>
              <w:rPr>
                <w:color w:val="000000"/>
                <w:sz w:val="21"/>
              </w:rPr>
            </w:pPr>
            <w:r>
              <w:rPr>
                <w:color w:val="000000"/>
                <w:sz w:val="21"/>
              </w:rPr>
              <w:t>结算备付金</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145" w:line="244" w:lineRule="auto"/>
              <w:ind w:left="557" w:right="101"/>
              <w:rPr>
                <w:rFonts w:ascii="Times New Roman" w:eastAsia="Times New Roman"/>
                <w:color w:val="000000"/>
                <w:sz w:val="21"/>
              </w:rPr>
            </w:pPr>
            <w:r>
              <w:rPr>
                <w:rFonts w:ascii="Times New Roman" w:eastAsia="Times New Roman"/>
                <w:color w:val="000000"/>
                <w:sz w:val="21"/>
              </w:rPr>
              <w:t>[</w:t>
            </w:r>
            <w:r>
              <w:rPr>
                <w:color w:val="000000"/>
                <w:sz w:val="21"/>
              </w:rPr>
              <w:t>同业及其他金融机构存放款项</w:t>
            </w:r>
            <w:r>
              <w:rPr>
                <w:rFonts w:ascii="Times New Roman" w:eastAsia="Times New Roman"/>
                <w:color w:val="000000"/>
                <w:sz w:val="21"/>
              </w:rPr>
              <w:t>]</w:t>
            </w:r>
            <w:r>
              <w:rPr>
                <w:rFonts w:ascii="Times New Roman" w:eastAsia="Times New Roman"/>
                <w:color w:val="000000"/>
                <w:sz w:val="21"/>
                <w:vertAlign w:val="superscript"/>
              </w:rPr>
              <w:t>3</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944" w:type="dxa"/>
            <w:noWrap w:val="0"/>
            <w:vAlign w:val="top"/>
          </w:tcPr>
          <w:p>
            <w:pPr>
              <w:pStyle w:val="10"/>
              <w:spacing w:before="12"/>
              <w:ind w:left="650"/>
              <w:rPr>
                <w:color w:val="000000"/>
                <w:sz w:val="11"/>
              </w:rPr>
            </w:pPr>
            <w:r>
              <w:rPr>
                <w:color w:val="000000"/>
                <w:sz w:val="21"/>
              </w:rPr>
              <w:t>[其中：客户备付金]</w:t>
            </w:r>
            <w:r>
              <w:rPr>
                <w:color w:val="000000"/>
                <w:position w:val="11"/>
                <w:sz w:val="11"/>
              </w:rPr>
              <w:t>1</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2"/>
              <w:ind w:left="557"/>
              <w:rPr>
                <w:color w:val="000000"/>
                <w:sz w:val="21"/>
              </w:rPr>
            </w:pPr>
            <w:r>
              <w:rPr>
                <w:color w:val="000000"/>
                <w:sz w:val="21"/>
              </w:rPr>
              <w:t>拆入资金</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9" w:hRule="atLeast"/>
        </w:trPr>
        <w:tc>
          <w:tcPr>
            <w:tcW w:w="2944" w:type="dxa"/>
            <w:noWrap w:val="0"/>
            <w:vAlign w:val="top"/>
          </w:tcPr>
          <w:p>
            <w:pPr>
              <w:pStyle w:val="10"/>
              <w:spacing w:before="10"/>
              <w:rPr>
                <w:color w:val="000000"/>
                <w:sz w:val="21"/>
              </w:rPr>
            </w:pPr>
          </w:p>
          <w:p>
            <w:pPr>
              <w:pStyle w:val="10"/>
              <w:ind w:left="544"/>
              <w:rPr>
                <w:rFonts w:ascii="Times New Roman" w:eastAsia="Times New Roman"/>
                <w:color w:val="000000"/>
                <w:sz w:val="21"/>
              </w:rPr>
            </w:pPr>
            <w:r>
              <w:rPr>
                <w:rFonts w:ascii="Times New Roman" w:eastAsia="Times New Roman"/>
                <w:color w:val="000000"/>
                <w:sz w:val="21"/>
              </w:rPr>
              <w:t>[</w:t>
            </w:r>
            <w:r>
              <w:rPr>
                <w:color w:val="000000"/>
                <w:sz w:val="21"/>
              </w:rPr>
              <w:t>存放同业款项</w:t>
            </w:r>
            <w:r>
              <w:rPr>
                <w:rFonts w:ascii="Times New Roman" w:eastAsia="Times New Roman"/>
                <w:color w:val="000000"/>
                <w:sz w:val="21"/>
              </w:rPr>
              <w:t>]</w:t>
            </w:r>
            <w:r>
              <w:rPr>
                <w:rFonts w:ascii="Times New Roman" w:eastAsia="Times New Roman"/>
                <w:color w:val="000000"/>
                <w:sz w:val="21"/>
                <w:vertAlign w:val="superscript"/>
              </w:rPr>
              <w:t>3</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10"/>
              <w:rPr>
                <w:color w:val="000000"/>
                <w:sz w:val="21"/>
              </w:rPr>
            </w:pPr>
          </w:p>
          <w:p>
            <w:pPr>
              <w:pStyle w:val="10"/>
              <w:ind w:left="557"/>
              <w:rPr>
                <w:color w:val="000000"/>
                <w:sz w:val="21"/>
              </w:rPr>
            </w:pPr>
            <w:r>
              <w:rPr>
                <w:color w:val="000000"/>
                <w:sz w:val="21"/>
              </w:rPr>
              <w:t>交易性金融负债</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trPr>
        <w:tc>
          <w:tcPr>
            <w:tcW w:w="2944" w:type="dxa"/>
            <w:noWrap w:val="0"/>
            <w:vAlign w:val="top"/>
          </w:tcPr>
          <w:p>
            <w:pPr>
              <w:pStyle w:val="10"/>
              <w:spacing w:before="22"/>
              <w:ind w:left="544"/>
              <w:rPr>
                <w:color w:val="000000"/>
                <w:sz w:val="21"/>
              </w:rPr>
            </w:pPr>
            <w:r>
              <w:rPr>
                <w:color w:val="000000"/>
                <w:sz w:val="21"/>
              </w:rPr>
              <w:t>贵金属</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2"/>
              <w:ind w:left="557"/>
              <w:rPr>
                <w:color w:val="000000"/>
                <w:sz w:val="21"/>
              </w:rPr>
            </w:pPr>
            <w:r>
              <w:rPr>
                <w:color w:val="000000"/>
                <w:sz w:val="21"/>
              </w:rPr>
              <w:t>衍生金融负债</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20"/>
              <w:ind w:left="544"/>
              <w:rPr>
                <w:color w:val="000000"/>
                <w:sz w:val="21"/>
              </w:rPr>
            </w:pPr>
            <w:r>
              <w:rPr>
                <w:color w:val="000000"/>
                <w:sz w:val="21"/>
              </w:rPr>
              <w:t>拆出资金</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0"/>
              <w:ind w:left="557"/>
              <w:rPr>
                <w:color w:val="000000"/>
                <w:sz w:val="21"/>
              </w:rPr>
            </w:pPr>
            <w:r>
              <w:rPr>
                <w:color w:val="000000"/>
                <w:sz w:val="21"/>
              </w:rPr>
              <w:t>卖出回购金融资产款</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20"/>
              <w:ind w:left="544"/>
              <w:rPr>
                <w:rFonts w:ascii="Times New Roman" w:eastAsia="Times New Roman"/>
                <w:color w:val="000000"/>
                <w:sz w:val="21"/>
              </w:rPr>
            </w:pPr>
            <w:r>
              <w:rPr>
                <w:rFonts w:ascii="Times New Roman" w:eastAsia="Times New Roman"/>
                <w:color w:val="000000"/>
                <w:sz w:val="21"/>
              </w:rPr>
              <w:t>[</w:t>
            </w:r>
            <w:r>
              <w:rPr>
                <w:color w:val="000000"/>
                <w:sz w:val="21"/>
              </w:rPr>
              <w:t>融出资金</w:t>
            </w:r>
            <w:r>
              <w:rPr>
                <w:rFonts w:ascii="Times New Roman" w:eastAsia="Times New Roman"/>
                <w:color w:val="000000"/>
                <w:sz w:val="21"/>
              </w:rPr>
              <w:t xml:space="preserve">] </w:t>
            </w:r>
            <w:r>
              <w:rPr>
                <w:rFonts w:ascii="Times New Roman" w:eastAsia="Times New Roman"/>
                <w:color w:val="000000"/>
                <w:sz w:val="21"/>
                <w:vertAlign w:val="superscript"/>
              </w:rPr>
              <w:t>1</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0"/>
              <w:ind w:left="557"/>
              <w:rPr>
                <w:rFonts w:ascii="Times New Roman" w:eastAsia="Times New Roman"/>
                <w:color w:val="000000"/>
                <w:sz w:val="21"/>
              </w:rPr>
            </w:pPr>
            <w:r>
              <w:rPr>
                <w:rFonts w:ascii="Times New Roman" w:eastAsia="Times New Roman"/>
                <w:color w:val="000000"/>
                <w:sz w:val="21"/>
              </w:rPr>
              <w:t>[</w:t>
            </w:r>
            <w:r>
              <w:rPr>
                <w:color w:val="000000"/>
                <w:sz w:val="21"/>
              </w:rPr>
              <w:t>吸收存款</w:t>
            </w:r>
            <w:r>
              <w:rPr>
                <w:rFonts w:ascii="Times New Roman" w:eastAsia="Times New Roman"/>
                <w:color w:val="000000"/>
                <w:sz w:val="21"/>
              </w:rPr>
              <w:t>]</w:t>
            </w:r>
            <w:r>
              <w:rPr>
                <w:rFonts w:ascii="Times New Roman" w:eastAsia="Times New Roman"/>
                <w:color w:val="000000"/>
                <w:sz w:val="21"/>
                <w:vertAlign w:val="superscript"/>
              </w:rPr>
              <w:t>3</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22"/>
              <w:ind w:left="544"/>
              <w:rPr>
                <w:color w:val="000000"/>
                <w:sz w:val="21"/>
              </w:rPr>
            </w:pPr>
            <w:r>
              <w:rPr>
                <w:color w:val="000000"/>
                <w:sz w:val="21"/>
              </w:rPr>
              <w:t>衍生金融资产</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2"/>
              <w:ind w:left="557"/>
              <w:rPr>
                <w:rFonts w:ascii="Times New Roman" w:eastAsia="Times New Roman"/>
                <w:color w:val="000000"/>
                <w:sz w:val="21"/>
              </w:rPr>
            </w:pPr>
            <w:r>
              <w:rPr>
                <w:rFonts w:ascii="Times New Roman" w:eastAsia="Times New Roman"/>
                <w:color w:val="000000"/>
                <w:sz w:val="21"/>
              </w:rPr>
              <w:t>[</w:t>
            </w:r>
            <w:r>
              <w:rPr>
                <w:color w:val="000000"/>
                <w:sz w:val="21"/>
              </w:rPr>
              <w:t>代理买卖证券款</w:t>
            </w:r>
            <w:r>
              <w:rPr>
                <w:rFonts w:ascii="Times New Roman" w:eastAsia="Times New Roman"/>
                <w:color w:val="000000"/>
                <w:sz w:val="21"/>
              </w:rPr>
              <w:t xml:space="preserve">] </w:t>
            </w:r>
            <w:r>
              <w:rPr>
                <w:rFonts w:ascii="Times New Roman" w:eastAsia="Times New Roman"/>
                <w:color w:val="000000"/>
                <w:sz w:val="21"/>
                <w:vertAlign w:val="superscript"/>
              </w:rPr>
              <w:t>1</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944" w:type="dxa"/>
            <w:noWrap w:val="0"/>
            <w:vAlign w:val="top"/>
          </w:tcPr>
          <w:p>
            <w:pPr>
              <w:pStyle w:val="10"/>
              <w:spacing w:before="22"/>
              <w:ind w:left="544"/>
              <w:rPr>
                <w:rFonts w:ascii="Times New Roman" w:eastAsia="Times New Roman"/>
                <w:color w:val="000000"/>
                <w:sz w:val="21"/>
              </w:rPr>
            </w:pPr>
            <w:r>
              <w:rPr>
                <w:rFonts w:ascii="Times New Roman" w:eastAsia="Times New Roman"/>
                <w:color w:val="000000"/>
                <w:sz w:val="21"/>
              </w:rPr>
              <w:t>[</w:t>
            </w:r>
            <w:r>
              <w:rPr>
                <w:color w:val="000000"/>
                <w:sz w:val="21"/>
              </w:rPr>
              <w:t>存出保证金</w:t>
            </w:r>
            <w:r>
              <w:rPr>
                <w:rFonts w:ascii="Times New Roman" w:eastAsia="Times New Roman"/>
                <w:color w:val="000000"/>
                <w:sz w:val="21"/>
              </w:rPr>
              <w:t xml:space="preserve">] </w:t>
            </w:r>
            <w:r>
              <w:rPr>
                <w:rFonts w:ascii="Times New Roman" w:eastAsia="Times New Roman"/>
                <w:color w:val="000000"/>
                <w:sz w:val="21"/>
                <w:vertAlign w:val="superscript"/>
              </w:rPr>
              <w:t>1</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2"/>
              <w:ind w:left="557"/>
              <w:rPr>
                <w:rFonts w:ascii="Times New Roman" w:eastAsia="Times New Roman"/>
                <w:color w:val="000000"/>
                <w:sz w:val="21"/>
              </w:rPr>
            </w:pPr>
            <w:r>
              <w:rPr>
                <w:rFonts w:ascii="Times New Roman" w:eastAsia="Times New Roman"/>
                <w:color w:val="000000"/>
                <w:sz w:val="21"/>
              </w:rPr>
              <w:t>[</w:t>
            </w:r>
            <w:r>
              <w:rPr>
                <w:color w:val="000000"/>
                <w:sz w:val="21"/>
              </w:rPr>
              <w:t>代理承销证券款</w:t>
            </w:r>
            <w:r>
              <w:rPr>
                <w:rFonts w:ascii="Times New Roman" w:eastAsia="Times New Roman"/>
                <w:color w:val="000000"/>
                <w:sz w:val="21"/>
              </w:rPr>
              <w:t xml:space="preserve">] </w:t>
            </w:r>
            <w:r>
              <w:rPr>
                <w:rFonts w:ascii="Times New Roman" w:eastAsia="Times New Roman"/>
                <w:color w:val="000000"/>
                <w:sz w:val="21"/>
                <w:vertAlign w:val="superscript"/>
              </w:rPr>
              <w:t>1</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20"/>
              <w:ind w:left="544"/>
              <w:rPr>
                <w:color w:val="000000"/>
                <w:sz w:val="21"/>
              </w:rPr>
            </w:pPr>
            <w:r>
              <w:rPr>
                <w:color w:val="000000"/>
                <w:sz w:val="21"/>
              </w:rPr>
              <w:t>应收款项</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0"/>
              <w:ind w:left="557"/>
              <w:rPr>
                <w:rFonts w:ascii="Times New Roman" w:eastAsia="Times New Roman"/>
                <w:color w:val="000000"/>
                <w:sz w:val="21"/>
              </w:rPr>
            </w:pPr>
            <w:r>
              <w:rPr>
                <w:rFonts w:ascii="Times New Roman" w:eastAsia="Times New Roman"/>
                <w:color w:val="000000"/>
                <w:sz w:val="21"/>
              </w:rPr>
              <w:t>[</w:t>
            </w:r>
            <w:r>
              <w:rPr>
                <w:color w:val="000000"/>
                <w:sz w:val="21"/>
              </w:rPr>
              <w:t>预收保费</w:t>
            </w:r>
            <w:r>
              <w:rPr>
                <w:rFonts w:ascii="Times New Roman" w:eastAsia="Times New Roman"/>
                <w:color w:val="000000"/>
                <w:sz w:val="21"/>
              </w:rPr>
              <w:t>]</w:t>
            </w:r>
            <w:r>
              <w:rPr>
                <w:rFonts w:ascii="Times New Roman" w:eastAsia="Times New Roman"/>
                <w:color w:val="000000"/>
                <w:sz w:val="21"/>
                <w:vertAlign w:val="superscript"/>
              </w:rPr>
              <w:t>2</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20"/>
              <w:ind w:left="544"/>
              <w:rPr>
                <w:color w:val="000000"/>
                <w:sz w:val="21"/>
              </w:rPr>
            </w:pPr>
            <w:r>
              <w:rPr>
                <w:color w:val="000000"/>
                <w:sz w:val="21"/>
              </w:rPr>
              <w:t>合同资产</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0"/>
              <w:ind w:left="557"/>
              <w:rPr>
                <w:rFonts w:ascii="Times New Roman" w:eastAsia="Times New Roman"/>
                <w:color w:val="000000"/>
                <w:sz w:val="21"/>
              </w:rPr>
            </w:pPr>
            <w:r>
              <w:rPr>
                <w:rFonts w:ascii="Times New Roman" w:eastAsia="Times New Roman"/>
                <w:color w:val="000000"/>
                <w:sz w:val="21"/>
              </w:rPr>
              <w:t>[</w:t>
            </w:r>
            <w:r>
              <w:rPr>
                <w:color w:val="000000"/>
                <w:sz w:val="21"/>
              </w:rPr>
              <w:t>应付手续费及佣金</w:t>
            </w:r>
            <w:r>
              <w:rPr>
                <w:rFonts w:ascii="Times New Roman" w:eastAsia="Times New Roman"/>
                <w:color w:val="000000"/>
                <w:sz w:val="21"/>
              </w:rPr>
              <w:t>]</w:t>
            </w:r>
            <w:r>
              <w:rPr>
                <w:rFonts w:ascii="Times New Roman" w:eastAsia="Times New Roman"/>
                <w:color w:val="000000"/>
                <w:sz w:val="21"/>
                <w:vertAlign w:val="superscript"/>
              </w:rPr>
              <w:t>2</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22"/>
              <w:ind w:left="544"/>
              <w:rPr>
                <w:rFonts w:ascii="Times New Roman" w:eastAsia="Times New Roman"/>
                <w:color w:val="000000"/>
                <w:sz w:val="21"/>
              </w:rPr>
            </w:pPr>
            <w:r>
              <w:rPr>
                <w:rFonts w:ascii="Times New Roman" w:eastAsia="Times New Roman"/>
                <w:color w:val="000000"/>
                <w:sz w:val="21"/>
              </w:rPr>
              <w:t>[</w:t>
            </w:r>
            <w:r>
              <w:rPr>
                <w:color w:val="000000"/>
                <w:sz w:val="21"/>
              </w:rPr>
              <w:t>应收保费</w:t>
            </w:r>
            <w:r>
              <w:rPr>
                <w:rFonts w:ascii="Times New Roman" w:eastAsia="Times New Roman"/>
                <w:color w:val="000000"/>
                <w:sz w:val="21"/>
              </w:rPr>
              <w:t>]</w:t>
            </w:r>
            <w:r>
              <w:rPr>
                <w:rFonts w:ascii="Times New Roman" w:eastAsia="Times New Roman"/>
                <w:color w:val="000000"/>
                <w:sz w:val="21"/>
                <w:vertAlign w:val="superscript"/>
              </w:rPr>
              <w:t>2</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2"/>
              <w:ind w:left="613"/>
              <w:rPr>
                <w:rFonts w:ascii="Times New Roman" w:eastAsia="Times New Roman"/>
                <w:color w:val="000000"/>
                <w:sz w:val="21"/>
              </w:rPr>
            </w:pPr>
            <w:r>
              <w:rPr>
                <w:rFonts w:ascii="Times New Roman" w:eastAsia="Times New Roman"/>
                <w:color w:val="000000"/>
                <w:sz w:val="21"/>
              </w:rPr>
              <w:t>[</w:t>
            </w:r>
            <w:r>
              <w:rPr>
                <w:color w:val="000000"/>
                <w:sz w:val="21"/>
              </w:rPr>
              <w:t>应付分保账款</w:t>
            </w:r>
            <w:r>
              <w:rPr>
                <w:rFonts w:ascii="Times New Roman" w:eastAsia="Times New Roman"/>
                <w:color w:val="000000"/>
                <w:sz w:val="21"/>
              </w:rPr>
              <w:t>]</w:t>
            </w:r>
            <w:r>
              <w:rPr>
                <w:rFonts w:ascii="Times New Roman" w:eastAsia="Times New Roman"/>
                <w:color w:val="000000"/>
                <w:sz w:val="21"/>
                <w:vertAlign w:val="superscript"/>
              </w:rPr>
              <w:t>2</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944" w:type="dxa"/>
            <w:noWrap w:val="0"/>
            <w:vAlign w:val="top"/>
          </w:tcPr>
          <w:p>
            <w:pPr>
              <w:pStyle w:val="10"/>
              <w:spacing w:before="22"/>
              <w:ind w:left="544"/>
              <w:rPr>
                <w:rFonts w:ascii="Times New Roman" w:eastAsia="Times New Roman"/>
                <w:color w:val="000000"/>
                <w:sz w:val="21"/>
              </w:rPr>
            </w:pPr>
            <w:r>
              <w:rPr>
                <w:rFonts w:ascii="Times New Roman" w:eastAsia="Times New Roman"/>
                <w:color w:val="000000"/>
                <w:sz w:val="21"/>
              </w:rPr>
              <w:t>[</w:t>
            </w:r>
            <w:r>
              <w:rPr>
                <w:color w:val="000000"/>
                <w:sz w:val="21"/>
              </w:rPr>
              <w:t>应收代位追偿款</w:t>
            </w:r>
            <w:r>
              <w:rPr>
                <w:rFonts w:ascii="Times New Roman" w:eastAsia="Times New Roman"/>
                <w:color w:val="000000"/>
                <w:sz w:val="21"/>
              </w:rPr>
              <w:t>]</w:t>
            </w:r>
            <w:r>
              <w:rPr>
                <w:rFonts w:ascii="Times New Roman" w:eastAsia="Times New Roman"/>
                <w:color w:val="000000"/>
                <w:sz w:val="21"/>
                <w:vertAlign w:val="superscript"/>
              </w:rPr>
              <w:t>2</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2"/>
              <w:ind w:left="557"/>
              <w:rPr>
                <w:color w:val="000000"/>
                <w:sz w:val="21"/>
              </w:rPr>
            </w:pPr>
            <w:r>
              <w:rPr>
                <w:color w:val="000000"/>
                <w:sz w:val="21"/>
              </w:rPr>
              <w:t>应付职工薪酬</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20"/>
              <w:ind w:left="544"/>
              <w:rPr>
                <w:rFonts w:ascii="Times New Roman" w:eastAsia="Times New Roman"/>
                <w:color w:val="000000"/>
                <w:sz w:val="21"/>
              </w:rPr>
            </w:pPr>
            <w:r>
              <w:rPr>
                <w:rFonts w:ascii="Times New Roman" w:eastAsia="Times New Roman"/>
                <w:color w:val="000000"/>
                <w:sz w:val="21"/>
              </w:rPr>
              <w:t>[</w:t>
            </w:r>
            <w:r>
              <w:rPr>
                <w:color w:val="000000"/>
                <w:sz w:val="21"/>
              </w:rPr>
              <w:t>应收分保账款</w:t>
            </w:r>
            <w:r>
              <w:rPr>
                <w:rFonts w:ascii="Times New Roman" w:eastAsia="Times New Roman"/>
                <w:color w:val="000000"/>
                <w:sz w:val="21"/>
              </w:rPr>
              <w:t>]</w:t>
            </w:r>
            <w:r>
              <w:rPr>
                <w:rFonts w:ascii="Times New Roman" w:eastAsia="Times New Roman"/>
                <w:color w:val="000000"/>
                <w:sz w:val="21"/>
                <w:vertAlign w:val="superscript"/>
              </w:rPr>
              <w:t>2</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0"/>
              <w:ind w:left="557"/>
              <w:rPr>
                <w:color w:val="000000"/>
                <w:sz w:val="21"/>
              </w:rPr>
            </w:pPr>
            <w:r>
              <w:rPr>
                <w:color w:val="000000"/>
                <w:sz w:val="21"/>
              </w:rPr>
              <w:t>应交税费</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rPr>
        <w:tc>
          <w:tcPr>
            <w:tcW w:w="2944" w:type="dxa"/>
            <w:noWrap w:val="0"/>
            <w:vAlign w:val="top"/>
          </w:tcPr>
          <w:p>
            <w:pPr>
              <w:pStyle w:val="10"/>
              <w:spacing w:before="1"/>
              <w:ind w:left="544"/>
              <w:rPr>
                <w:color w:val="000000"/>
                <w:sz w:val="21"/>
              </w:rPr>
            </w:pPr>
            <w:r>
              <w:rPr>
                <w:rFonts w:ascii="Times New Roman" w:eastAsia="Times New Roman"/>
                <w:color w:val="000000"/>
                <w:sz w:val="21"/>
              </w:rPr>
              <w:t>[</w:t>
            </w:r>
            <w:r>
              <w:rPr>
                <w:color w:val="000000"/>
                <w:sz w:val="21"/>
              </w:rPr>
              <w:t>应收分保未到期责任准</w:t>
            </w:r>
          </w:p>
          <w:p>
            <w:pPr>
              <w:pStyle w:val="10"/>
              <w:spacing w:before="5" w:line="250" w:lineRule="exact"/>
              <w:ind w:left="544"/>
              <w:rPr>
                <w:rFonts w:ascii="Times New Roman" w:eastAsia="Times New Roman"/>
                <w:color w:val="000000"/>
                <w:sz w:val="21"/>
              </w:rPr>
            </w:pPr>
            <w:r>
              <w:rPr>
                <w:color w:val="000000"/>
                <w:sz w:val="21"/>
              </w:rPr>
              <w:t>备金</w:t>
            </w:r>
            <w:r>
              <w:rPr>
                <w:rFonts w:ascii="Times New Roman" w:eastAsia="Times New Roman"/>
                <w:color w:val="000000"/>
                <w:sz w:val="21"/>
              </w:rPr>
              <w:t>]</w:t>
            </w:r>
            <w:r>
              <w:rPr>
                <w:rFonts w:ascii="Times New Roman" w:eastAsia="Times New Roman"/>
                <w:color w:val="000000"/>
                <w:sz w:val="21"/>
                <w:vertAlign w:val="superscript"/>
              </w:rPr>
              <w:t>2</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138"/>
              <w:ind w:left="557"/>
              <w:rPr>
                <w:color w:val="000000"/>
                <w:sz w:val="21"/>
              </w:rPr>
            </w:pPr>
            <w:r>
              <w:rPr>
                <w:color w:val="000000"/>
                <w:sz w:val="21"/>
              </w:rPr>
              <w:t>应付款项</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rPr>
        <w:tc>
          <w:tcPr>
            <w:tcW w:w="2944" w:type="dxa"/>
            <w:noWrap w:val="0"/>
            <w:vAlign w:val="top"/>
          </w:tcPr>
          <w:p>
            <w:pPr>
              <w:pStyle w:val="10"/>
              <w:spacing w:before="1"/>
              <w:ind w:left="544"/>
              <w:rPr>
                <w:color w:val="000000"/>
                <w:sz w:val="21"/>
              </w:rPr>
            </w:pPr>
            <w:r>
              <w:rPr>
                <w:rFonts w:ascii="Times New Roman" w:eastAsia="Times New Roman"/>
                <w:color w:val="000000"/>
                <w:sz w:val="21"/>
              </w:rPr>
              <w:t>[</w:t>
            </w:r>
            <w:r>
              <w:rPr>
                <w:color w:val="000000"/>
                <w:sz w:val="21"/>
              </w:rPr>
              <w:t>应收分保未决赔款准备</w:t>
            </w:r>
          </w:p>
          <w:p>
            <w:pPr>
              <w:pStyle w:val="10"/>
              <w:spacing w:before="4" w:line="250" w:lineRule="exact"/>
              <w:ind w:left="544"/>
              <w:rPr>
                <w:rFonts w:ascii="Times New Roman" w:eastAsia="Times New Roman"/>
                <w:color w:val="000000"/>
                <w:sz w:val="21"/>
              </w:rPr>
            </w:pPr>
            <w:r>
              <w:rPr>
                <w:color w:val="000000"/>
                <w:sz w:val="21"/>
              </w:rPr>
              <w:t>金</w:t>
            </w:r>
            <w:r>
              <w:rPr>
                <w:rFonts w:ascii="Times New Roman" w:eastAsia="Times New Roman"/>
                <w:color w:val="000000"/>
                <w:sz w:val="21"/>
              </w:rPr>
              <w:t>]</w:t>
            </w:r>
            <w:r>
              <w:rPr>
                <w:rFonts w:ascii="Times New Roman" w:eastAsia="Times New Roman"/>
                <w:color w:val="000000"/>
                <w:sz w:val="21"/>
                <w:vertAlign w:val="superscript"/>
              </w:rPr>
              <w:t>2</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137"/>
              <w:ind w:left="557"/>
              <w:rPr>
                <w:color w:val="000000"/>
                <w:sz w:val="21"/>
              </w:rPr>
            </w:pPr>
            <w:r>
              <w:rPr>
                <w:color w:val="000000"/>
                <w:sz w:val="21"/>
              </w:rPr>
              <w:t>合同负债</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trPr>
        <w:tc>
          <w:tcPr>
            <w:tcW w:w="2944" w:type="dxa"/>
            <w:noWrap w:val="0"/>
            <w:vAlign w:val="top"/>
          </w:tcPr>
          <w:p>
            <w:pPr>
              <w:pStyle w:val="10"/>
              <w:spacing w:before="2" w:line="270" w:lineRule="atLeast"/>
              <w:ind w:left="544" w:right="214"/>
              <w:rPr>
                <w:rFonts w:ascii="Times New Roman" w:eastAsia="Times New Roman"/>
                <w:color w:val="000000"/>
                <w:sz w:val="21"/>
              </w:rPr>
            </w:pPr>
            <w:r>
              <w:rPr>
                <w:rFonts w:ascii="Times New Roman" w:eastAsia="Times New Roman"/>
                <w:color w:val="000000"/>
                <w:sz w:val="21"/>
              </w:rPr>
              <w:t>[</w:t>
            </w:r>
            <w:r>
              <w:rPr>
                <w:color w:val="000000"/>
                <w:sz w:val="21"/>
              </w:rPr>
              <w:t>应收分保寿险责任准备金</w:t>
            </w:r>
            <w:r>
              <w:rPr>
                <w:rFonts w:ascii="Times New Roman" w:eastAsia="Times New Roman"/>
                <w:color w:val="000000"/>
                <w:sz w:val="21"/>
              </w:rPr>
              <w:t>]</w:t>
            </w:r>
            <w:r>
              <w:rPr>
                <w:rFonts w:ascii="Times New Roman" w:eastAsia="Times New Roman"/>
                <w:color w:val="000000"/>
                <w:sz w:val="21"/>
                <w:vertAlign w:val="superscript"/>
              </w:rPr>
              <w:t>2</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137"/>
              <w:ind w:left="557"/>
              <w:rPr>
                <w:color w:val="000000"/>
                <w:sz w:val="21"/>
              </w:rPr>
            </w:pPr>
            <w:r>
              <w:rPr>
                <w:color w:val="000000"/>
                <w:sz w:val="21"/>
              </w:rPr>
              <w:t>持有待售负债</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rPr>
        <w:tc>
          <w:tcPr>
            <w:tcW w:w="2944" w:type="dxa"/>
            <w:noWrap w:val="0"/>
            <w:vAlign w:val="top"/>
          </w:tcPr>
          <w:p>
            <w:pPr>
              <w:pStyle w:val="10"/>
              <w:spacing w:before="1"/>
              <w:ind w:left="544"/>
              <w:rPr>
                <w:color w:val="000000"/>
                <w:sz w:val="21"/>
              </w:rPr>
            </w:pPr>
            <w:r>
              <w:rPr>
                <w:rFonts w:ascii="Times New Roman" w:eastAsia="Times New Roman"/>
                <w:color w:val="000000"/>
                <w:sz w:val="21"/>
              </w:rPr>
              <w:t>[</w:t>
            </w:r>
            <w:r>
              <w:rPr>
                <w:color w:val="000000"/>
                <w:sz w:val="21"/>
              </w:rPr>
              <w:t>应收分保长期健康险责</w:t>
            </w:r>
          </w:p>
          <w:p>
            <w:pPr>
              <w:pStyle w:val="10"/>
              <w:spacing w:before="2" w:line="252" w:lineRule="exact"/>
              <w:ind w:left="544"/>
              <w:rPr>
                <w:rFonts w:ascii="Times New Roman" w:eastAsia="Times New Roman"/>
                <w:color w:val="000000"/>
                <w:sz w:val="21"/>
              </w:rPr>
            </w:pPr>
            <w:r>
              <w:rPr>
                <w:color w:val="000000"/>
                <w:sz w:val="21"/>
              </w:rPr>
              <w:t>任准备金</w:t>
            </w:r>
            <w:r>
              <w:rPr>
                <w:rFonts w:ascii="Times New Roman" w:eastAsia="Times New Roman"/>
                <w:color w:val="000000"/>
                <w:sz w:val="21"/>
              </w:rPr>
              <w:t>]</w:t>
            </w:r>
            <w:r>
              <w:rPr>
                <w:rFonts w:ascii="Times New Roman" w:eastAsia="Times New Roman"/>
                <w:color w:val="000000"/>
                <w:sz w:val="21"/>
                <w:vertAlign w:val="superscript"/>
              </w:rPr>
              <w:t>2</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137"/>
              <w:ind w:left="557"/>
              <w:rPr>
                <w:rFonts w:ascii="Times New Roman" w:eastAsia="Times New Roman"/>
                <w:color w:val="000000"/>
                <w:sz w:val="21"/>
              </w:rPr>
            </w:pPr>
            <w:r>
              <w:rPr>
                <w:rFonts w:ascii="Times New Roman" w:eastAsia="Times New Roman"/>
                <w:color w:val="000000"/>
                <w:sz w:val="21"/>
              </w:rPr>
              <w:t>[</w:t>
            </w:r>
            <w:r>
              <w:rPr>
                <w:color w:val="000000"/>
                <w:sz w:val="21"/>
              </w:rPr>
              <w:t>应付赔付款</w:t>
            </w:r>
            <w:r>
              <w:rPr>
                <w:rFonts w:ascii="Times New Roman" w:eastAsia="Times New Roman"/>
                <w:color w:val="000000"/>
                <w:sz w:val="21"/>
              </w:rPr>
              <w:t>]</w:t>
            </w:r>
            <w:r>
              <w:rPr>
                <w:rFonts w:ascii="Times New Roman" w:eastAsia="Times New Roman"/>
                <w:color w:val="000000"/>
                <w:sz w:val="21"/>
                <w:vertAlign w:val="superscript"/>
              </w:rPr>
              <w:t>2</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20"/>
              <w:ind w:left="544"/>
              <w:rPr>
                <w:rFonts w:ascii="Times New Roman" w:eastAsia="Times New Roman"/>
                <w:color w:val="000000"/>
                <w:sz w:val="21"/>
              </w:rPr>
            </w:pPr>
            <w:r>
              <w:rPr>
                <w:rFonts w:ascii="Times New Roman" w:eastAsia="Times New Roman"/>
                <w:color w:val="000000"/>
                <w:sz w:val="21"/>
              </w:rPr>
              <w:t>[</w:t>
            </w:r>
            <w:r>
              <w:rPr>
                <w:color w:val="000000"/>
                <w:sz w:val="21"/>
              </w:rPr>
              <w:t>保户质押贷款</w:t>
            </w:r>
            <w:r>
              <w:rPr>
                <w:rFonts w:ascii="Times New Roman" w:eastAsia="Times New Roman"/>
                <w:color w:val="000000"/>
                <w:sz w:val="21"/>
              </w:rPr>
              <w:t>]</w:t>
            </w:r>
            <w:r>
              <w:rPr>
                <w:rFonts w:ascii="Times New Roman" w:eastAsia="Times New Roman"/>
                <w:color w:val="000000"/>
                <w:sz w:val="21"/>
                <w:vertAlign w:val="superscript"/>
              </w:rPr>
              <w:t>2</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0"/>
              <w:ind w:left="557"/>
              <w:rPr>
                <w:rFonts w:ascii="Times New Roman" w:eastAsia="Times New Roman"/>
                <w:color w:val="000000"/>
                <w:sz w:val="21"/>
              </w:rPr>
            </w:pPr>
            <w:r>
              <w:rPr>
                <w:rFonts w:ascii="Times New Roman" w:eastAsia="Times New Roman"/>
                <w:color w:val="000000"/>
                <w:sz w:val="21"/>
              </w:rPr>
              <w:t>[</w:t>
            </w:r>
            <w:r>
              <w:rPr>
                <w:color w:val="000000"/>
                <w:sz w:val="21"/>
              </w:rPr>
              <w:t>应付保单红利</w:t>
            </w:r>
            <w:r>
              <w:rPr>
                <w:rFonts w:ascii="Times New Roman" w:eastAsia="Times New Roman"/>
                <w:color w:val="000000"/>
                <w:sz w:val="21"/>
              </w:rPr>
              <w:t>]</w:t>
            </w:r>
            <w:r>
              <w:rPr>
                <w:rFonts w:ascii="Times New Roman" w:eastAsia="Times New Roman"/>
                <w:color w:val="000000"/>
                <w:sz w:val="21"/>
                <w:vertAlign w:val="superscript"/>
              </w:rPr>
              <w:t>2</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20"/>
              <w:ind w:left="544"/>
              <w:rPr>
                <w:color w:val="000000"/>
                <w:sz w:val="21"/>
              </w:rPr>
            </w:pPr>
            <w:r>
              <w:rPr>
                <w:color w:val="000000"/>
                <w:sz w:val="21"/>
              </w:rPr>
              <w:t>买入返售金融资产</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0"/>
              <w:ind w:left="557"/>
              <w:rPr>
                <w:rFonts w:ascii="Times New Roman" w:eastAsia="Times New Roman"/>
                <w:color w:val="000000"/>
                <w:sz w:val="21"/>
              </w:rPr>
            </w:pPr>
            <w:r>
              <w:rPr>
                <w:rFonts w:ascii="Times New Roman" w:eastAsia="Times New Roman"/>
                <w:color w:val="000000"/>
                <w:sz w:val="21"/>
              </w:rPr>
              <w:t>[</w:t>
            </w:r>
            <w:r>
              <w:rPr>
                <w:color w:val="000000"/>
                <w:sz w:val="21"/>
              </w:rPr>
              <w:t>保户储金及投资款</w:t>
            </w:r>
            <w:r>
              <w:rPr>
                <w:rFonts w:ascii="Times New Roman" w:eastAsia="Times New Roman"/>
                <w:color w:val="000000"/>
                <w:sz w:val="21"/>
              </w:rPr>
              <w:t>]</w:t>
            </w:r>
            <w:r>
              <w:rPr>
                <w:rFonts w:ascii="Times New Roman" w:eastAsia="Times New Roman"/>
                <w:color w:val="000000"/>
                <w:sz w:val="21"/>
                <w:vertAlign w:val="superscript"/>
              </w:rPr>
              <w:t>2</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22"/>
              <w:ind w:left="544"/>
              <w:rPr>
                <w:color w:val="000000"/>
                <w:sz w:val="21"/>
              </w:rPr>
            </w:pPr>
            <w:r>
              <w:rPr>
                <w:color w:val="000000"/>
                <w:sz w:val="21"/>
              </w:rPr>
              <w:t>持有待售资产</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spacing w:before="22"/>
              <w:ind w:left="557"/>
              <w:rPr>
                <w:rFonts w:ascii="Times New Roman" w:eastAsia="Times New Roman"/>
                <w:color w:val="000000"/>
                <w:sz w:val="21"/>
              </w:rPr>
            </w:pPr>
            <w:r>
              <w:rPr>
                <w:rFonts w:ascii="Times New Roman" w:eastAsia="Times New Roman"/>
                <w:color w:val="000000"/>
                <w:sz w:val="21"/>
              </w:rPr>
              <w:t>[</w:t>
            </w:r>
            <w:r>
              <w:rPr>
                <w:color w:val="000000"/>
                <w:sz w:val="21"/>
              </w:rPr>
              <w:t>未到期责任准备金</w:t>
            </w:r>
            <w:r>
              <w:rPr>
                <w:rFonts w:ascii="Times New Roman" w:eastAsia="Times New Roman"/>
                <w:color w:val="000000"/>
                <w:sz w:val="21"/>
              </w:rPr>
              <w:t>]</w:t>
            </w:r>
            <w:r>
              <w:rPr>
                <w:rFonts w:ascii="Times New Roman" w:eastAsia="Times New Roman"/>
                <w:color w:val="000000"/>
                <w:sz w:val="21"/>
                <w:vertAlign w:val="superscript"/>
              </w:rPr>
              <w:t>2</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4" w:hRule="atLeast"/>
        </w:trPr>
        <w:tc>
          <w:tcPr>
            <w:tcW w:w="2944" w:type="dxa"/>
            <w:noWrap w:val="0"/>
            <w:vAlign w:val="top"/>
          </w:tcPr>
          <w:p>
            <w:pPr>
              <w:pStyle w:val="10"/>
              <w:rPr>
                <w:color w:val="000000"/>
              </w:rPr>
            </w:pPr>
          </w:p>
          <w:p>
            <w:pPr>
              <w:pStyle w:val="10"/>
              <w:ind w:left="544"/>
              <w:rPr>
                <w:rFonts w:ascii="Times New Roman" w:eastAsia="Times New Roman"/>
                <w:color w:val="000000"/>
                <w:sz w:val="21"/>
              </w:rPr>
            </w:pPr>
            <w:r>
              <w:rPr>
                <w:rFonts w:ascii="Times New Roman" w:eastAsia="Times New Roman"/>
                <w:color w:val="000000"/>
                <w:sz w:val="21"/>
              </w:rPr>
              <w:t>[</w:t>
            </w:r>
            <w:r>
              <w:rPr>
                <w:color w:val="000000"/>
                <w:sz w:val="21"/>
              </w:rPr>
              <w:t>发放贷款和垫款</w:t>
            </w:r>
            <w:r>
              <w:rPr>
                <w:rFonts w:ascii="Times New Roman" w:eastAsia="Times New Roman"/>
                <w:color w:val="000000"/>
                <w:sz w:val="21"/>
              </w:rPr>
              <w:t>]</w:t>
            </w:r>
            <w:r>
              <w:rPr>
                <w:rFonts w:ascii="Times New Roman" w:eastAsia="Times New Roman"/>
                <w:color w:val="000000"/>
                <w:sz w:val="21"/>
                <w:vertAlign w:val="superscript"/>
              </w:rPr>
              <w:t>3</w:t>
            </w:r>
          </w:p>
        </w:tc>
        <w:tc>
          <w:tcPr>
            <w:tcW w:w="852" w:type="dxa"/>
            <w:noWrap w:val="0"/>
            <w:vAlign w:val="top"/>
          </w:tcPr>
          <w:p>
            <w:pPr>
              <w:pStyle w:val="10"/>
              <w:rPr>
                <w:rFonts w:ascii="Times New Roman"/>
                <w:color w:val="000000"/>
                <w:sz w:val="20"/>
              </w:rPr>
            </w:pPr>
          </w:p>
        </w:tc>
        <w:tc>
          <w:tcPr>
            <w:tcW w:w="742" w:type="dxa"/>
            <w:noWrap w:val="0"/>
            <w:vAlign w:val="top"/>
          </w:tcPr>
          <w:p>
            <w:pPr>
              <w:pStyle w:val="10"/>
              <w:rPr>
                <w:rFonts w:ascii="Times New Roman"/>
                <w:color w:val="000000"/>
                <w:sz w:val="20"/>
              </w:rPr>
            </w:pPr>
          </w:p>
        </w:tc>
        <w:tc>
          <w:tcPr>
            <w:tcW w:w="2866" w:type="dxa"/>
            <w:noWrap w:val="0"/>
            <w:vAlign w:val="top"/>
          </w:tcPr>
          <w:p>
            <w:pPr>
              <w:pStyle w:val="10"/>
              <w:rPr>
                <w:color w:val="000000"/>
              </w:rPr>
            </w:pPr>
          </w:p>
          <w:p>
            <w:pPr>
              <w:pStyle w:val="10"/>
              <w:ind w:left="557"/>
              <w:rPr>
                <w:rFonts w:ascii="Times New Roman" w:eastAsia="Times New Roman"/>
                <w:color w:val="000000"/>
                <w:sz w:val="21"/>
              </w:rPr>
            </w:pPr>
            <w:r>
              <w:rPr>
                <w:rFonts w:ascii="Times New Roman" w:eastAsia="Times New Roman"/>
                <w:color w:val="000000"/>
                <w:sz w:val="21"/>
              </w:rPr>
              <w:t>[</w:t>
            </w:r>
            <w:r>
              <w:rPr>
                <w:color w:val="000000"/>
                <w:sz w:val="21"/>
              </w:rPr>
              <w:t>未决赔款准备金</w:t>
            </w:r>
            <w:r>
              <w:rPr>
                <w:rFonts w:ascii="Times New Roman" w:eastAsia="Times New Roman"/>
                <w:color w:val="000000"/>
                <w:sz w:val="21"/>
              </w:rPr>
              <w:t>]</w:t>
            </w:r>
            <w:r>
              <w:rPr>
                <w:rFonts w:ascii="Times New Roman" w:eastAsia="Times New Roman"/>
                <w:color w:val="000000"/>
                <w:sz w:val="21"/>
                <w:vertAlign w:val="superscript"/>
              </w:rPr>
              <w:t>2</w:t>
            </w:r>
          </w:p>
        </w:tc>
        <w:tc>
          <w:tcPr>
            <w:tcW w:w="901" w:type="dxa"/>
            <w:noWrap w:val="0"/>
            <w:vAlign w:val="top"/>
          </w:tcPr>
          <w:p>
            <w:pPr>
              <w:pStyle w:val="10"/>
              <w:rPr>
                <w:rFonts w:ascii="Times New Roman"/>
                <w:color w:val="000000"/>
                <w:sz w:val="20"/>
              </w:rPr>
            </w:pPr>
          </w:p>
        </w:tc>
        <w:tc>
          <w:tcPr>
            <w:tcW w:w="900" w:type="dxa"/>
            <w:noWrap w:val="0"/>
            <w:vAlign w:val="top"/>
          </w:tcPr>
          <w:p>
            <w:pPr>
              <w:pStyle w:val="10"/>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4" w:hRule="atLeast"/>
        </w:trPr>
        <w:tc>
          <w:tcPr>
            <w:tcW w:w="2944" w:type="dxa"/>
            <w:noWrap w:val="0"/>
            <w:vAlign w:val="top"/>
          </w:tcPr>
          <w:p>
            <w:pPr>
              <w:pStyle w:val="10"/>
              <w:spacing w:before="2"/>
              <w:rPr>
                <w:color w:val="000000"/>
                <w:sz w:val="23"/>
              </w:rPr>
            </w:pPr>
          </w:p>
          <w:p>
            <w:pPr>
              <w:pStyle w:val="10"/>
              <w:spacing w:before="1"/>
              <w:ind w:left="544"/>
              <w:rPr>
                <w:color w:val="000000"/>
                <w:sz w:val="21"/>
              </w:rPr>
            </w:pPr>
            <w:r>
              <w:rPr>
                <w:color w:val="000000"/>
                <w:sz w:val="21"/>
              </w:rPr>
              <w:t>金融投资：</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2"/>
              <w:rPr>
                <w:color w:val="000000"/>
                <w:sz w:val="23"/>
              </w:rPr>
            </w:pPr>
          </w:p>
          <w:p>
            <w:pPr>
              <w:pStyle w:val="10"/>
              <w:spacing w:before="1"/>
              <w:ind w:left="557"/>
              <w:rPr>
                <w:rFonts w:ascii="Times New Roman" w:eastAsia="Times New Roman"/>
                <w:color w:val="000000"/>
                <w:sz w:val="21"/>
              </w:rPr>
            </w:pPr>
            <w:r>
              <w:rPr>
                <w:rFonts w:ascii="Times New Roman" w:eastAsia="Times New Roman"/>
                <w:color w:val="000000"/>
                <w:sz w:val="21"/>
              </w:rPr>
              <w:t>[</w:t>
            </w:r>
            <w:r>
              <w:rPr>
                <w:color w:val="000000"/>
                <w:sz w:val="21"/>
              </w:rPr>
              <w:t>寿险责任准备金</w:t>
            </w:r>
            <w:r>
              <w:rPr>
                <w:rFonts w:ascii="Times New Roman" w:eastAsia="Times New Roman"/>
                <w:color w:val="000000"/>
                <w:sz w:val="21"/>
              </w:rPr>
              <w:t>]</w:t>
            </w:r>
            <w:r>
              <w:rPr>
                <w:rFonts w:ascii="Times New Roman" w:eastAsia="Times New Roman"/>
                <w:color w:val="000000"/>
                <w:sz w:val="21"/>
                <w:vertAlign w:val="superscript"/>
              </w:rPr>
              <w:t>2</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rPr>
        <w:tc>
          <w:tcPr>
            <w:tcW w:w="2944" w:type="dxa"/>
            <w:noWrap w:val="0"/>
            <w:vAlign w:val="top"/>
          </w:tcPr>
          <w:p>
            <w:pPr>
              <w:pStyle w:val="10"/>
              <w:spacing w:before="151"/>
              <w:ind w:left="827"/>
              <w:rPr>
                <w:color w:val="000000"/>
                <w:sz w:val="21"/>
              </w:rPr>
            </w:pPr>
            <w:r>
              <w:rPr>
                <w:color w:val="000000"/>
                <w:sz w:val="21"/>
              </w:rPr>
              <w:t>交易性金融资产</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13" w:line="270" w:lineRule="atLeast"/>
              <w:ind w:left="557" w:right="310"/>
              <w:rPr>
                <w:rFonts w:ascii="Times New Roman" w:eastAsia="Times New Roman"/>
                <w:color w:val="000000"/>
                <w:sz w:val="21"/>
              </w:rPr>
            </w:pPr>
            <w:r>
              <w:rPr>
                <w:rFonts w:ascii="Times New Roman" w:eastAsia="Times New Roman"/>
                <w:color w:val="000000"/>
                <w:sz w:val="21"/>
              </w:rPr>
              <w:t>[</w:t>
            </w:r>
            <w:r>
              <w:rPr>
                <w:color w:val="000000"/>
                <w:sz w:val="21"/>
              </w:rPr>
              <w:t>长期健康险责任准备金</w:t>
            </w:r>
            <w:r>
              <w:rPr>
                <w:rFonts w:ascii="Times New Roman" w:eastAsia="Times New Roman"/>
                <w:color w:val="000000"/>
                <w:sz w:val="21"/>
              </w:rPr>
              <w:t>]</w:t>
            </w:r>
            <w:r>
              <w:rPr>
                <w:rFonts w:ascii="Times New Roman" w:eastAsia="Times New Roman"/>
                <w:color w:val="000000"/>
                <w:sz w:val="21"/>
                <w:vertAlign w:val="superscript"/>
              </w:rPr>
              <w:t>2</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trPr>
        <w:tc>
          <w:tcPr>
            <w:tcW w:w="2944" w:type="dxa"/>
            <w:noWrap w:val="0"/>
            <w:vAlign w:val="top"/>
          </w:tcPr>
          <w:p>
            <w:pPr>
              <w:pStyle w:val="10"/>
              <w:spacing w:before="73"/>
              <w:ind w:left="827"/>
              <w:rPr>
                <w:color w:val="000000"/>
                <w:sz w:val="21"/>
              </w:rPr>
            </w:pPr>
            <w:r>
              <w:rPr>
                <w:color w:val="000000"/>
                <w:sz w:val="21"/>
              </w:rPr>
              <w:t>债权投资</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73"/>
              <w:ind w:left="557"/>
              <w:rPr>
                <w:color w:val="000000"/>
                <w:sz w:val="21"/>
              </w:rPr>
            </w:pPr>
            <w:r>
              <w:rPr>
                <w:color w:val="000000"/>
                <w:sz w:val="21"/>
              </w:rPr>
              <w:t>预计负债</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944" w:type="dxa"/>
            <w:noWrap w:val="0"/>
            <w:vAlign w:val="top"/>
          </w:tcPr>
          <w:p>
            <w:pPr>
              <w:pStyle w:val="10"/>
              <w:spacing w:before="55" w:line="238" w:lineRule="exact"/>
              <w:ind w:left="827"/>
              <w:rPr>
                <w:color w:val="000000"/>
                <w:sz w:val="21"/>
              </w:rPr>
            </w:pPr>
            <w:r>
              <w:rPr>
                <w:color w:val="000000"/>
                <w:sz w:val="21"/>
              </w:rPr>
              <w:t>其他债权投资</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6" w:line="258" w:lineRule="exact"/>
              <w:ind w:left="557"/>
              <w:rPr>
                <w:color w:val="000000"/>
                <w:sz w:val="21"/>
              </w:rPr>
            </w:pPr>
            <w:r>
              <w:rPr>
                <w:color w:val="000000"/>
                <w:sz w:val="21"/>
              </w:rPr>
              <w:t>长期借款</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53" w:line="238" w:lineRule="exact"/>
              <w:ind w:left="825"/>
              <w:rPr>
                <w:color w:val="000000"/>
                <w:sz w:val="21"/>
              </w:rPr>
            </w:pPr>
            <w:r>
              <w:rPr>
                <w:color w:val="000000"/>
                <w:sz w:val="21"/>
              </w:rPr>
              <w:t>其他权益工具投资</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3" w:line="258" w:lineRule="exact"/>
              <w:ind w:left="557"/>
              <w:rPr>
                <w:color w:val="000000"/>
                <w:sz w:val="21"/>
              </w:rPr>
            </w:pPr>
            <w:r>
              <w:rPr>
                <w:color w:val="000000"/>
                <w:sz w:val="21"/>
              </w:rPr>
              <w:t>应付债券</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2944" w:type="dxa"/>
            <w:noWrap w:val="0"/>
            <w:vAlign w:val="top"/>
          </w:tcPr>
          <w:p>
            <w:pPr>
              <w:pStyle w:val="10"/>
              <w:spacing w:before="34" w:line="258" w:lineRule="exact"/>
              <w:ind w:left="544"/>
              <w:rPr>
                <w:color w:val="000000"/>
                <w:sz w:val="21"/>
              </w:rPr>
            </w:pPr>
            <w:r>
              <w:rPr>
                <w:color w:val="000000"/>
                <w:sz w:val="21"/>
              </w:rPr>
              <w:t>长期股权投资</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4" w:line="258" w:lineRule="exact"/>
              <w:ind w:left="769"/>
              <w:rPr>
                <w:color w:val="000000"/>
                <w:sz w:val="21"/>
              </w:rPr>
            </w:pPr>
            <w:r>
              <w:rPr>
                <w:color w:val="000000"/>
                <w:sz w:val="21"/>
              </w:rPr>
              <w:t>其中：优先股</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36" w:line="255" w:lineRule="exact"/>
              <w:ind w:left="544"/>
              <w:rPr>
                <w:rFonts w:ascii="Times New Roman" w:eastAsia="Times New Roman"/>
                <w:color w:val="000000"/>
                <w:sz w:val="21"/>
              </w:rPr>
            </w:pPr>
            <w:r>
              <w:rPr>
                <w:rFonts w:ascii="Times New Roman" w:eastAsia="Times New Roman"/>
                <w:color w:val="000000"/>
                <w:sz w:val="21"/>
              </w:rPr>
              <w:t>[</w:t>
            </w:r>
            <w:r>
              <w:rPr>
                <w:color w:val="000000"/>
                <w:sz w:val="21"/>
              </w:rPr>
              <w:t>存出资本保证金</w:t>
            </w:r>
            <w:r>
              <w:rPr>
                <w:rFonts w:ascii="Times New Roman" w:eastAsia="Times New Roman"/>
                <w:color w:val="000000"/>
                <w:sz w:val="21"/>
              </w:rPr>
              <w:t>]</w:t>
            </w:r>
            <w:r>
              <w:rPr>
                <w:rFonts w:ascii="Times New Roman" w:eastAsia="Times New Roman"/>
                <w:color w:val="000000"/>
                <w:sz w:val="21"/>
                <w:vertAlign w:val="superscript"/>
              </w:rPr>
              <w:t>2</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6" w:line="255" w:lineRule="exact"/>
              <w:ind w:left="1400"/>
              <w:rPr>
                <w:color w:val="000000"/>
                <w:sz w:val="21"/>
              </w:rPr>
            </w:pPr>
            <w:r>
              <w:rPr>
                <w:color w:val="000000"/>
                <w:sz w:val="21"/>
              </w:rPr>
              <w:t>永续债</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944" w:type="dxa"/>
            <w:noWrap w:val="0"/>
            <w:vAlign w:val="top"/>
          </w:tcPr>
          <w:p>
            <w:pPr>
              <w:pStyle w:val="10"/>
              <w:spacing w:before="36" w:line="258" w:lineRule="exact"/>
              <w:ind w:left="544"/>
              <w:rPr>
                <w:color w:val="000000"/>
                <w:sz w:val="21"/>
              </w:rPr>
            </w:pPr>
            <w:r>
              <w:rPr>
                <w:color w:val="000000"/>
                <w:sz w:val="21"/>
              </w:rPr>
              <w:t>投资性房地产</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6" w:line="258" w:lineRule="exact"/>
              <w:ind w:left="557"/>
              <w:rPr>
                <w:rFonts w:ascii="Times New Roman" w:eastAsia="Times New Roman"/>
                <w:color w:val="000000"/>
                <w:sz w:val="21"/>
              </w:rPr>
            </w:pPr>
            <w:r>
              <w:rPr>
                <w:rFonts w:ascii="Times New Roman" w:eastAsia="Times New Roman"/>
                <w:color w:val="000000"/>
                <w:sz w:val="21"/>
              </w:rPr>
              <w:t>[</w:t>
            </w:r>
            <w:r>
              <w:rPr>
                <w:color w:val="000000"/>
                <w:sz w:val="21"/>
              </w:rPr>
              <w:t>独立账户负债</w:t>
            </w:r>
            <w:r>
              <w:rPr>
                <w:rFonts w:ascii="Times New Roman" w:eastAsia="Times New Roman"/>
                <w:color w:val="000000"/>
                <w:sz w:val="21"/>
              </w:rPr>
              <w:t>]</w:t>
            </w:r>
            <w:r>
              <w:rPr>
                <w:rFonts w:ascii="Times New Roman" w:eastAsia="Times New Roman"/>
                <w:color w:val="000000"/>
                <w:sz w:val="21"/>
                <w:vertAlign w:val="superscript"/>
              </w:rPr>
              <w:t>2</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33" w:line="258" w:lineRule="exact"/>
              <w:ind w:left="544"/>
              <w:rPr>
                <w:color w:val="000000"/>
                <w:sz w:val="21"/>
              </w:rPr>
            </w:pPr>
            <w:r>
              <w:rPr>
                <w:color w:val="000000"/>
                <w:sz w:val="21"/>
              </w:rPr>
              <w:t>固定资产</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3" w:line="258" w:lineRule="exact"/>
              <w:ind w:left="557"/>
              <w:rPr>
                <w:color w:val="000000"/>
                <w:sz w:val="21"/>
              </w:rPr>
            </w:pPr>
            <w:r>
              <w:rPr>
                <w:color w:val="000000"/>
                <w:sz w:val="21"/>
              </w:rPr>
              <w:t>递延所得税负债</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33" w:line="258" w:lineRule="exact"/>
              <w:ind w:left="544"/>
              <w:rPr>
                <w:color w:val="000000"/>
                <w:sz w:val="21"/>
              </w:rPr>
            </w:pPr>
            <w:r>
              <w:rPr>
                <w:color w:val="000000"/>
                <w:sz w:val="21"/>
              </w:rPr>
              <w:t>在建工程</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3" w:line="258" w:lineRule="exact"/>
              <w:ind w:left="557"/>
              <w:rPr>
                <w:color w:val="000000"/>
                <w:sz w:val="21"/>
              </w:rPr>
            </w:pPr>
            <w:r>
              <w:rPr>
                <w:color w:val="000000"/>
                <w:sz w:val="21"/>
              </w:rPr>
              <w:t>其他负债</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36" w:line="255" w:lineRule="exact"/>
              <w:ind w:left="544"/>
              <w:rPr>
                <w:color w:val="000000"/>
                <w:sz w:val="21"/>
              </w:rPr>
            </w:pPr>
            <w:r>
              <w:rPr>
                <w:color w:val="000000"/>
                <w:sz w:val="21"/>
              </w:rPr>
              <w:t>无形资产</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6" w:line="255" w:lineRule="exact"/>
              <w:ind w:left="836"/>
              <w:rPr>
                <w:color w:val="000000"/>
                <w:sz w:val="21"/>
              </w:rPr>
            </w:pPr>
            <w:r>
              <w:rPr>
                <w:color w:val="000000"/>
                <w:sz w:val="21"/>
              </w:rPr>
              <w:t>负债合计</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944" w:type="dxa"/>
            <w:noWrap w:val="0"/>
            <w:vAlign w:val="top"/>
          </w:tcPr>
          <w:p>
            <w:pPr>
              <w:pStyle w:val="10"/>
              <w:spacing w:before="36" w:line="258" w:lineRule="exact"/>
              <w:ind w:left="544"/>
              <w:rPr>
                <w:rFonts w:ascii="Times New Roman" w:eastAsia="Times New Roman"/>
                <w:color w:val="000000"/>
                <w:sz w:val="21"/>
              </w:rPr>
            </w:pPr>
            <w:r>
              <w:rPr>
                <w:rFonts w:ascii="Times New Roman" w:eastAsia="Times New Roman"/>
                <w:color w:val="000000"/>
                <w:sz w:val="21"/>
              </w:rPr>
              <w:t>[</w:t>
            </w:r>
            <w:r>
              <w:rPr>
                <w:color w:val="000000"/>
                <w:sz w:val="21"/>
              </w:rPr>
              <w:t>独立账户资产</w:t>
            </w:r>
            <w:r>
              <w:rPr>
                <w:rFonts w:ascii="Times New Roman" w:eastAsia="Times New Roman"/>
                <w:color w:val="000000"/>
                <w:sz w:val="21"/>
              </w:rPr>
              <w:t>]</w:t>
            </w:r>
            <w:r>
              <w:rPr>
                <w:rFonts w:ascii="Times New Roman" w:eastAsia="Times New Roman"/>
                <w:color w:val="000000"/>
                <w:sz w:val="21"/>
                <w:vertAlign w:val="superscript"/>
              </w:rPr>
              <w:t>2</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6" w:line="258" w:lineRule="exact"/>
              <w:ind w:left="99"/>
              <w:rPr>
                <w:color w:val="000000"/>
                <w:sz w:val="21"/>
              </w:rPr>
            </w:pPr>
            <w:r>
              <w:rPr>
                <w:color w:val="000000"/>
                <w:spacing w:val="-22"/>
                <w:sz w:val="21"/>
              </w:rPr>
              <w:t>所有者权益（或股东权益</w:t>
            </w:r>
            <w:r>
              <w:rPr>
                <w:color w:val="000000"/>
                <w:spacing w:val="-116"/>
                <w:sz w:val="21"/>
              </w:rPr>
              <w:t>）</w:t>
            </w:r>
            <w:r>
              <w:rPr>
                <w:color w:val="000000"/>
                <w:sz w:val="21"/>
              </w:rPr>
              <w:t>：</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33" w:line="258" w:lineRule="exact"/>
              <w:ind w:left="544"/>
              <w:rPr>
                <w:color w:val="000000"/>
                <w:sz w:val="21"/>
              </w:rPr>
            </w:pPr>
            <w:r>
              <w:rPr>
                <w:color w:val="000000"/>
                <w:sz w:val="21"/>
              </w:rPr>
              <w:t>递延所得税资产</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3" w:line="258" w:lineRule="exact"/>
              <w:ind w:left="557"/>
              <w:rPr>
                <w:color w:val="000000"/>
                <w:sz w:val="21"/>
              </w:rPr>
            </w:pPr>
            <w:r>
              <w:rPr>
                <w:color w:val="000000"/>
                <w:sz w:val="21"/>
              </w:rPr>
              <w:t>实收资本（或股本）</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spacing w:before="33" w:line="258" w:lineRule="exact"/>
              <w:ind w:left="544"/>
              <w:rPr>
                <w:color w:val="000000"/>
                <w:sz w:val="21"/>
              </w:rPr>
            </w:pPr>
            <w:r>
              <w:rPr>
                <w:color w:val="000000"/>
                <w:sz w:val="21"/>
              </w:rPr>
              <w:t>其他资产</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3" w:line="258" w:lineRule="exact"/>
              <w:ind w:left="557"/>
              <w:rPr>
                <w:color w:val="000000"/>
                <w:sz w:val="21"/>
              </w:rPr>
            </w:pPr>
            <w:r>
              <w:rPr>
                <w:color w:val="000000"/>
                <w:sz w:val="21"/>
              </w:rPr>
              <w:t>其他权益工具</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rPr>
                <w:rFonts w:ascii="Times New Roman"/>
                <w:color w:val="000000"/>
              </w:rPr>
            </w:pP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6" w:line="255" w:lineRule="exact"/>
              <w:ind w:left="769"/>
              <w:rPr>
                <w:color w:val="000000"/>
                <w:sz w:val="21"/>
              </w:rPr>
            </w:pPr>
            <w:r>
              <w:rPr>
                <w:color w:val="000000"/>
                <w:sz w:val="21"/>
              </w:rPr>
              <w:t>其中：优先股</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trPr>
        <w:tc>
          <w:tcPr>
            <w:tcW w:w="2944" w:type="dxa"/>
            <w:noWrap w:val="0"/>
            <w:vAlign w:val="top"/>
          </w:tcPr>
          <w:p>
            <w:pPr>
              <w:pStyle w:val="10"/>
              <w:rPr>
                <w:rFonts w:ascii="Times New Roman"/>
                <w:color w:val="000000"/>
              </w:rPr>
            </w:pP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6" w:line="258" w:lineRule="exact"/>
              <w:ind w:left="1400"/>
              <w:rPr>
                <w:color w:val="000000"/>
                <w:sz w:val="21"/>
              </w:rPr>
            </w:pPr>
            <w:r>
              <w:rPr>
                <w:color w:val="000000"/>
                <w:sz w:val="21"/>
              </w:rPr>
              <w:t>永续债</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rPr>
                <w:rFonts w:ascii="Times New Roman"/>
                <w:color w:val="000000"/>
              </w:rPr>
            </w:pP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3" w:line="258" w:lineRule="exact"/>
              <w:ind w:left="557"/>
              <w:rPr>
                <w:color w:val="000000"/>
                <w:sz w:val="21"/>
              </w:rPr>
            </w:pPr>
            <w:r>
              <w:rPr>
                <w:color w:val="000000"/>
                <w:sz w:val="21"/>
              </w:rPr>
              <w:t>资本公积</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rPr>
                <w:rFonts w:ascii="Times New Roman"/>
                <w:color w:val="000000"/>
              </w:rPr>
            </w:pP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3" w:line="258" w:lineRule="exact"/>
              <w:ind w:left="557"/>
              <w:rPr>
                <w:color w:val="000000"/>
                <w:sz w:val="21"/>
              </w:rPr>
            </w:pPr>
            <w:r>
              <w:rPr>
                <w:color w:val="000000"/>
                <w:sz w:val="21"/>
              </w:rPr>
              <w:t>减：库存股</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rPr>
                <w:rFonts w:ascii="Times New Roman"/>
                <w:color w:val="000000"/>
              </w:rPr>
            </w:pP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6" w:line="255" w:lineRule="exact"/>
              <w:ind w:left="557"/>
              <w:rPr>
                <w:color w:val="000000"/>
                <w:sz w:val="21"/>
              </w:rPr>
            </w:pPr>
            <w:r>
              <w:rPr>
                <w:color w:val="000000"/>
                <w:sz w:val="21"/>
              </w:rPr>
              <w:t>其他综合收益</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944" w:type="dxa"/>
            <w:noWrap w:val="0"/>
            <w:vAlign w:val="top"/>
          </w:tcPr>
          <w:p>
            <w:pPr>
              <w:pStyle w:val="10"/>
              <w:rPr>
                <w:rFonts w:ascii="Times New Roman"/>
                <w:color w:val="000000"/>
              </w:rPr>
            </w:pP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6" w:line="258" w:lineRule="exact"/>
              <w:ind w:left="557"/>
              <w:rPr>
                <w:color w:val="000000"/>
                <w:sz w:val="21"/>
              </w:rPr>
            </w:pPr>
            <w:r>
              <w:rPr>
                <w:color w:val="000000"/>
                <w:sz w:val="21"/>
              </w:rPr>
              <w:t>盈余公积</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rPr>
                <w:rFonts w:ascii="Times New Roman"/>
                <w:color w:val="000000"/>
              </w:rPr>
            </w:pP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3" w:line="258" w:lineRule="exact"/>
              <w:ind w:left="557"/>
              <w:rPr>
                <w:color w:val="000000"/>
                <w:sz w:val="21"/>
              </w:rPr>
            </w:pPr>
            <w:r>
              <w:rPr>
                <w:color w:val="000000"/>
                <w:sz w:val="21"/>
              </w:rPr>
              <w:t>一般风险准备</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rPr>
                <w:rFonts w:ascii="Times New Roman"/>
                <w:color w:val="000000"/>
              </w:rPr>
            </w:pP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3" w:line="258" w:lineRule="exact"/>
              <w:ind w:left="557"/>
              <w:rPr>
                <w:color w:val="000000"/>
                <w:sz w:val="21"/>
              </w:rPr>
            </w:pPr>
            <w:r>
              <w:rPr>
                <w:color w:val="000000"/>
                <w:sz w:val="21"/>
              </w:rPr>
              <w:t>未分配利润</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944" w:type="dxa"/>
            <w:noWrap w:val="0"/>
            <w:vAlign w:val="top"/>
          </w:tcPr>
          <w:p>
            <w:pPr>
              <w:pStyle w:val="10"/>
              <w:rPr>
                <w:rFonts w:ascii="Times New Roman"/>
                <w:color w:val="000000"/>
              </w:rPr>
            </w:pP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6" w:line="255" w:lineRule="exact"/>
              <w:ind w:left="271"/>
              <w:rPr>
                <w:color w:val="000000"/>
                <w:sz w:val="21"/>
              </w:rPr>
            </w:pPr>
            <w:r>
              <w:rPr>
                <w:rFonts w:hint="eastAsia"/>
                <w:color w:val="000000"/>
                <w:sz w:val="21"/>
              </w:rPr>
              <w:t>所有者权益（或股东权益）合计</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944" w:type="dxa"/>
            <w:noWrap w:val="0"/>
            <w:vAlign w:val="top"/>
          </w:tcPr>
          <w:p>
            <w:pPr>
              <w:pStyle w:val="10"/>
              <w:spacing w:before="38" w:line="255" w:lineRule="exact"/>
              <w:ind w:left="1175"/>
              <w:rPr>
                <w:color w:val="000000"/>
                <w:sz w:val="21"/>
              </w:rPr>
            </w:pPr>
            <w:r>
              <w:rPr>
                <w:color w:val="000000"/>
                <w:sz w:val="21"/>
              </w:rPr>
              <w:t>资产总计</w:t>
            </w:r>
          </w:p>
        </w:tc>
        <w:tc>
          <w:tcPr>
            <w:tcW w:w="852" w:type="dxa"/>
            <w:noWrap w:val="0"/>
            <w:vAlign w:val="top"/>
          </w:tcPr>
          <w:p>
            <w:pPr>
              <w:pStyle w:val="10"/>
              <w:rPr>
                <w:rFonts w:ascii="Times New Roman"/>
                <w:color w:val="000000"/>
              </w:rPr>
            </w:pPr>
          </w:p>
        </w:tc>
        <w:tc>
          <w:tcPr>
            <w:tcW w:w="742" w:type="dxa"/>
            <w:noWrap w:val="0"/>
            <w:vAlign w:val="top"/>
          </w:tcPr>
          <w:p>
            <w:pPr>
              <w:pStyle w:val="10"/>
              <w:rPr>
                <w:rFonts w:ascii="Times New Roman"/>
                <w:color w:val="000000"/>
              </w:rPr>
            </w:pPr>
          </w:p>
        </w:tc>
        <w:tc>
          <w:tcPr>
            <w:tcW w:w="2866" w:type="dxa"/>
            <w:noWrap w:val="0"/>
            <w:vAlign w:val="top"/>
          </w:tcPr>
          <w:p>
            <w:pPr>
              <w:pStyle w:val="10"/>
              <w:spacing w:before="38" w:line="255" w:lineRule="exact"/>
              <w:ind w:left="252"/>
              <w:rPr>
                <w:color w:val="000000"/>
                <w:sz w:val="21"/>
              </w:rPr>
            </w:pPr>
            <w:r>
              <w:rPr>
                <w:rFonts w:hint="eastAsia"/>
                <w:color w:val="000000"/>
                <w:sz w:val="21"/>
              </w:rPr>
              <w:t>负债和所有者权益（或股东权益）总计</w:t>
            </w:r>
          </w:p>
        </w:tc>
        <w:tc>
          <w:tcPr>
            <w:tcW w:w="901" w:type="dxa"/>
            <w:noWrap w:val="0"/>
            <w:vAlign w:val="top"/>
          </w:tcPr>
          <w:p>
            <w:pPr>
              <w:pStyle w:val="10"/>
              <w:rPr>
                <w:rFonts w:ascii="Times New Roman"/>
                <w:color w:val="000000"/>
              </w:rPr>
            </w:pPr>
          </w:p>
        </w:tc>
        <w:tc>
          <w:tcPr>
            <w:tcW w:w="900" w:type="dxa"/>
            <w:noWrap w:val="0"/>
            <w:vAlign w:val="top"/>
          </w:tcPr>
          <w:p>
            <w:pPr>
              <w:pStyle w:val="10"/>
              <w:rPr>
                <w:rFonts w:ascii="Times New Roman"/>
                <w:color w:val="000000"/>
              </w:rPr>
            </w:pPr>
          </w:p>
        </w:tc>
      </w:tr>
    </w:tbl>
    <w:p>
      <w:pPr>
        <w:ind w:firstLine="420"/>
        <w:rPr>
          <w:color w:val="000000"/>
          <w:sz w:val="21"/>
          <w:szCs w:val="20"/>
        </w:rPr>
      </w:pPr>
      <w:r>
        <w:rPr>
          <w:color w:val="000000"/>
          <w:sz w:val="21"/>
          <w:szCs w:val="20"/>
        </w:rPr>
        <w:t>注 1：[……]</w:t>
      </w:r>
      <w:r>
        <w:rPr>
          <w:color w:val="000000"/>
          <w:sz w:val="21"/>
          <w:szCs w:val="20"/>
          <w:vertAlign w:val="superscript"/>
        </w:rPr>
        <w:t>1</w:t>
      </w:r>
      <w:r>
        <w:rPr>
          <w:color w:val="000000"/>
          <w:sz w:val="21"/>
          <w:szCs w:val="20"/>
        </w:rPr>
        <w:t xml:space="preserve"> 系证券公司专用项目，企业正式使用时不加方括号。下同。</w:t>
      </w:r>
    </w:p>
    <w:p>
      <w:pPr>
        <w:ind w:firstLine="420"/>
        <w:rPr>
          <w:color w:val="000000"/>
          <w:sz w:val="21"/>
          <w:szCs w:val="20"/>
        </w:rPr>
      </w:pPr>
      <w:r>
        <w:rPr>
          <w:color w:val="000000"/>
          <w:sz w:val="21"/>
          <w:szCs w:val="20"/>
        </w:rPr>
        <w:t>注 2：[……]</w:t>
      </w:r>
      <w:r>
        <w:rPr>
          <w:color w:val="000000"/>
          <w:sz w:val="21"/>
          <w:szCs w:val="20"/>
          <w:vertAlign w:val="superscript"/>
        </w:rPr>
        <w:t>2</w:t>
      </w:r>
      <w:r>
        <w:rPr>
          <w:color w:val="000000"/>
          <w:sz w:val="21"/>
          <w:szCs w:val="20"/>
        </w:rPr>
        <w:t xml:space="preserve"> 系保险公司专用项目。</w:t>
      </w:r>
    </w:p>
    <w:p>
      <w:pPr>
        <w:ind w:firstLine="420"/>
        <w:rPr>
          <w:color w:val="000000"/>
          <w:sz w:val="21"/>
          <w:szCs w:val="20"/>
        </w:rPr>
      </w:pPr>
      <w:r>
        <w:rPr>
          <w:color w:val="000000"/>
          <w:sz w:val="21"/>
          <w:szCs w:val="20"/>
        </w:rPr>
        <w:t>注 3：[……]</w:t>
      </w:r>
      <w:r>
        <w:rPr>
          <w:color w:val="000000"/>
          <w:sz w:val="21"/>
          <w:szCs w:val="20"/>
          <w:vertAlign w:val="superscript"/>
        </w:rPr>
        <w:t>3</w:t>
      </w:r>
      <w:r>
        <w:rPr>
          <w:color w:val="000000"/>
          <w:sz w:val="21"/>
          <w:szCs w:val="20"/>
        </w:rPr>
        <w:t xml:space="preserve"> 系银行专用项目。</w:t>
      </w:r>
    </w:p>
    <w:p>
      <w:pPr>
        <w:ind w:firstLine="420"/>
        <w:rPr>
          <w:color w:val="000000"/>
          <w:sz w:val="21"/>
          <w:szCs w:val="20"/>
        </w:rPr>
      </w:pPr>
      <w:r>
        <w:rPr>
          <w:color w:val="000000"/>
          <w:sz w:val="21"/>
          <w:szCs w:val="20"/>
        </w:rPr>
        <w:t>注 4：无方括号和角标的项目为通用项目，适用于两类及两类以上金融企业。</w:t>
      </w:r>
    </w:p>
    <w:p>
      <w:pPr>
        <w:spacing w:before="5"/>
        <w:ind w:left="780"/>
        <w:rPr>
          <w:color w:val="000000"/>
          <w:szCs w:val="22"/>
        </w:rPr>
      </w:pPr>
    </w:p>
    <w:p>
      <w:pPr>
        <w:ind w:firstLine="422"/>
        <w:outlineLvl w:val="2"/>
        <w:rPr>
          <w:rFonts w:cs="微软雅黑"/>
          <w:b/>
          <w:color w:val="000000"/>
        </w:rPr>
      </w:pPr>
      <w:r>
        <w:rPr>
          <w:rFonts w:hint="eastAsia" w:cs="微软雅黑"/>
          <w:b/>
          <w:color w:val="000000"/>
        </w:rPr>
        <w:t>【表单说明】</w:t>
      </w:r>
    </w:p>
    <w:p>
      <w:pPr>
        <w:pStyle w:val="2"/>
        <w:ind w:firstLine="400"/>
        <w:rPr>
          <w:color w:val="000000"/>
          <w:sz w:val="20"/>
        </w:rPr>
      </w:pPr>
      <w:r>
        <w:rPr>
          <w:color w:val="000000"/>
          <w:sz w:val="20"/>
        </w:rPr>
        <w:t>1.“应收款项”项目，反映资产负债表日企业因销售商品和提供服务等经营活动形成的收取款项的合同权利以及收到的商业汇票</w:t>
      </w:r>
      <w:r>
        <w:rPr>
          <w:rFonts w:hint="eastAsia"/>
          <w:color w:val="000000"/>
          <w:sz w:val="20"/>
        </w:rPr>
        <w:t>（包括银行承兑汇票和商业承兑汇票）的期末账面价值。</w:t>
      </w:r>
    </w:p>
    <w:p>
      <w:pPr>
        <w:pStyle w:val="2"/>
        <w:ind w:firstLine="400"/>
        <w:rPr>
          <w:color w:val="000000"/>
          <w:sz w:val="20"/>
        </w:rPr>
      </w:pPr>
      <w:r>
        <w:rPr>
          <w:color w:val="000000"/>
          <w:sz w:val="20"/>
        </w:rPr>
        <w:t xml:space="preserve"> 2.“合同资产”和“合同负债”项目。企业应按照《企业会计准则第 14 号——收入》（2017 年修订）的相关规定根据企业履行履约义务与客户付款之间的关系，在资产负债表中列示合同资产或合同负债。同一合同下的合同资产和合同负债应当以净额列示，其中净额为借方余额的，应当扣除损失准备后在“合同资产”项目中填列；净额为贷方余额的，应当在“合同负债”项目中填列。</w:t>
      </w:r>
    </w:p>
    <w:p>
      <w:pPr>
        <w:pStyle w:val="2"/>
        <w:ind w:firstLine="400"/>
        <w:rPr>
          <w:color w:val="000000"/>
          <w:sz w:val="20"/>
        </w:rPr>
      </w:pPr>
      <w:r>
        <w:rPr>
          <w:color w:val="000000"/>
          <w:sz w:val="20"/>
        </w:rPr>
        <w:t>3.“持有待售资产”项目，反映资产负债表日企业分类为持有待售类别的非流动资产及分类为持有待售类别的处置组中的流动资产和非流动资产的期末账面价值（扣除减值准备）。</w:t>
      </w:r>
    </w:p>
    <w:p>
      <w:pPr>
        <w:pStyle w:val="2"/>
        <w:ind w:firstLine="400"/>
        <w:rPr>
          <w:color w:val="000000"/>
          <w:sz w:val="20"/>
        </w:rPr>
      </w:pPr>
      <w:r>
        <w:rPr>
          <w:color w:val="000000"/>
          <w:sz w:val="20"/>
        </w:rPr>
        <w:t>4.“发放贷款和垫款”项目，反映银行发放贷款和垫款业务形 成的金融资产的期末账面价值，包括以摊余成本计量的发放贷款和垫 款、分类为以公允价值计量且其变动计入其他综合收益的贷款和垫款、以及以公允价值计量且其变动计入当期损益的贷款和垫款。企业应根 据《企业会计准则第 37 号——金融工具列报》（2017 年修订）第三十九条的规定在附注中披露各明细项的账面价值。</w:t>
      </w:r>
    </w:p>
    <w:p>
      <w:pPr>
        <w:pStyle w:val="2"/>
        <w:ind w:firstLine="400"/>
        <w:rPr>
          <w:color w:val="000000"/>
          <w:sz w:val="20"/>
        </w:rPr>
      </w:pPr>
      <w:r>
        <w:rPr>
          <w:color w:val="000000"/>
          <w:sz w:val="20"/>
        </w:rPr>
        <w:t>5.“金融投资：交易性金融资产”项目，即符合《企业会计准则第 22 号——金融工具确认和计量》（2017 年修订）第十六条（三） 规定的金融资产分类的金融投资，包括资产负债表日企业列示在“金融投资”项下的下列资产的期末账面价值：为交易目的持有的金融资产，企业持有的指定为以公允价值计量且其变动计入当期损益的金融资产，以及因不符合分类为摊余成本计量的金融资产或以公允价值计量且其变动计入其他综合收益的金融资产的条件而分类为以公允价值计量且其变动计入当期损益的金融资产。企业同时应当在附注中分别单独反映《企业会计准则</w:t>
      </w:r>
      <w:r>
        <w:rPr>
          <w:rFonts w:hint="eastAsia"/>
          <w:color w:val="000000"/>
          <w:sz w:val="20"/>
        </w:rPr>
        <w:t>第</w:t>
      </w:r>
      <w:r>
        <w:rPr>
          <w:color w:val="000000"/>
          <w:sz w:val="20"/>
        </w:rPr>
        <w:t xml:space="preserve"> 37 号——金融工具列报》（2017 年修订）第三十九条（四）所要求披露的以公允价值计量且其变动计入当期损益的金融资产的各明细项。</w:t>
      </w:r>
    </w:p>
    <w:p>
      <w:pPr>
        <w:pStyle w:val="2"/>
        <w:ind w:firstLine="400"/>
        <w:rPr>
          <w:color w:val="000000"/>
          <w:sz w:val="20"/>
        </w:rPr>
      </w:pPr>
      <w:r>
        <w:rPr>
          <w:color w:val="000000"/>
          <w:sz w:val="20"/>
        </w:rPr>
        <w:t>6.“金融投资：债权投资”项目，即符合《企业会计准则第 22 号——金融工具确认和计量》（2017 年修订）第十六条（一）规定的金融资产分类的金融投资，反映资产负债表日企业列示在“金融投资” 项下的以摊余成本计量的金融资产的期末账面价值（扣除损失准备）。该项目金额与其他以摊余成本计量的金融资产（例如“发放贷款和垫款”项目中的以摊余成本计量的金融资产）金额的合计，为《企业会计准则第 37 号——金融工具列报》（2017 年修订）第三十九条（一） 所要求列报的“以摊余成本计量的金融资产”的金额。</w:t>
      </w:r>
    </w:p>
    <w:p>
      <w:pPr>
        <w:pStyle w:val="2"/>
        <w:ind w:firstLine="400"/>
        <w:rPr>
          <w:color w:val="000000"/>
          <w:sz w:val="20"/>
        </w:rPr>
      </w:pPr>
      <w:r>
        <w:rPr>
          <w:color w:val="000000"/>
          <w:sz w:val="20"/>
        </w:rPr>
        <w:t>7.“金融投资：其他债权投资”项目，即符合《企业会计准则第 22 号——金融工具确认和计量》（2017 年修订）第十六条（二） 规定的金融资产分类的金融投资，反映资产负债表日企业列示在“金融投资”项下的按照《企业会计准则第 22 号——金融工具确认和计量》（2017 年修订）第十八条分类为以公允价值计量且其变动计入其他综合收益的金融资产的期末账面价值。该项目金额与其他分类为以公允价值计量且其变动计入其他综合收益的金融资产（例如“发放贷款和垫款”项目中的分类为以公允价值计量且其变动计入其他综合收益的金融资产）</w:t>
      </w:r>
      <w:r>
        <w:rPr>
          <w:rFonts w:hint="eastAsia"/>
          <w:color w:val="000000"/>
          <w:sz w:val="20"/>
        </w:rPr>
        <w:t>金额的合计，为《企业会计准则第</w:t>
      </w:r>
      <w:r>
        <w:rPr>
          <w:color w:val="000000"/>
          <w:sz w:val="20"/>
        </w:rPr>
        <w:t xml:space="preserve"> 37 号——金融工具列报》（2017 年修订）第三十九条（三）所要求列报的“以公允价值计量且其变动计入其他综合收益的金融资产”的金额。</w:t>
      </w:r>
    </w:p>
    <w:p>
      <w:pPr>
        <w:pStyle w:val="2"/>
        <w:ind w:firstLine="400"/>
        <w:rPr>
          <w:color w:val="000000"/>
          <w:sz w:val="20"/>
        </w:rPr>
      </w:pPr>
      <w:r>
        <w:rPr>
          <w:color w:val="000000"/>
          <w:sz w:val="20"/>
        </w:rPr>
        <w:t>8.“金融投资：其他权益工具投资”项目，即企业按照《企业会计准则第 22 号——金融工具确认和计量》（2017 年修订）第十九条第二款指定计量的金融投资，反映资产负债表日企业指定为以公允价值计量且其变动计入其他综合收益的非交易性权益工具投资的期末账面价值。此处“权益工具投资”中的权益工具，是指从该工具发行方角度满足《企业会计准则第 37 号——金融工具列报》（2017 年修订）中权益工具定义的工具。</w:t>
      </w:r>
    </w:p>
    <w:p>
      <w:pPr>
        <w:pStyle w:val="2"/>
        <w:ind w:firstLine="400"/>
        <w:rPr>
          <w:color w:val="000000"/>
          <w:sz w:val="20"/>
        </w:rPr>
      </w:pPr>
      <w:r>
        <w:rPr>
          <w:color w:val="000000"/>
          <w:sz w:val="20"/>
        </w:rPr>
        <w:t>9.企业应当按照《企业会计准则第 22 号——金融工具确认和计量》（2017 年修订）的相关规定确认利息收入和利息费用。基于实际利率法计提的金融工具的利息应包含在相应金融工具的账面余额中， 并反映在相关“拆出资金”“金融投资：债权投资”“金融投资：其他债权投资”“发放贷款和垫款”“应付债券”“长期借款”等项目中，而不应单独列示“应收利息”项目或“应付利息”项目。“应收利息” 科目和“应付利息”科目应仅反映相关金融工具已到期可收取或应支付但于资产负债表日尚未收到或尚未支付的利息，通常由于金额相对较小，应在“其</w:t>
      </w:r>
      <w:r>
        <w:rPr>
          <w:rFonts w:hint="eastAsia"/>
          <w:color w:val="000000"/>
          <w:sz w:val="20"/>
        </w:rPr>
        <w:t>他资产”或“其他负债”项目中列示。</w:t>
      </w:r>
    </w:p>
    <w:p>
      <w:pPr>
        <w:pStyle w:val="2"/>
        <w:ind w:firstLine="400"/>
        <w:rPr>
          <w:color w:val="000000"/>
          <w:sz w:val="20"/>
        </w:rPr>
      </w:pPr>
      <w:r>
        <w:rPr>
          <w:color w:val="000000"/>
          <w:sz w:val="20"/>
        </w:rPr>
        <w:t>10.企业按照《企业会计准则第 14 号——收入》（2017 年修订） 相关规定确认为资产的合同取得成本、合同履约成本与应收退货成本， 应当扣除相关减值准备后在“其他资产”项目中填列。</w:t>
      </w:r>
    </w:p>
    <w:p>
      <w:pPr>
        <w:pStyle w:val="2"/>
        <w:ind w:firstLine="400"/>
        <w:rPr>
          <w:color w:val="000000"/>
          <w:sz w:val="20"/>
        </w:rPr>
      </w:pPr>
      <w:r>
        <w:rPr>
          <w:color w:val="000000"/>
          <w:sz w:val="20"/>
        </w:rPr>
        <w:t>11.“交易性金融负债”项目，即企业按照《企业会计准则第 22号——金融工具确认和计量》（2017 年修订）第二十一条规定分类的金融负债，反映资产负债表日企业承担的分类为以公允价值计量且其变动计入当期损益的金融负债（含企业指定为以公允价值计量且其变动计入当期损益的金融负债）的期末账面价值。</w:t>
      </w:r>
    </w:p>
    <w:p>
      <w:pPr>
        <w:pStyle w:val="2"/>
        <w:ind w:firstLine="400"/>
        <w:rPr>
          <w:color w:val="000000"/>
          <w:sz w:val="20"/>
        </w:rPr>
      </w:pPr>
      <w:r>
        <w:rPr>
          <w:color w:val="000000"/>
          <w:sz w:val="20"/>
        </w:rPr>
        <w:t>12.“应付款项”项目，反映资产负债表日以摊余成本计量的、企业因购买商品和接受服务等经营活动形成的支付款项的合同义务以及开出、承兑的商业汇票（包括银行承兑汇票和商业承兑汇票）的账面价值（即摊余成本）。</w:t>
      </w:r>
    </w:p>
    <w:p>
      <w:pPr>
        <w:pStyle w:val="2"/>
        <w:ind w:firstLine="400"/>
        <w:rPr>
          <w:color w:val="000000"/>
          <w:sz w:val="20"/>
        </w:rPr>
      </w:pPr>
      <w:r>
        <w:rPr>
          <w:color w:val="000000"/>
          <w:sz w:val="20"/>
        </w:rPr>
        <w:t>13.“持有待售负债”项目，反映资产负债表日处置组中与划分为持有待售类别的资产直接相关的负债的期末账面价值。</w:t>
      </w:r>
    </w:p>
    <w:p>
      <w:pPr>
        <w:pStyle w:val="2"/>
        <w:ind w:firstLine="400"/>
        <w:rPr>
          <w:color w:val="000000"/>
          <w:sz w:val="20"/>
        </w:rPr>
      </w:pPr>
      <w:r>
        <w:rPr>
          <w:color w:val="000000"/>
          <w:sz w:val="20"/>
        </w:rPr>
        <w:t>14.企业按照《企业会计准则第 14 号——收入》（2017 年修订） 相关规定确认为预计负债的应付退货款，应当在“预计负债”项目中填列。</w:t>
      </w:r>
    </w:p>
    <w:p>
      <w:pPr>
        <w:pStyle w:val="2"/>
        <w:ind w:firstLine="400"/>
        <w:rPr>
          <w:color w:val="000000"/>
          <w:sz w:val="20"/>
        </w:rPr>
      </w:pPr>
      <w:r>
        <w:rPr>
          <w:color w:val="000000"/>
          <w:sz w:val="20"/>
        </w:rPr>
        <w:t>15.企业按照《企业会计准则第 22 号——金融工具确认和计量》（2017 年修订）相关规定对贷款承诺、财务担保合同等项目计提的损失准备，应当在“预计负债”项目中填列。</w:t>
      </w:r>
    </w:p>
    <w:p>
      <w:pPr>
        <w:pStyle w:val="2"/>
        <w:ind w:firstLine="400"/>
        <w:rPr>
          <w:color w:val="000000"/>
          <w:sz w:val="20"/>
        </w:rPr>
      </w:pPr>
      <w:r>
        <w:rPr>
          <w:color w:val="000000"/>
          <w:sz w:val="20"/>
        </w:rPr>
        <w:t>16.企业应根据实际情况在“应付债券”项目下增设“其中：优先股”和“永续债”两个项目，分别反映资产负债表日企业发行在外的分类为金融负债的优先股和永续工具的期末账面价值。</w:t>
      </w:r>
    </w:p>
    <w:p>
      <w:pPr>
        <w:pStyle w:val="2"/>
        <w:ind w:firstLine="400"/>
        <w:rPr>
          <w:color w:val="000000"/>
          <w:sz w:val="20"/>
        </w:rPr>
      </w:pPr>
      <w:r>
        <w:rPr>
          <w:color w:val="000000"/>
          <w:sz w:val="20"/>
        </w:rPr>
        <w:t>17.“其他权益工具”项目，反映资产负债表日企业发行在外的除普通股以外分类为权益工具的金融工具的账面价值。企业应根据实际情况在“其他权益工具”项目下设“其中：优先股”和“永续债” 两个项目，分别反映资产负债表日企业发行在外的分类为权益工具的优先股和永续工具的账面价值。</w:t>
      </w:r>
    </w:p>
    <w:p>
      <w:pPr>
        <w:pStyle w:val="2"/>
        <w:ind w:firstLine="400"/>
        <w:rPr>
          <w:color w:val="000000"/>
          <w:sz w:val="20"/>
        </w:rPr>
      </w:pPr>
      <w:r>
        <w:rPr>
          <w:color w:val="000000"/>
          <w:sz w:val="20"/>
        </w:rPr>
        <w:t>18.“其他综合收益”项目，反映企业根据企业会计准则规定应在其他综合收益中确认的各项税后净利得和净损失的累计余额等。</w:t>
      </w:r>
    </w:p>
    <w:p>
      <w:pPr>
        <w:pStyle w:val="2"/>
        <w:ind w:firstLine="400"/>
        <w:rPr>
          <w:color w:val="000000"/>
          <w:sz w:val="20"/>
        </w:rPr>
      </w:pPr>
      <w:r>
        <w:rPr>
          <w:color w:val="000000"/>
          <w:sz w:val="20"/>
        </w:rPr>
        <w:t>19.本表中的“上年年末余额”栏目，企业按照《企业会计准则第 22 号——金融工具确认和计量》（2017 年修订）和《企业会计准则第 14 号——收入》（2017 年修订）的规定，未调整前期比较财务报表数据的，应当根据未经新金融工具准则及新收入准则调整的财务报表格式及数字填列，上期项目与本期不一致的，应当分别列示新旧项目名称及其金额，并按照《企业会计准则第 37 号——金融工具列报》（2017 年修订）和《企业会计准则第 14 号——收入》（2017 年修订）及其应用指南有关规定在附注中披露执行新金融工具准</w:t>
      </w:r>
      <w:r>
        <w:rPr>
          <w:rFonts w:hint="eastAsia"/>
          <w:color w:val="000000"/>
          <w:sz w:val="20"/>
        </w:rPr>
        <w:t>则导致的分类、减值等变化的影响和执行新收入准则对当期财务报表相关项目的影响。</w:t>
      </w:r>
    </w:p>
    <w:p>
      <w:pPr>
        <w:pStyle w:val="2"/>
        <w:ind w:firstLine="400"/>
        <w:rPr>
          <w:color w:val="000000"/>
        </w:rPr>
      </w:pPr>
      <w:r>
        <w:rPr>
          <w:color w:val="000000"/>
          <w:sz w:val="20"/>
        </w:rPr>
        <w:t>20.修订后本表中的部分金融资产项目的金额可能反映多种计量基础。企业在附注中披露的《企业会计准则第 37 号——金融工具列报》（2017 年修订）第三十九条（一）至（四）所规定的金额，应当分别反映同一计量基础在不同项目中的金额之和。</w:t>
      </w:r>
    </w:p>
    <w:p>
      <w:pPr>
        <w:rPr>
          <w:rFonts w:ascii="仿宋" w:hAnsi="仿宋" w:eastAsia="仿宋" w:cs="仿宋"/>
          <w:color w:val="000000"/>
          <w:sz w:val="28"/>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00E"/>
    <w:multiLevelType w:val="multilevel"/>
    <w:tmpl w:val="1367000E"/>
    <w:lvl w:ilvl="0" w:tentative="0">
      <w:start w:val="1"/>
      <w:numFmt w:val="bullet"/>
      <w:pStyle w:val="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E3D63"/>
    <w:rsid w:val="438E3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3"/>
    <w:unhideWhenUsed/>
    <w:qFormat/>
    <w:uiPriority w:val="0"/>
    <w:pPr>
      <w:spacing w:after="120"/>
    </w:pPr>
  </w:style>
  <w:style w:type="paragraph" w:customStyle="1" w:styleId="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标题 2_0"/>
    <w:basedOn w:val="3"/>
    <w:next w:val="3"/>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四级标题"/>
    <w:basedOn w:val="8"/>
    <w:qFormat/>
    <w:uiPriority w:val="0"/>
    <w:pPr>
      <w:numPr>
        <w:ilvl w:val="0"/>
        <w:numId w:val="1"/>
      </w:numPr>
    </w:pPr>
    <w:rPr>
      <w:rFonts w:eastAsia="宋体" w:cs="Times New Roman"/>
      <w:kern w:val="2"/>
      <w:sz w:val="21"/>
    </w:rPr>
  </w:style>
  <w:style w:type="paragraph" w:customStyle="1" w:styleId="8">
    <w:name w:val="二级标题_0"/>
    <w:basedOn w:val="3"/>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3"/>
    <w:qFormat/>
    <w:uiPriority w:val="0"/>
    <w:pPr>
      <w:widowControl/>
      <w:ind w:firstLine="420"/>
      <w:jc w:val="left"/>
    </w:pPr>
    <w:rPr>
      <w:rFonts w:ascii="Arial" w:hAnsi="Arial"/>
      <w:szCs w:val="24"/>
    </w:rPr>
  </w:style>
  <w:style w:type="paragraph" w:customStyle="1" w:styleId="10">
    <w:name w:val="Table Paragraph"/>
    <w:basedOn w:val="1"/>
    <w:qFormat/>
    <w:uiPriority w:val="1"/>
    <w:pPr>
      <w:widowControl w:val="0"/>
      <w:autoSpaceDE w:val="0"/>
      <w:autoSpaceDN w:val="0"/>
    </w:pPr>
    <w:rPr>
      <w:rFonts w:ascii="仿宋" w:hAnsi="仿宋" w:eastAsia="仿宋" w:cs="仿宋"/>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2019-12-12T09:33:00Z</dcterms:created>
  <dc:creator>陈莉佳</dc:creator>
  <cp:lastModifiedBy>陈莉佳</cp:lastModifiedBy>
  <dcterms:modified xsi:type="dcterms:W3CDTF">2019-12-12T09:33:21Z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