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宋体" w:hAnsi="宋体" w:eastAsia="宋体" w:cs="宋体"/>
          <w:color w:val="000000"/>
        </w:rPr>
      </w:pPr>
      <w:bookmarkStart w:id="1" w:name="_GoBack"/>
      <w:bookmarkStart w:id="0" w:name="_Toc25328298"/>
      <w:r>
        <w:rPr>
          <w:rFonts w:hint="eastAsia" w:ascii="宋体" w:hAnsi="宋体" w:eastAsia="宋体" w:cs="宋体"/>
          <w:color w:val="000000"/>
        </w:rPr>
        <w:t>A06898《所有者权益变动表（适用已执行新金融工具准则的金融企业）》</w:t>
      </w:r>
      <w:bookmarkEnd w:id="0"/>
    </w:p>
    <w:bookmarkEnd w:id="1"/>
    <w:p/>
    <w:p>
      <w:pPr>
        <w:pStyle w:val="14"/>
        <w:rPr>
          <w:rFonts w:hint="eastAsia" w:eastAsia="等线"/>
          <w:color w:val="000000"/>
        </w:rPr>
      </w:pPr>
    </w:p>
    <w:p>
      <w:pPr>
        <w:pStyle w:val="15"/>
        <w:rPr>
          <w:color w:val="000000"/>
          <w:kern w:val="2"/>
          <w:sz w:val="21"/>
        </w:rPr>
      </w:pPr>
      <w:r>
        <w:rPr>
          <w:color w:val="000000"/>
          <w:kern w:val="2"/>
          <w:sz w:val="21"/>
        </w:rPr>
        <w:t> </w:t>
      </w:r>
    </w:p>
    <w:tbl>
      <w:tblPr>
        <w:tblStyle w:val="4"/>
        <w:tblW w:w="139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208"/>
        <w:gridCol w:w="679"/>
        <w:gridCol w:w="179"/>
        <w:gridCol w:w="288"/>
        <w:gridCol w:w="165"/>
        <w:gridCol w:w="182"/>
        <w:gridCol w:w="291"/>
        <w:gridCol w:w="472"/>
        <w:gridCol w:w="322"/>
        <w:gridCol w:w="53"/>
        <w:gridCol w:w="241"/>
        <w:gridCol w:w="36"/>
        <w:gridCol w:w="480"/>
        <w:gridCol w:w="472"/>
        <w:gridCol w:w="215"/>
        <w:gridCol w:w="428"/>
        <w:gridCol w:w="330"/>
        <w:gridCol w:w="330"/>
        <w:gridCol w:w="1090"/>
        <w:gridCol w:w="634"/>
        <w:gridCol w:w="472"/>
        <w:gridCol w:w="271"/>
        <w:gridCol w:w="241"/>
        <w:gridCol w:w="330"/>
        <w:gridCol w:w="246"/>
        <w:gridCol w:w="246"/>
        <w:gridCol w:w="640"/>
        <w:gridCol w:w="464"/>
        <w:gridCol w:w="330"/>
        <w:gridCol w:w="330"/>
        <w:gridCol w:w="10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3"/>
              <w:spacing w:line="360" w:lineRule="auto"/>
              <w:jc w:val="center"/>
              <w:rPr>
                <w:rFonts w:ascii="宋体" w:hAnsi="宋体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3"/>
              <w:spacing w:line="360" w:lineRule="auto"/>
              <w:jc w:val="center"/>
              <w:rPr>
                <w:rFonts w:ascii="宋体" w:hAnsi="宋体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3"/>
              <w:spacing w:line="360" w:lineRule="auto"/>
              <w:jc w:val="center"/>
              <w:rPr>
                <w:rFonts w:ascii="宋体" w:hAnsi="宋体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3"/>
              <w:spacing w:line="360" w:lineRule="auto"/>
              <w:jc w:val="center"/>
              <w:rPr>
                <w:rFonts w:ascii="宋体" w:hAnsi="宋体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3"/>
              <w:spacing w:line="360" w:lineRule="auto"/>
              <w:jc w:val="center"/>
              <w:rPr>
                <w:rFonts w:ascii="宋体" w:hAnsi="宋体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3"/>
              <w:spacing w:line="360" w:lineRule="auto"/>
              <w:jc w:val="center"/>
              <w:rPr>
                <w:rFonts w:ascii="宋体" w:hAnsi="宋体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79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spacing w:line="360" w:lineRule="auto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28"/>
                <w:szCs w:val="28"/>
              </w:rPr>
              <w:t>所有者权益变动表</w:t>
            </w:r>
          </w:p>
          <w:p>
            <w:pPr>
              <w:pStyle w:val="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3"/>
              <w:rPr>
                <w:rFonts w:hint="eastAsia"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3"/>
              <w:rPr>
                <w:rFonts w:hint="eastAsia"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3"/>
              <w:rPr>
                <w:rFonts w:hint="eastAsia"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3"/>
              <w:rPr>
                <w:rFonts w:hint="eastAsia"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3"/>
              <w:rPr>
                <w:rFonts w:hint="eastAsia"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3"/>
              <w:rPr>
                <w:rFonts w:hint="eastAsia"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3"/>
              <w:rPr>
                <w:rFonts w:hint="eastAsia"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3"/>
              <w:rPr>
                <w:rFonts w:hint="eastAsia"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3"/>
              <w:rPr>
                <w:rFonts w:hint="eastAsia"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3"/>
              <w:rPr>
                <w:rFonts w:hint="eastAsia"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7679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                                            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金融</w:t>
            </w: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04表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3977" w:type="dxa"/>
            <w:gridSpan w:val="3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pStyle w:val="3"/>
              <w:ind w:left="480" w:hanging="48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 xml:space="preserve"> 编制单位：</w:t>
            </w:r>
            <w:r>
              <w:rPr>
                <w:rFonts w:ascii="宋体" w:hAnsi="宋体" w:cs="Arial"/>
                <w:color w:val="000000"/>
                <w:szCs w:val="21"/>
              </w:rPr>
              <w:t xml:space="preserve">                                          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年度       </w:t>
            </w:r>
            <w:r>
              <w:rPr>
                <w:rFonts w:ascii="宋体" w:hAnsi="宋体" w:cs="Arial"/>
                <w:color w:val="000000"/>
                <w:szCs w:val="21"/>
              </w:rPr>
              <w:t xml:space="preserve">                                  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3117" w:type="dxa"/>
            <w:gridSpan w:val="3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项 目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top"/>
          </w:tcPr>
          <w:p>
            <w:pPr>
              <w:pStyle w:val="3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45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本年金额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top"/>
          </w:tcPr>
          <w:p>
            <w:pPr>
              <w:pStyle w:val="3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上年金额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3117" w:type="dxa"/>
            <w:gridSpan w:val="3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32" w:type="dxa"/>
            <w:gridSpan w:val="3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实收</w:t>
            </w:r>
          </w:p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资本</w:t>
            </w:r>
          </w:p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(或股本)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其他权益工具</w:t>
            </w:r>
          </w:p>
        </w:tc>
        <w:tc>
          <w:tcPr>
            <w:tcW w:w="330" w:type="dxa"/>
            <w:gridSpan w:val="3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资本</w:t>
            </w:r>
          </w:p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公积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减：</w:t>
            </w:r>
          </w:p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库存股</w:t>
            </w:r>
          </w:p>
        </w:tc>
        <w:tc>
          <w:tcPr>
            <w:tcW w:w="687" w:type="dxa"/>
            <w:gridSpan w:val="2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rPr>
                <w:rFonts w:hint="eastAsia" w:ascii="宋体" w:hAnsi="宋体" w:eastAsia="等线" w:cs="Arial"/>
                <w:color w:val="000000"/>
                <w:szCs w:val="21"/>
              </w:rPr>
            </w:pPr>
          </w:p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其他综合收益</w:t>
            </w:r>
          </w:p>
        </w:tc>
        <w:tc>
          <w:tcPr>
            <w:tcW w:w="428" w:type="dxa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一般风险准备</w:t>
            </w:r>
          </w:p>
        </w:tc>
        <w:tc>
          <w:tcPr>
            <w:tcW w:w="33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盈余</w:t>
            </w:r>
          </w:p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公积</w:t>
            </w:r>
          </w:p>
        </w:tc>
        <w:tc>
          <w:tcPr>
            <w:tcW w:w="330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未</w:t>
            </w:r>
          </w:p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分配</w:t>
            </w:r>
          </w:p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利润</w:t>
            </w:r>
          </w:p>
        </w:tc>
        <w:tc>
          <w:tcPr>
            <w:tcW w:w="1090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所有者权益合计</w:t>
            </w:r>
          </w:p>
        </w:tc>
        <w:tc>
          <w:tcPr>
            <w:tcW w:w="634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实收</w:t>
            </w:r>
          </w:p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资本</w:t>
            </w:r>
          </w:p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(或股本)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其他权益工具</w:t>
            </w:r>
          </w:p>
        </w:tc>
        <w:tc>
          <w:tcPr>
            <w:tcW w:w="33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资本</w:t>
            </w:r>
          </w:p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公积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减：</w:t>
            </w:r>
          </w:p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库存股</w:t>
            </w:r>
          </w:p>
        </w:tc>
        <w:tc>
          <w:tcPr>
            <w:tcW w:w="640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其他综合收益</w:t>
            </w:r>
          </w:p>
        </w:tc>
        <w:tc>
          <w:tcPr>
            <w:tcW w:w="464" w:type="dxa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一般风险准备</w:t>
            </w:r>
          </w:p>
        </w:tc>
        <w:tc>
          <w:tcPr>
            <w:tcW w:w="33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盈余</w:t>
            </w:r>
          </w:p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公积</w:t>
            </w:r>
          </w:p>
        </w:tc>
        <w:tc>
          <w:tcPr>
            <w:tcW w:w="330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未</w:t>
            </w:r>
          </w:p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分配</w:t>
            </w:r>
          </w:p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利润</w:t>
            </w:r>
          </w:p>
        </w:tc>
        <w:tc>
          <w:tcPr>
            <w:tcW w:w="1082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所有者权益合计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3117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32" w:type="dxa"/>
            <w:gridSpan w:val="3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优先股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永续债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其他</w:t>
            </w:r>
          </w:p>
        </w:tc>
        <w:tc>
          <w:tcPr>
            <w:tcW w:w="330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cs="Arial"/>
                <w:b/>
                <w:bCs/>
                <w:color w:val="000000"/>
                <w:szCs w:val="21"/>
              </w:rPr>
            </w:pPr>
          </w:p>
        </w:tc>
        <w:tc>
          <w:tcPr>
            <w:tcW w:w="687" w:type="dxa"/>
            <w:gridSpan w:val="2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2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109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3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优先股</w:t>
            </w:r>
          </w:p>
        </w:tc>
        <w:tc>
          <w:tcPr>
            <w:tcW w:w="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永续债</w:t>
            </w:r>
          </w:p>
        </w:tc>
        <w:tc>
          <w:tcPr>
            <w:tcW w:w="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其他</w:t>
            </w:r>
          </w:p>
        </w:tc>
        <w:tc>
          <w:tcPr>
            <w:tcW w:w="33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92" w:type="dxa"/>
            <w:gridSpan w:val="2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cs="Arial"/>
                <w:b/>
                <w:bCs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1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spacing w:line="360" w:lineRule="auto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Cs w:val="21"/>
              </w:rPr>
              <w:t>一、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上年年末余额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1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spacing w:line="360" w:lineRule="auto"/>
              <w:ind w:firstLine="210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加：会计政策变更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1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前期差错更正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1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ind w:firstLine="210"/>
              <w:rPr>
                <w:rFonts w:hint="eastAsia" w:ascii="宋体" w:hAnsi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其他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1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spacing w:line="360" w:lineRule="auto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Cs w:val="21"/>
              </w:rPr>
              <w:t>二、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本年年初余额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1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三、本年增减变动金额（减少以“-”号填列）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1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spacing w:line="360" w:lineRule="auto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（一）综合收益总额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1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spacing w:line="360" w:lineRule="auto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Cs w:val="21"/>
              </w:rPr>
              <w:t>（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二）所有者投入和减少资本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1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1．所有者投入的普通股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1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spacing w:line="360" w:lineRule="auto"/>
              <w:ind w:firstLine="211"/>
              <w:rPr>
                <w:rFonts w:hint="eastAsia"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Cs w:val="21"/>
              </w:rPr>
              <w:t>2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.其他权益工具持有者投入资本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1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spacing w:line="360" w:lineRule="auto"/>
              <w:ind w:firstLine="210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3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．股份支付计入所有者权益的金额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1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spacing w:line="360" w:lineRule="auto"/>
              <w:ind w:firstLine="210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4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．其他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1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（三）利润分配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1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等线" w:hAnsi="等线" w:eastAsia="等线" w:cs="Arial"/>
                <w:color w:val="000000"/>
                <w:szCs w:val="21"/>
              </w:rPr>
              <w:t>1.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提取盈余公积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1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2.提取一般风险准备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1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 w:cs="Arial"/>
                <w:color w:val="000000"/>
                <w:szCs w:val="21"/>
              </w:rPr>
              <w:t>3.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对所有者（或股东）的分配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1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ind w:firstLine="210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 w:cs="Arial"/>
                <w:color w:val="000000"/>
                <w:szCs w:val="21"/>
              </w:rPr>
              <w:t>4.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其他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1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（四）所有者权益内部结转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1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1．资本公积转增资本（或股本）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1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2．盈余公积转增资本（或股本）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1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3．盈余公积弥补亏损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1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等线" w:hAnsi="等线" w:eastAsia="等线" w:cs="Arial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设定收益计划变动额结转留存收益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1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spacing w:line="360" w:lineRule="auto"/>
              <w:rPr>
                <w:rFonts w:hint="eastAsia" w:ascii="宋体" w:hAnsi="宋体" w:cs="Arial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 w:cs="Arial"/>
                <w:bCs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其他综合收益结转留存收益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1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spacing w:line="360" w:lineRule="auto"/>
              <w:rPr>
                <w:rFonts w:hint="eastAsia"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szCs w:val="21"/>
              </w:rPr>
              <w:t>6</w:t>
            </w:r>
            <w:r>
              <w:rPr>
                <w:rFonts w:hint="eastAsia" w:ascii="宋体" w:hAnsi="宋体" w:cs="Arial"/>
                <w:bCs/>
                <w:color w:val="000000"/>
                <w:szCs w:val="21"/>
              </w:rPr>
              <w:t>．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其他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1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四、本年年末余额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</w:tbl>
    <w:p>
      <w:pPr>
        <w:pStyle w:val="16"/>
        <w:rPr>
          <w:rFonts w:hint="eastAsia" w:eastAsia="等线"/>
          <w:color w:val="000000"/>
          <w:kern w:val="2"/>
          <w:sz w:val="21"/>
          <w:szCs w:val="22"/>
        </w:rPr>
      </w:pPr>
    </w:p>
    <w:p>
      <w:pPr>
        <w:pStyle w:val="7"/>
        <w:rPr>
          <w:rFonts w:hint="eastAsia" w:ascii="宋体" w:hAnsi="宋体" w:eastAsia="宋体" w:cs="微软雅黑"/>
          <w:color w:val="000000"/>
        </w:rPr>
      </w:pPr>
      <w:r>
        <w:rPr>
          <w:rFonts w:hint="eastAsia" w:ascii="宋体" w:hAnsi="宋体" w:eastAsia="宋体" w:cs="微软雅黑"/>
          <w:color w:val="000000"/>
        </w:rPr>
        <w:t>【表单说明】</w:t>
      </w:r>
    </w:p>
    <w:p>
      <w:pPr>
        <w:pStyle w:val="11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无</w:t>
      </w:r>
    </w:p>
    <w:p>
      <w:r>
        <w:rPr>
          <w:rFonts w:hint="eastAsia" w:ascii="宋体" w:hAnsi="宋体" w:eastAsia="宋体" w:cs="宋体"/>
          <w:color w:val="000000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000E"/>
    <w:multiLevelType w:val="multilevel"/>
    <w:tmpl w:val="1367000E"/>
    <w:lvl w:ilvl="0" w:tentative="0">
      <w:start w:val="1"/>
      <w:numFmt w:val="bullet"/>
      <w:pStyle w:val="9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27866"/>
    <w:rsid w:val="60E2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unhideWhenUsed/>
    <w:qFormat/>
    <w:uiPriority w:val="0"/>
    <w:pPr>
      <w:spacing w:after="120"/>
    </w:p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标题 2_0"/>
    <w:basedOn w:val="3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7">
    <w:name w:val="三级标题"/>
    <w:basedOn w:val="8"/>
    <w:qFormat/>
    <w:uiPriority w:val="0"/>
    <w:pPr>
      <w:ind w:firstLine="422"/>
    </w:pPr>
  </w:style>
  <w:style w:type="paragraph" w:customStyle="1" w:styleId="8">
    <w:name w:val="一级标题_0"/>
    <w:basedOn w:val="3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9">
    <w:name w:val="四级标题"/>
    <w:basedOn w:val="10"/>
    <w:qFormat/>
    <w:uiPriority w:val="0"/>
    <w:pPr>
      <w:numPr>
        <w:ilvl w:val="0"/>
        <w:numId w:val="1"/>
      </w:numPr>
    </w:pPr>
    <w:rPr>
      <w:rFonts w:eastAsia="宋体" w:cs="Times New Roman"/>
      <w:kern w:val="2"/>
      <w:sz w:val="21"/>
    </w:rPr>
  </w:style>
  <w:style w:type="paragraph" w:customStyle="1" w:styleId="10">
    <w:name w:val="二级标题_0"/>
    <w:basedOn w:val="3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11">
    <w:name w:val="需求正文_0"/>
    <w:basedOn w:val="3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12">
    <w:name w:val="纸质表单正文"/>
    <w:basedOn w:val="2"/>
    <w:qFormat/>
    <w:uiPriority w:val="0"/>
    <w:pPr>
      <w:spacing w:after="0"/>
      <w:ind w:firstLine="400"/>
    </w:pPr>
  </w:style>
  <w:style w:type="paragraph" w:customStyle="1" w:styleId="13">
    <w:name w:val="正文_0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4">
    <w:name w:val="正文_0_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5">
    <w:name w:val="正文1_0_0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16">
    <w:name w:val="正文_0_0_0_0_0_0_0_0_0_0_0_0_0_0_0_0_0_0_0_0_0_0_0_0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2019-12-12T10:08:00Z</dcterms:created>
  <dc:creator>陈莉佳</dc:creator>
  <cp:lastModifiedBy>陈莉佳</cp:lastModifiedBy>
  <dcterms:modified xsi:type="dcterms:W3CDTF">2019-12-12T10:08:47Z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