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bookmarkStart w:id="0" w:name="_Toc25328342"/>
      <w:r>
        <w:rPr>
          <w:rFonts w:hint="eastAsia" w:ascii="宋体" w:hAnsi="宋体" w:eastAsia="宋体" w:cs="宋体"/>
          <w:color w:val="000000"/>
        </w:rPr>
        <w:t>C00128《资产负债表（适用未执行新金融工具准则的保险公司）》</w:t>
      </w:r>
      <w:bookmarkEnd w:id="0"/>
    </w:p>
    <w:p>
      <w:pPr>
        <w:pStyle w:val="11"/>
        <w:rPr>
          <w:rFonts w:ascii="宋体" w:hAnsi="宋体" w:cs="宋体"/>
          <w:color w:val="000000"/>
          <w:sz w:val="21"/>
          <w:szCs w:val="21"/>
        </w:rPr>
      </w:pPr>
      <w:bookmarkStart w:id="2" w:name="_GoBack"/>
      <w:bookmarkEnd w:id="2"/>
      <w:r>
        <w:rPr>
          <w:rFonts w:hint="eastAsia" w:ascii="宋体" w:hAnsi="宋体" w:cs="宋体"/>
          <w:color w:val="000000"/>
          <w:sz w:val="21"/>
          <w:szCs w:val="21"/>
        </w:rPr>
        <w:t>资产负债表</w:t>
      </w:r>
    </w:p>
    <w:p>
      <w:pPr>
        <w:pStyle w:val="13"/>
        <w:spacing w:line="360" w:lineRule="auto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会保 01 表</w:t>
      </w:r>
    </w:p>
    <w:p>
      <w:pPr>
        <w:pStyle w:val="13"/>
        <w:spacing w:line="360" w:lineRule="auto"/>
        <w:ind w:hanging="283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编制单位：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                      单位：元</w:t>
      </w:r>
    </w:p>
    <w:tbl>
      <w:tblPr>
        <w:tblStyle w:val="2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8"/>
        <w:gridCol w:w="680"/>
        <w:gridCol w:w="679"/>
        <w:gridCol w:w="3062"/>
        <w:gridCol w:w="681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bookmarkStart w:id="1" w:name="_Hlk17124321"/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资</w:t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期末</w:t>
            </w:r>
          </w:p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余额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年初</w:t>
            </w:r>
          </w:p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余额</w:t>
            </w: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负债和所有者权益</w:t>
            </w:r>
          </w:p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（或股东权益）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期末</w:t>
            </w:r>
          </w:p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余额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年初</w:t>
            </w:r>
          </w:p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资  产：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负  债：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货币资金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 短期借款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拆出资金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 拆入资金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交易性金融资产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交易性金融负债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衍生金融资产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衍生金融负债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买入返售金融资产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卖出回购金融资产款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应收利息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预收保费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应收保费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应付手续费及佣金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应收代位追偿款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应付分保账款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应收分保账款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应付职工薪酬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应收分保未到期责任准备金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应交税费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应收分保未决赔款准备金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应付赔付款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应收分保寿险责任准备金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应付保单红利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应收分保长期健康险责任准备金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保户储金及投资款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保户质押贷款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未到期责任准备金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定期存款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未决赔款准备金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可供出售金融资产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寿险责任准备金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持有至到期投资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长期健康险责任准备金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长期股权投资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长期借款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存出资本保证金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应付债券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投资性房地产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独立账户负债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固定资产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递延所得税负债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无形资产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其他负债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独立账户资产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负债合计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递延所得税资产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所有者权益（或股东权益）：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  其他资产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实收资本（或股本）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资本公积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减：库存股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盈余公积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一般风险准备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未分配利润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 xml:space="preserve"> 所有者权益（或股东权益）合计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218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资产总计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062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负债和所有者权益</w:t>
            </w:r>
          </w:p>
          <w:p>
            <w:pPr>
              <w:pStyle w:val="13"/>
              <w:widowControl w:val="0"/>
              <w:spacing w:line="360" w:lineRule="auto"/>
              <w:jc w:val="center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2"/>
              </w:rPr>
              <w:t>（或股东权益）总计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pStyle w:val="13"/>
              <w:widowControl w:val="0"/>
              <w:spacing w:line="360" w:lineRule="auto"/>
              <w:ind w:firstLine="420"/>
              <w:jc w:val="both"/>
              <w:rPr>
                <w:rFonts w:ascii="宋体" w:hAnsi="宋体" w:eastAsia="宋体"/>
                <w:color w:val="000000"/>
                <w:kern w:val="2"/>
                <w:sz w:val="21"/>
                <w:szCs w:val="22"/>
              </w:rPr>
            </w:pPr>
          </w:p>
        </w:tc>
      </w:tr>
      <w:bookmarkEnd w:id="1"/>
    </w:tbl>
    <w:p>
      <w:pPr>
        <w:pStyle w:val="10"/>
        <w:ind w:firstLine="420"/>
        <w:rPr>
          <w:rFonts w:ascii="Arial" w:hAnsi="Arial" w:cs="Arial"/>
          <w:color w:val="000000"/>
        </w:rPr>
      </w:pPr>
    </w:p>
    <w:p>
      <w:pPr>
        <w:pStyle w:val="6"/>
        <w:ind w:firstLine="422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【表单说明】</w:t>
      </w:r>
    </w:p>
    <w:p>
      <w:pPr>
        <w:pStyle w:val="10"/>
        <w:ind w:firstLine="42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pPr>
        <w:pStyle w:val="10"/>
        <w:rPr>
          <w:rFonts w:ascii="Arial" w:hAnsi="Arial" w:cs="Arial"/>
          <w:color w:val="000000"/>
        </w:rPr>
      </w:pPr>
    </w:p>
    <w:p>
      <w:pPr>
        <w:pStyle w:val="10"/>
        <w:ind w:firstLine="420"/>
        <w:rPr>
          <w:rFonts w:ascii="Arial" w:hAnsi="Arial" w:cs="Arial"/>
          <w:color w:val="000000"/>
        </w:rPr>
      </w:pPr>
    </w:p>
    <w:p>
      <w:pPr>
        <w:pStyle w:val="10"/>
        <w:rPr>
          <w:rFonts w:ascii="Arial" w:hAnsi="Arial" w:cs="Arial"/>
          <w:color w:val="000000"/>
        </w:rPr>
      </w:pPr>
    </w:p>
    <w:p>
      <w:pPr>
        <w:pStyle w:val="13"/>
        <w:rPr>
          <w:color w:val="000000"/>
        </w:rPr>
      </w:pPr>
    </w:p>
    <w:p>
      <w:r>
        <w:rPr>
          <w:rFonts w:hint="eastAsia" w:ascii="宋体" w:hAnsi="宋体"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7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E63AC"/>
    <w:rsid w:val="182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7">
    <w:name w:val="四级标题"/>
    <w:basedOn w:val="8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8">
    <w:name w:val="二级标题_0"/>
    <w:basedOn w:val="5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5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表格文字 居中加粗"/>
    <w:basedOn w:val="12"/>
    <w:qFormat/>
    <w:uiPriority w:val="0"/>
    <w:pPr>
      <w:spacing w:line="360" w:lineRule="auto"/>
      <w:jc w:val="center"/>
    </w:pPr>
    <w:rPr>
      <w:rFonts w:ascii="Arial" w:hAnsi="Arial" w:eastAsia="宋体"/>
      <w:b/>
      <w:bCs/>
      <w:sz w:val="20"/>
      <w:szCs w:val="20"/>
    </w:rPr>
  </w:style>
  <w:style w:type="paragraph" w:customStyle="1" w:styleId="12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2019-12-12T10:12:00Z</dcterms:created>
  <dc:creator>陈莉佳</dc:creator>
  <cp:lastModifiedBy>陈莉佳</cp:lastModifiedBy>
  <dcterms:modified xsi:type="dcterms:W3CDTF">2019-12-12T10:12:27Z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