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>A06157</w:t>
      </w:r>
      <w:r>
        <w:rPr>
          <w:rFonts w:hint="eastAsia" w:ascii="宋体" w:hAnsi="宋体" w:eastAsia="宋体"/>
        </w:rPr>
        <w:t>《现金流量表（适用执行企业会计制度的企业）》</w:t>
      </w:r>
    </w:p>
    <w:p>
      <w:pPr>
        <w:pStyle w:val="5"/>
        <w:ind w:firstLine="422"/>
        <w:rPr>
          <w:color w:val="000000"/>
        </w:rPr>
      </w:pPr>
      <w:bookmarkStart w:id="0" w:name="_GoBack"/>
      <w:bookmarkEnd w:id="0"/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8"/>
        <w:gridCol w:w="905"/>
        <w:gridCol w:w="14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现金流量表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jc w:val="left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                                               会企03表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52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jc w:val="both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Style w:val="12"/>
                <w:rFonts w:hint="eastAsia" w:ascii="宋体" w:hAnsi="宋体" w:eastAsia="宋体"/>
                <w:b w:val="0"/>
                <w:color w:val="000000"/>
                <w:sz w:val="18"/>
                <w:szCs w:val="18"/>
              </w:rPr>
              <w:t>编制单位：</w:t>
            </w: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         年度        单位：元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项            目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行次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一、经营活动产生的现金流量：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销售商品、提供劳务收到的现金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收到的税费返还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收到的其他与经营活动有关的现金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ind w:firstLine="54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现金流入小计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购买商品、接受劳务支付的现金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支付给职工以及为职工支付的现金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支付的各项税费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支付的其他与经营活动有关的现金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ind w:firstLine="54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现金流出小计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经营活动产生的现金流量净额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二、投资活动产生的现金流量：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收回投资所收到的现金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取得投资收益所收到的现金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处置固定资产、无形资产和其他长期资产所收回的现金净额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收到的其他与投资活动有关的现金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ind w:firstLine="54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现金流入小计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购建固定资产、无形资产和其他长期资产所支付的现金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投资所支付的现金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支付的其他与投资活动有关的现金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ind w:firstLine="54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现金流出小计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投资活动产生的现金流量净额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三、筹资活动产生的现金流量：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吸收投资所收到的现金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借款所收到的现金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收到的其他与筹资活动有关的现金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ind w:firstLine="54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现金流入小计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偿还债务所支付的现金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分配股利、利润或偿付利息所支付的现金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支付的其他与筹资活动有关的现金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ind w:firstLine="54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现金流出小计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筹资活动产生的现金流量净额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四、汇率变动对现金的影响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五、现金及现金等价物净增加额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补充资料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项         目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行次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1．将净利润调节为经营活动现金流量：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净利润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加：计提的资产减值准备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ind w:firstLine="36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固定资产折旧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ind w:firstLine="36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无形资产摊销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ind w:firstLine="36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长期待摊费用摊销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ind w:firstLine="36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待摊费用减少(减：增加)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ind w:firstLine="36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预提费用增加(减：减少)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ind w:firstLine="36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处置固定资产、无形资产和其他长期资产的损失(减：收益)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ind w:firstLine="36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固定资产报废损失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ind w:firstLine="36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财务费用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ind w:firstLine="36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投资损失(减：收益)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ind w:firstLine="36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递延税款贷项(减：借项)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ind w:firstLine="36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存货的减少(减：增加)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ind w:firstLine="36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经营性应收项目的减少(减：增加)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ind w:firstLine="36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经营性应付项目的增加(减：减少)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ind w:firstLine="36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经营活动产生的现金流量净额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2．不涉及现金收支的投资和筹资活动：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债务转为资本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一年内到期的可转换公司债券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融资租入固定资产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3．现金及现金等价物净增加情况：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现金的期末余额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减：现金的期初余额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加：现金等价物的期末余额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减：现金等价物的期初余额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3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现金及现金等价物净增加额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rPr>
                <w:rFonts w:eastAsia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color w:val="000000"/>
                <w:sz w:val="18"/>
                <w:szCs w:val="18"/>
              </w:rPr>
              <w:t> </w:t>
            </w:r>
          </w:p>
        </w:tc>
      </w:tr>
    </w:tbl>
    <w:p>
      <w:pPr>
        <w:pStyle w:val="5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7"/>
        <w:rPr>
          <w:color w:val="000000"/>
          <w:szCs w:val="2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  <w:szCs w:val="22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9332C"/>
    <w:rsid w:val="65B9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a1_0"/>
    <w:basedOn w:val="9"/>
    <w:uiPriority w:val="0"/>
    <w:pPr>
      <w:widowControl/>
      <w:jc w:val="center"/>
    </w:pPr>
    <w:rPr>
      <w:kern w:val="0"/>
      <w:sz w:val="28"/>
      <w:szCs w:val="28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a_0"/>
    <w:basedOn w:val="11"/>
    <w:uiPriority w:val="0"/>
    <w:pPr>
      <w:spacing w:line="360" w:lineRule="auto"/>
      <w:jc w:val="center"/>
    </w:pPr>
    <w:rPr>
      <w:rFonts w:ascii="宋体" w:hAnsi="宋体" w:cs="宋体"/>
      <w:b/>
      <w:bCs/>
      <w:sz w:val="28"/>
      <w:szCs w:val="28"/>
    </w:rPr>
  </w:style>
  <w:style w:type="paragraph" w:customStyle="1" w:styleId="11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12">
    <w:name w:val="char_0"/>
    <w:uiPriority w:val="0"/>
    <w:rPr>
      <w:rFonts w:hint="default" w:ascii="Arial" w:hAnsi="Arial" w:cs="Arial"/>
    </w:rPr>
  </w:style>
  <w:style w:type="paragraph" w:customStyle="1" w:styleId="13">
    <w:name w:val="a0_0"/>
    <w:basedOn w:val="11"/>
    <w:uiPriority w:val="0"/>
    <w:pPr>
      <w:spacing w:line="360" w:lineRule="auto"/>
      <w:jc w:val="center"/>
    </w:pPr>
    <w:rPr>
      <w:rFonts w:ascii="宋体" w:hAnsi="宋体" w:cs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2019-10-30T07:18:00Z</dcterms:created>
  <dc:creator>陈莉佳</dc:creator>
  <cp:lastModifiedBy>陈莉佳</cp:lastModifiedBy>
  <dcterms:modified xsi:type="dcterms:W3CDTF">2019-10-30T07:18:51Z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