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A06812《企业会计制度附注》</w:t>
      </w:r>
    </w:p>
    <w:p>
      <w:pPr>
        <w:pStyle w:val="6"/>
        <w:ind w:firstLine="422"/>
        <w:outlineLvl w:val="2"/>
        <w:rPr>
          <w:rFonts w:ascii="Arial" w:hAnsi="Arial" w:cs="Arial"/>
          <w:b/>
          <w:color w:val="000000"/>
        </w:rPr>
      </w:pPr>
      <w:r>
        <w:rPr>
          <w:rFonts w:hint="eastAsia" w:ascii="Arial" w:hAnsi="Arial" w:cs="Arial"/>
          <w:b/>
          <w:color w:val="000000"/>
        </w:rPr>
        <w:t>【分类索引】</w:t>
      </w:r>
    </w:p>
    <w:p>
      <w:pPr>
        <w:pStyle w:val="7"/>
        <w:numPr>
          <w:ilvl w:val="0"/>
          <w:numId w:val="1"/>
        </w:numPr>
        <w:rPr>
          <w:rFonts w:ascii="宋体" w:hAnsi="宋体" w:eastAsia="宋体"/>
          <w:color w:val="000000"/>
        </w:rPr>
      </w:pPr>
      <w:r>
        <w:rPr>
          <w:rFonts w:hint="eastAsia" w:ascii="宋体" w:hAnsi="宋体" w:eastAsia="宋体"/>
          <w:color w:val="000000"/>
        </w:rPr>
        <w:t>业务部门</w:t>
      </w:r>
    </w:p>
    <w:p>
      <w:pPr>
        <w:pStyle w:val="8"/>
      </w:pPr>
      <w:r>
        <w:rPr>
          <w:rFonts w:hint="eastAsia"/>
        </w:rPr>
        <w:t>征管和科技发展司</w:t>
      </w:r>
    </w:p>
    <w:p>
      <w:pPr>
        <w:pStyle w:val="7"/>
        <w:numPr>
          <w:ilvl w:val="0"/>
          <w:numId w:val="1"/>
        </w:numPr>
        <w:rPr>
          <w:rFonts w:ascii="宋体" w:hAnsi="宋体" w:eastAsia="宋体"/>
          <w:color w:val="000000"/>
        </w:rPr>
      </w:pPr>
      <w:r>
        <w:rPr>
          <w:rFonts w:hint="eastAsia" w:ascii="宋体" w:hAnsi="宋体" w:eastAsia="宋体"/>
          <w:color w:val="000000"/>
        </w:rPr>
        <w:t>业务类别</w:t>
      </w:r>
    </w:p>
    <w:p>
      <w:pPr>
        <w:pStyle w:val="7"/>
        <w:ind w:firstLine="480" w:firstLineChars="200"/>
        <w:outlineLvl w:val="9"/>
        <w:rPr>
          <w:rFonts w:ascii="宋体" w:hAnsi="宋体" w:eastAsia="宋体" w:cs="宋体"/>
          <w:color w:val="000000"/>
          <w:szCs w:val="21"/>
        </w:rPr>
      </w:pPr>
      <w:r>
        <w:rPr>
          <w:rFonts w:hint="eastAsia" w:ascii="宋体" w:hAnsi="宋体" w:eastAsia="宋体" w:cs="宋体"/>
          <w:color w:val="000000"/>
          <w:szCs w:val="21"/>
        </w:rPr>
        <w:t>自主办理事项</w:t>
      </w:r>
    </w:p>
    <w:p>
      <w:pPr>
        <w:pStyle w:val="7"/>
        <w:numPr>
          <w:ilvl w:val="0"/>
          <w:numId w:val="1"/>
        </w:numPr>
        <w:rPr>
          <w:rFonts w:ascii="宋体" w:hAnsi="宋体" w:eastAsia="宋体"/>
          <w:color w:val="000000"/>
        </w:rPr>
      </w:pPr>
      <w:r>
        <w:rPr>
          <w:rFonts w:hint="eastAsia" w:ascii="宋体" w:hAnsi="宋体" w:eastAsia="宋体"/>
          <w:color w:val="000000"/>
        </w:rPr>
        <w:t>表单类型</w:t>
      </w:r>
    </w:p>
    <w:p>
      <w:pPr>
        <w:pStyle w:val="9"/>
      </w:pPr>
      <w:r>
        <w:rPr>
          <w:rFonts w:hint="eastAsia"/>
        </w:rPr>
        <w:t>纳税人填报</w:t>
      </w:r>
      <w:r>
        <w:t xml:space="preserve"> </w:t>
      </w:r>
    </w:p>
    <w:p>
      <w:pPr>
        <w:pStyle w:val="7"/>
        <w:numPr>
          <w:ilvl w:val="0"/>
          <w:numId w:val="1"/>
        </w:numPr>
        <w:rPr>
          <w:rFonts w:ascii="宋体" w:hAnsi="宋体" w:eastAsia="宋体"/>
          <w:color w:val="000000"/>
        </w:rPr>
      </w:pPr>
      <w:r>
        <w:rPr>
          <w:rFonts w:hint="eastAsia" w:ascii="宋体" w:hAnsi="宋体" w:eastAsia="宋体"/>
          <w:color w:val="000000"/>
        </w:rPr>
        <w:t>设置依据（表单来源）</w:t>
      </w:r>
    </w:p>
    <w:p>
      <w:pPr>
        <w:pStyle w:val="9"/>
      </w:pPr>
      <w:r>
        <w:rPr>
          <w:rFonts w:hint="eastAsia"/>
        </w:rPr>
        <w:t>政策规定表单</w:t>
      </w:r>
      <w:r>
        <w:t xml:space="preserve"> </w:t>
      </w:r>
    </w:p>
    <w:p>
      <w:pPr>
        <w:pStyle w:val="6"/>
        <w:ind w:firstLine="422"/>
        <w:outlineLvl w:val="2"/>
        <w:rPr>
          <w:rFonts w:ascii="Arial" w:hAnsi="Arial" w:cs="Arial"/>
          <w:b/>
          <w:color w:val="000000"/>
        </w:rPr>
      </w:pPr>
      <w:r>
        <w:rPr>
          <w:rFonts w:hint="eastAsia" w:ascii="Arial" w:hAnsi="Arial" w:cs="Arial"/>
          <w:b/>
          <w:color w:val="000000"/>
        </w:rPr>
        <w:t>【政策依据】</w:t>
      </w:r>
    </w:p>
    <w:p>
      <w:pPr>
        <w:pStyle w:val="9"/>
      </w:pPr>
      <w:r>
        <w:rPr>
          <w:rFonts w:hint="eastAsia"/>
        </w:rPr>
        <w:t>《企业会计制度》（财会﹝2000﹞25号）</w:t>
      </w:r>
    </w:p>
    <w:p>
      <w:pPr>
        <w:pStyle w:val="6"/>
        <w:ind w:firstLine="422"/>
        <w:outlineLvl w:val="2"/>
        <w:rPr>
          <w:rFonts w:ascii="Arial" w:hAnsi="Arial" w:cs="Arial"/>
          <w:b/>
          <w:color w:val="000000"/>
        </w:rPr>
      </w:pPr>
      <w:r>
        <w:rPr>
          <w:rFonts w:hint="eastAsia" w:ascii="Arial" w:hAnsi="Arial" w:cs="Arial"/>
          <w:b/>
          <w:color w:val="000000"/>
        </w:rPr>
        <w:t>【表单】</w:t>
      </w:r>
    </w:p>
    <w:p>
      <w:pPr>
        <w:pStyle w:val="10"/>
        <w:jc w:val="center"/>
        <w:rPr>
          <w:b/>
          <w:bCs/>
        </w:rPr>
      </w:pPr>
      <w:r>
        <w:rPr>
          <w:rFonts w:hint="eastAsia"/>
          <w:b/>
          <w:bCs/>
        </w:rPr>
        <w:t>《企业会计制度附注》</w:t>
      </w:r>
    </w:p>
    <w:p>
      <w:pPr>
        <w:pStyle w:val="10"/>
        <w:rPr>
          <w:b/>
          <w:bCs/>
        </w:rPr>
      </w:pPr>
      <w:r>
        <w:rPr>
          <w:rFonts w:hint="eastAsia"/>
          <w:b/>
          <w:bCs/>
          <w:szCs w:val="21"/>
        </w:rPr>
        <w:t>企业的年度会计报表附注至少应披露如下内容，法律、行政法规和国家统一的会计制度另有规定的，从其规定：</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（一）不符合会计核算前提的说明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（二）重要会计政策和会计估计的说明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（三）重要会计政策和会计估计变更的说明，以及重大会计差错更正的说明，主要包括以下事项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22" w:type="dxa"/>
            <w:vMerge w:val="restart"/>
            <w:noWrap w:val="0"/>
            <w:vAlign w:val="top"/>
          </w:tcPr>
          <w:p>
            <w:pPr>
              <w:pStyle w:val="10"/>
              <w:rPr>
                <w:sz w:val="15"/>
                <w:szCs w:val="15"/>
              </w:rPr>
            </w:pPr>
            <w:r>
              <w:rPr>
                <w:rFonts w:hint="eastAsia"/>
                <w:sz w:val="15"/>
                <w:szCs w:val="15"/>
              </w:rPr>
              <w:t>1.会计政策变更的内容和理由；</w:t>
            </w:r>
            <w:r>
              <w:rPr>
                <w:rFonts w:hint="eastAsia"/>
                <w:sz w:val="15"/>
                <w:szCs w:val="15"/>
              </w:rPr>
              <w:br w:type="textWrapping"/>
            </w:r>
            <w:r>
              <w:rPr>
                <w:rFonts w:hint="eastAsia"/>
                <w:sz w:val="15"/>
                <w:szCs w:val="15"/>
              </w:rPr>
              <w:t>2.会计政策变更的影响数；</w:t>
            </w:r>
            <w:r>
              <w:rPr>
                <w:rFonts w:hint="eastAsia"/>
                <w:sz w:val="15"/>
                <w:szCs w:val="15"/>
              </w:rPr>
              <w:br w:type="textWrapping"/>
            </w:r>
            <w:r>
              <w:rPr>
                <w:rFonts w:hint="eastAsia"/>
                <w:sz w:val="15"/>
                <w:szCs w:val="15"/>
              </w:rPr>
              <w:t>3.累积影响数不能合理确定的理由；</w:t>
            </w:r>
            <w:r>
              <w:rPr>
                <w:rFonts w:hint="eastAsia"/>
                <w:sz w:val="15"/>
                <w:szCs w:val="15"/>
              </w:rPr>
              <w:br w:type="textWrapping"/>
            </w:r>
            <w:r>
              <w:rPr>
                <w:rFonts w:hint="eastAsia"/>
                <w:sz w:val="15"/>
                <w:szCs w:val="15"/>
              </w:rPr>
              <w:t>4.会计估计变更的内容和理由；</w:t>
            </w:r>
            <w:r>
              <w:rPr>
                <w:rFonts w:hint="eastAsia"/>
                <w:sz w:val="15"/>
                <w:szCs w:val="15"/>
              </w:rPr>
              <w:br w:type="textWrapping"/>
            </w:r>
            <w:r>
              <w:rPr>
                <w:rFonts w:hint="eastAsia"/>
                <w:sz w:val="15"/>
                <w:szCs w:val="15"/>
              </w:rPr>
              <w:t>5.会计估计变更的影响数；</w:t>
            </w:r>
            <w:r>
              <w:rPr>
                <w:rFonts w:hint="eastAsia"/>
                <w:sz w:val="15"/>
                <w:szCs w:val="15"/>
              </w:rPr>
              <w:br w:type="textWrapping"/>
            </w:r>
            <w:r>
              <w:rPr>
                <w:rFonts w:hint="eastAsia"/>
                <w:sz w:val="15"/>
                <w:szCs w:val="15"/>
              </w:rPr>
              <w:t>6.会计估计变更的影响数不能合理确定的理由；</w:t>
            </w:r>
            <w:r>
              <w:rPr>
                <w:rFonts w:hint="eastAsia"/>
                <w:sz w:val="15"/>
                <w:szCs w:val="15"/>
              </w:rPr>
              <w:br w:type="textWrapping"/>
            </w:r>
            <w:r>
              <w:rPr>
                <w:rFonts w:hint="eastAsia"/>
                <w:sz w:val="15"/>
                <w:szCs w:val="15"/>
              </w:rPr>
              <w:t>7.重大会计差错的内容；</w:t>
            </w:r>
            <w:r>
              <w:rPr>
                <w:rFonts w:hint="eastAsia"/>
                <w:sz w:val="15"/>
                <w:szCs w:val="15"/>
              </w:rPr>
              <w:br w:type="textWrapping"/>
            </w:r>
            <w:r>
              <w:rPr>
                <w:rFonts w:hint="eastAsia"/>
                <w:sz w:val="15"/>
                <w:szCs w:val="15"/>
              </w:rPr>
              <w:t>8.重大会计差错的更正金额。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（四）或有事项的说明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 w:val="15"/>
                <w:szCs w:val="15"/>
              </w:rPr>
            </w:pPr>
            <w:r>
              <w:rPr>
                <w:rFonts w:hint="eastAsia"/>
                <w:sz w:val="15"/>
                <w:szCs w:val="15"/>
              </w:rPr>
              <w:t>1.或有负债的类型及其影响，包括：</w:t>
            </w:r>
            <w:r>
              <w:rPr>
                <w:rFonts w:hint="eastAsia"/>
                <w:sz w:val="15"/>
                <w:szCs w:val="15"/>
              </w:rPr>
              <w:br w:type="textWrapping"/>
            </w:r>
            <w:r>
              <w:rPr>
                <w:rFonts w:hint="eastAsia"/>
                <w:sz w:val="15"/>
                <w:szCs w:val="15"/>
              </w:rPr>
              <w:t>（1）已贴现商业承兑汇票形成的或有负债；</w:t>
            </w:r>
            <w:r>
              <w:rPr>
                <w:rFonts w:hint="eastAsia"/>
                <w:sz w:val="15"/>
                <w:szCs w:val="15"/>
              </w:rPr>
              <w:br w:type="textWrapping"/>
            </w:r>
            <w:r>
              <w:rPr>
                <w:rFonts w:hint="eastAsia"/>
                <w:sz w:val="15"/>
                <w:szCs w:val="15"/>
              </w:rPr>
              <w:t>（2）未决诉讼。仲裁形成的或有负债；</w:t>
            </w:r>
            <w:r>
              <w:rPr>
                <w:rFonts w:hint="eastAsia"/>
                <w:sz w:val="15"/>
                <w:szCs w:val="15"/>
              </w:rPr>
              <w:br w:type="textWrapping"/>
            </w:r>
            <w:r>
              <w:rPr>
                <w:rFonts w:hint="eastAsia"/>
                <w:sz w:val="15"/>
                <w:szCs w:val="15"/>
              </w:rPr>
              <w:t>（3）为其他单位提供债务担保形成的或有负债；</w:t>
            </w:r>
            <w:r>
              <w:rPr>
                <w:rFonts w:hint="eastAsia"/>
                <w:sz w:val="15"/>
                <w:szCs w:val="15"/>
              </w:rPr>
              <w:br w:type="textWrapping"/>
            </w:r>
            <w:r>
              <w:rPr>
                <w:rFonts w:hint="eastAsia"/>
                <w:sz w:val="15"/>
                <w:szCs w:val="15"/>
              </w:rPr>
              <w:t>（4）其他或有负债（不包括极小可能导致经济利益流出企业的或有负债）；</w:t>
            </w:r>
            <w:r>
              <w:rPr>
                <w:rFonts w:hint="eastAsia"/>
                <w:sz w:val="15"/>
                <w:szCs w:val="15"/>
              </w:rPr>
              <w:br w:type="textWrapping"/>
            </w:r>
            <w:r>
              <w:rPr>
                <w:rFonts w:hint="eastAsia"/>
                <w:sz w:val="15"/>
                <w:szCs w:val="15"/>
              </w:rPr>
              <w:t>（5）或有负债预计产生的财务影响（如无法预计，应说明理由）；</w:t>
            </w:r>
            <w:r>
              <w:rPr>
                <w:rFonts w:hint="eastAsia"/>
                <w:sz w:val="15"/>
                <w:szCs w:val="15"/>
              </w:rPr>
              <w:br w:type="textWrapping"/>
            </w:r>
            <w:r>
              <w:rPr>
                <w:rFonts w:hint="eastAsia"/>
                <w:sz w:val="15"/>
                <w:szCs w:val="15"/>
              </w:rPr>
              <w:t>（6）或有负债获得补偿的可能性。</w:t>
            </w:r>
            <w:r>
              <w:rPr>
                <w:rFonts w:hint="eastAsia"/>
                <w:sz w:val="15"/>
                <w:szCs w:val="15"/>
              </w:rPr>
              <w:br w:type="textWrapping"/>
            </w:r>
            <w:r>
              <w:rPr>
                <w:rFonts w:hint="eastAsia"/>
                <w:sz w:val="15"/>
                <w:szCs w:val="15"/>
              </w:rPr>
              <w:t>2.如果或有资产很可能会给企业带来经济利益时，则应说明其形成的原因及其产生的财务影响。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（五）资产负债表日后事项的说明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 w:val="15"/>
                <w:szCs w:val="15"/>
              </w:rPr>
            </w:pPr>
            <w:r>
              <w:rPr>
                <w:rFonts w:hint="eastAsia"/>
                <w:sz w:val="15"/>
                <w:szCs w:val="15"/>
              </w:rPr>
              <w:t>应说明股票和债券的发行、对一个企业的巨额投资、自然灾害导致的资产损失以及外汇汇率发生较大变动等非调整事项的内容，估计对财务状况、经营成果的影响；如无法作出估计，应说明其原因。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（六）关联方关系及其交易的说明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 w:val="15"/>
                <w:szCs w:val="15"/>
              </w:rPr>
            </w:pPr>
            <w:r>
              <w:rPr>
                <w:rFonts w:hint="eastAsia"/>
                <w:sz w:val="15"/>
                <w:szCs w:val="15"/>
              </w:rPr>
              <w:t>1.在存在控制关系的情况下，关联方如为企业时，不论他们之间有无交易，都应说明如下事项：</w:t>
            </w:r>
            <w:r>
              <w:rPr>
                <w:rFonts w:hint="eastAsia"/>
                <w:sz w:val="15"/>
                <w:szCs w:val="15"/>
              </w:rPr>
              <w:br w:type="textWrapping"/>
            </w:r>
            <w:r>
              <w:rPr>
                <w:rFonts w:hint="eastAsia"/>
                <w:sz w:val="15"/>
                <w:szCs w:val="15"/>
              </w:rPr>
              <w:t>（1）企业经济性质或类型、名称、法定代表人、注册地、注册资本及其变化；</w:t>
            </w:r>
            <w:r>
              <w:rPr>
                <w:rFonts w:hint="eastAsia"/>
                <w:sz w:val="15"/>
                <w:szCs w:val="15"/>
              </w:rPr>
              <w:br w:type="textWrapping"/>
            </w:r>
            <w:r>
              <w:rPr>
                <w:rFonts w:hint="eastAsia"/>
                <w:sz w:val="15"/>
                <w:szCs w:val="15"/>
              </w:rPr>
              <w:t>（2）企业的主营业务；</w:t>
            </w:r>
            <w:r>
              <w:rPr>
                <w:rFonts w:hint="eastAsia"/>
                <w:sz w:val="15"/>
                <w:szCs w:val="15"/>
              </w:rPr>
              <w:br w:type="textWrapping"/>
            </w:r>
            <w:r>
              <w:rPr>
                <w:rFonts w:hint="eastAsia"/>
                <w:sz w:val="15"/>
                <w:szCs w:val="15"/>
              </w:rPr>
              <w:t>（3）所持股份或权益及其变化。</w:t>
            </w:r>
            <w:r>
              <w:rPr>
                <w:rFonts w:hint="eastAsia"/>
                <w:sz w:val="15"/>
                <w:szCs w:val="15"/>
              </w:rPr>
              <w:br w:type="textWrapping"/>
            </w:r>
            <w:r>
              <w:rPr>
                <w:rFonts w:hint="eastAsia"/>
                <w:sz w:val="15"/>
                <w:szCs w:val="15"/>
              </w:rPr>
              <w:t>2.在企业与关联方发生交易的情况下，企业应说明关联方关系的性质、交易类型及其交易要素，这些要素一般包括：</w:t>
            </w:r>
            <w:r>
              <w:rPr>
                <w:rFonts w:hint="eastAsia"/>
                <w:sz w:val="15"/>
                <w:szCs w:val="15"/>
              </w:rPr>
              <w:br w:type="textWrapping"/>
            </w:r>
            <w:r>
              <w:rPr>
                <w:rFonts w:hint="eastAsia"/>
                <w:sz w:val="15"/>
                <w:szCs w:val="15"/>
              </w:rPr>
              <w:t>（1）交易的金额或相应比例；</w:t>
            </w:r>
            <w:r>
              <w:rPr>
                <w:rFonts w:hint="eastAsia"/>
                <w:sz w:val="15"/>
                <w:szCs w:val="15"/>
              </w:rPr>
              <w:br w:type="textWrapping"/>
            </w:r>
            <w:r>
              <w:rPr>
                <w:rFonts w:hint="eastAsia"/>
                <w:sz w:val="15"/>
                <w:szCs w:val="15"/>
              </w:rPr>
              <w:t>（2）未结算项目的金额或相应比例；</w:t>
            </w:r>
            <w:r>
              <w:rPr>
                <w:rFonts w:hint="eastAsia"/>
                <w:sz w:val="15"/>
                <w:szCs w:val="15"/>
              </w:rPr>
              <w:br w:type="textWrapping"/>
            </w:r>
            <w:r>
              <w:rPr>
                <w:rFonts w:hint="eastAsia"/>
                <w:sz w:val="15"/>
                <w:szCs w:val="15"/>
              </w:rPr>
              <w:t>（3）定价政策（包括没有金额或只有象征性金额的交易）。</w:t>
            </w:r>
            <w:r>
              <w:rPr>
                <w:rFonts w:hint="eastAsia"/>
                <w:sz w:val="15"/>
                <w:szCs w:val="15"/>
              </w:rPr>
              <w:br w:type="textWrapping"/>
            </w:r>
            <w:r>
              <w:rPr>
                <w:rFonts w:hint="eastAsia"/>
                <w:sz w:val="15"/>
                <w:szCs w:val="15"/>
              </w:rPr>
              <w:t>3.关联方交易应分别关联方以及交易类型予以说明，类型相同的关联方交易，在不影响会计报表使用者正确理解的情况下可以合并说明。</w:t>
            </w:r>
            <w:r>
              <w:rPr>
                <w:rFonts w:hint="eastAsia"/>
                <w:sz w:val="15"/>
                <w:szCs w:val="15"/>
              </w:rPr>
              <w:br w:type="textWrapping"/>
            </w:r>
            <w:r>
              <w:rPr>
                <w:rFonts w:hint="eastAsia"/>
                <w:sz w:val="15"/>
                <w:szCs w:val="15"/>
              </w:rPr>
              <w:t>4.对于关联方交易价格的确定如果高于或低于一般交易价格的，应说明其价格的公允性。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（七）重要资产转让及其出售的说明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（八）企业合并、分立的说明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（九）会计报表重要项目的说明，包括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1"/>
              <w:widowControl w:val="0"/>
              <w:ind w:left="360" w:hanging="360"/>
              <w:jc w:val="both"/>
              <w:rPr>
                <w:rFonts w:ascii="宋体" w:hAnsi="宋体" w:eastAsia="宋体"/>
                <w:sz w:val="15"/>
                <w:szCs w:val="15"/>
              </w:rPr>
            </w:pPr>
            <w:r>
              <w:rPr>
                <w:rFonts w:hint="eastAsia"/>
                <w:sz w:val="15"/>
                <w:szCs w:val="15"/>
              </w:rPr>
              <w:t>应</w:t>
            </w:r>
            <w:r>
              <w:rPr>
                <w:rFonts w:hint="eastAsia" w:ascii="宋体" w:hAnsi="宋体" w:eastAsia="宋体"/>
                <w:sz w:val="15"/>
                <w:szCs w:val="15"/>
              </w:rPr>
              <w:t>收款项（不包括应收票据，下同）及计提坏账准备的方法</w:t>
            </w:r>
            <w:r>
              <w:rPr>
                <w:rFonts w:hint="eastAsia" w:ascii="宋体" w:hAnsi="宋体" w:eastAsia="宋体"/>
                <w:sz w:val="15"/>
                <w:szCs w:val="15"/>
              </w:rPr>
              <w:br w:type="textWrapping"/>
            </w:r>
            <w:r>
              <w:rPr>
                <w:rFonts w:hint="eastAsia" w:ascii="宋体" w:hAnsi="宋体" w:eastAsia="宋体"/>
                <w:sz w:val="15"/>
                <w:szCs w:val="15"/>
              </w:rPr>
              <w:t>（1）说明坏账的确认标准，以及坏账准备的计提方法和计提比例，并重点说明如下事项：</w:t>
            </w:r>
            <w:r>
              <w:rPr>
                <w:rFonts w:hint="eastAsia" w:ascii="宋体" w:hAnsi="宋体" w:eastAsia="宋体"/>
                <w:sz w:val="15"/>
                <w:szCs w:val="15"/>
              </w:rPr>
              <w:br w:type="textWrapping"/>
            </w:r>
            <w:r>
              <w:rPr>
                <w:rFonts w:hint="eastAsia" w:ascii="宋体" w:hAnsi="宋体" w:eastAsia="宋体"/>
                <w:sz w:val="15"/>
                <w:szCs w:val="15"/>
              </w:rPr>
              <w:t>①本年度全额计提坏账准备，或计提坏账准备的比例较大的（计提比例一般超过40％及以上的，下同），应单独说明计提的比例及其理由；</w:t>
            </w:r>
            <w:r>
              <w:rPr>
                <w:rFonts w:hint="eastAsia" w:ascii="宋体" w:hAnsi="宋体" w:eastAsia="宋体"/>
                <w:sz w:val="15"/>
                <w:szCs w:val="15"/>
              </w:rPr>
              <w:br w:type="textWrapping"/>
            </w:r>
            <w:r>
              <w:rPr>
                <w:rFonts w:hint="eastAsia" w:ascii="宋体" w:hAnsi="宋体" w:eastAsia="宋体"/>
                <w:sz w:val="15"/>
                <w:szCs w:val="15"/>
              </w:rPr>
              <w:t>②以前年度已全额计提坏账准备，或计提坏账准备的比例较大的，但在本年度又全额或部分收回的，或通过重组等其他方式收回的，应说明其原因，原估计计提比例的理由，以及原估计计提比例的合理性；</w:t>
            </w:r>
            <w:r>
              <w:rPr>
                <w:rFonts w:hint="eastAsia" w:ascii="宋体" w:hAnsi="宋体" w:eastAsia="宋体"/>
                <w:sz w:val="15"/>
                <w:szCs w:val="15"/>
              </w:rPr>
              <w:br w:type="textWrapping"/>
            </w:r>
            <w:r>
              <w:rPr>
                <w:rFonts w:hint="eastAsia" w:ascii="宋体" w:hAnsi="宋体" w:eastAsia="宋体"/>
                <w:sz w:val="15"/>
                <w:szCs w:val="15"/>
              </w:rPr>
              <w:t>③对某些金额较大的应收款项不计提坏账准备，或计提坏账准备比例较低（一般为5％或低于5％）的理由；</w:t>
            </w:r>
            <w:r>
              <w:rPr>
                <w:rFonts w:hint="eastAsia" w:ascii="宋体" w:hAnsi="宋体" w:eastAsia="宋体"/>
                <w:sz w:val="15"/>
                <w:szCs w:val="15"/>
              </w:rPr>
              <w:br w:type="textWrapping"/>
            </w:r>
            <w:r>
              <w:rPr>
                <w:rFonts w:hint="eastAsia" w:ascii="宋体" w:hAnsi="宋体" w:eastAsia="宋体"/>
                <w:sz w:val="15"/>
                <w:szCs w:val="15"/>
              </w:rPr>
              <w:t>④本年度实际冲销的应收款项及其理由，其中，实际冲销的关联交易产生的应收款项应单独披露。</w:t>
            </w:r>
            <w:r>
              <w:rPr>
                <w:rFonts w:hint="eastAsia" w:ascii="宋体" w:hAnsi="宋体" w:eastAsia="宋体"/>
                <w:sz w:val="15"/>
                <w:szCs w:val="15"/>
              </w:rPr>
              <w:br w:type="textWrapping"/>
            </w:r>
            <w:r>
              <w:rPr>
                <w:rFonts w:hint="eastAsia" w:ascii="宋体" w:hAnsi="宋体" w:eastAsia="宋体"/>
                <w:sz w:val="15"/>
                <w:szCs w:val="15"/>
              </w:rPr>
              <w:t>（2）《应收款项应按下列格式分别进行披露》</w:t>
            </w:r>
          </w:p>
          <w:p>
            <w:pPr>
              <w:pStyle w:val="10"/>
              <w:rPr>
                <w:rFonts w:ascii="宋体" w:hAnsi="宋体"/>
                <w:sz w:val="15"/>
                <w:szCs w:val="15"/>
              </w:rPr>
            </w:pPr>
            <w:r>
              <w:rPr>
                <w:rFonts w:hint="eastAsia" w:ascii="宋体" w:hAnsi="宋体"/>
                <w:sz w:val="15"/>
                <w:szCs w:val="15"/>
              </w:rPr>
              <w:t>2.存货核算方法</w:t>
            </w:r>
            <w:r>
              <w:rPr>
                <w:rFonts w:hint="eastAsia" w:ascii="宋体" w:hAnsi="宋体"/>
                <w:sz w:val="15"/>
                <w:szCs w:val="15"/>
              </w:rPr>
              <w:br w:type="textWrapping"/>
            </w:r>
            <w:r>
              <w:rPr>
                <w:rFonts w:hint="eastAsia" w:ascii="宋体" w:hAnsi="宋体"/>
                <w:sz w:val="15"/>
                <w:szCs w:val="15"/>
              </w:rPr>
              <w:t>（1）说明存货分类、取得、发出、计价以及低值易耗品和包装物的摊销方法，计提存货跌价准备的方法以及存货可变现净值的确定依据。</w:t>
            </w:r>
            <w:r>
              <w:rPr>
                <w:rFonts w:hint="eastAsia" w:ascii="宋体" w:hAnsi="宋体"/>
                <w:sz w:val="15"/>
                <w:szCs w:val="15"/>
              </w:rPr>
              <w:br w:type="textWrapping"/>
            </w:r>
            <w:r>
              <w:rPr>
                <w:rFonts w:hint="eastAsia" w:ascii="宋体" w:hAnsi="宋体"/>
                <w:sz w:val="15"/>
                <w:szCs w:val="15"/>
              </w:rPr>
              <w:t>（2）《存货应按下列格式披露》</w:t>
            </w:r>
          </w:p>
          <w:p>
            <w:pPr>
              <w:pStyle w:val="10"/>
              <w:rPr>
                <w:rFonts w:ascii="宋体" w:hAnsi="宋体"/>
                <w:sz w:val="15"/>
                <w:szCs w:val="15"/>
              </w:rPr>
            </w:pPr>
            <w:r>
              <w:rPr>
                <w:rFonts w:hint="eastAsia" w:ascii="宋体" w:hAnsi="宋体"/>
                <w:sz w:val="15"/>
                <w:szCs w:val="15"/>
              </w:rPr>
              <w:t>3.投资的核算方法</w:t>
            </w:r>
            <w:r>
              <w:rPr>
                <w:rFonts w:hint="eastAsia" w:ascii="宋体" w:hAnsi="宋体"/>
                <w:sz w:val="15"/>
                <w:szCs w:val="15"/>
              </w:rPr>
              <w:br w:type="textWrapping"/>
            </w:r>
            <w:r>
              <w:rPr>
                <w:rFonts w:hint="eastAsia" w:ascii="宋体" w:hAnsi="宋体"/>
                <w:sz w:val="15"/>
                <w:szCs w:val="15"/>
              </w:rPr>
              <w:t>（1）说明当期发生的投资净损益，其中重大的投资净损益项目应单独说明；说明短期投资、长期股权投资和长期债权投资的期末余额，其中长期股权投资中属于对子公司、合营企业、联营企业投资的部分，应单独说明；说明当年提取的投资损失准备。投资的计价方法、以及短期投资的期末市价；说明投资总额占净资产的比例；采用权益法核算时，还应说明投资企业与被投资单位会计政策的重大差异；说明投资变现及投资收益汇回的重大限制；股权投资差额的摊销方法、债券投资溢价和折价的摊销方法以及长期投资减值准备的计提方法。</w:t>
            </w:r>
            <w:r>
              <w:rPr>
                <w:rFonts w:hint="eastAsia" w:ascii="宋体" w:hAnsi="宋体"/>
                <w:sz w:val="15"/>
                <w:szCs w:val="15"/>
              </w:rPr>
              <w:br w:type="textWrapping"/>
            </w:r>
            <w:r>
              <w:rPr>
                <w:rFonts w:hint="eastAsia" w:ascii="宋体" w:hAnsi="宋体"/>
                <w:sz w:val="15"/>
                <w:szCs w:val="15"/>
              </w:rPr>
              <w:t>（2）《短期投资应按下列格式披露》</w:t>
            </w:r>
          </w:p>
          <w:p>
            <w:pPr>
              <w:pStyle w:val="10"/>
              <w:rPr>
                <w:rFonts w:ascii="宋体" w:hAnsi="宋体"/>
                <w:sz w:val="15"/>
                <w:szCs w:val="15"/>
              </w:rPr>
            </w:pPr>
            <w:r>
              <w:rPr>
                <w:rFonts w:hint="eastAsia" w:ascii="宋体" w:hAnsi="宋体"/>
                <w:sz w:val="15"/>
                <w:szCs w:val="15"/>
              </w:rPr>
              <w:t>（3）《长期投资应按下列格式披露》</w:t>
            </w:r>
          </w:p>
          <w:p>
            <w:pPr>
              <w:pStyle w:val="10"/>
              <w:rPr>
                <w:sz w:val="15"/>
                <w:szCs w:val="15"/>
              </w:rPr>
            </w:pPr>
            <w:r>
              <w:rPr>
                <w:rFonts w:hint="eastAsia" w:ascii="宋体" w:hAnsi="宋体"/>
                <w:sz w:val="15"/>
                <w:szCs w:val="15"/>
              </w:rPr>
              <w:t>（4）《长期股票投资还应按以下格式披露</w:t>
            </w:r>
            <w:r>
              <w:rPr>
                <w:rFonts w:hint="eastAsia"/>
                <w:sz w:val="15"/>
                <w:szCs w:val="15"/>
              </w:rPr>
              <w:t>》</w:t>
            </w:r>
          </w:p>
          <w:p>
            <w:pPr>
              <w:pStyle w:val="10"/>
              <w:rPr>
                <w:sz w:val="15"/>
                <w:szCs w:val="15"/>
              </w:rPr>
            </w:pPr>
            <w:r>
              <w:rPr>
                <w:rFonts w:hint="eastAsia"/>
                <w:sz w:val="15"/>
                <w:szCs w:val="15"/>
              </w:rPr>
              <w:t>（5）《长期债券投资还应按以下格式披露》</w:t>
            </w:r>
          </w:p>
          <w:p>
            <w:pPr>
              <w:pStyle w:val="10"/>
              <w:rPr>
                <w:sz w:val="15"/>
                <w:szCs w:val="15"/>
              </w:rPr>
            </w:pPr>
            <w:r>
              <w:rPr>
                <w:rFonts w:hint="eastAsia"/>
                <w:sz w:val="15"/>
                <w:szCs w:val="15"/>
              </w:rPr>
              <w:t>4.固定资产计价和折旧方法</w:t>
            </w:r>
            <w:r>
              <w:rPr>
                <w:rFonts w:hint="eastAsia"/>
                <w:sz w:val="15"/>
                <w:szCs w:val="15"/>
              </w:rPr>
              <w:br w:type="textWrapping"/>
            </w:r>
            <w:r>
              <w:rPr>
                <w:rFonts w:hint="eastAsia"/>
                <w:sz w:val="15"/>
                <w:szCs w:val="15"/>
              </w:rPr>
              <w:t>（1）说明固定资产的标准、分类、计价方法和折旧方法，各类固定资产的预计使用年限、预计净残值率和折旧率，如有在建工程转入、出售、置换、抵押和担保等情况的，应予说明。</w:t>
            </w:r>
            <w:r>
              <w:rPr>
                <w:rFonts w:hint="eastAsia"/>
                <w:sz w:val="15"/>
                <w:szCs w:val="15"/>
              </w:rPr>
              <w:br w:type="textWrapping"/>
            </w:r>
            <w:r>
              <w:rPr>
                <w:rFonts w:hint="eastAsia"/>
                <w:sz w:val="15"/>
                <w:szCs w:val="15"/>
              </w:rPr>
              <w:t>（2）《固定资产还应按下列格式披露》</w:t>
            </w:r>
          </w:p>
          <w:p>
            <w:pPr>
              <w:pStyle w:val="10"/>
              <w:rPr>
                <w:sz w:val="15"/>
                <w:szCs w:val="15"/>
              </w:rPr>
            </w:pPr>
            <w:r>
              <w:rPr>
                <w:rFonts w:hint="eastAsia"/>
                <w:sz w:val="15"/>
                <w:szCs w:val="15"/>
              </w:rPr>
              <w:t>5.无形资产的计价和摊销方法</w:t>
            </w:r>
            <w:r>
              <w:rPr>
                <w:rFonts w:hint="eastAsia"/>
                <w:sz w:val="15"/>
                <w:szCs w:val="15"/>
              </w:rPr>
              <w:br w:type="textWrapping"/>
            </w:r>
            <w:r>
              <w:rPr>
                <w:rFonts w:hint="eastAsia"/>
                <w:sz w:val="15"/>
                <w:szCs w:val="15"/>
              </w:rPr>
              <w:t>《无形资产应按下列格式披露》</w:t>
            </w:r>
          </w:p>
          <w:p>
            <w:pPr>
              <w:pStyle w:val="10"/>
              <w:rPr>
                <w:sz w:val="15"/>
                <w:szCs w:val="15"/>
              </w:rPr>
            </w:pPr>
            <w:r>
              <w:rPr>
                <w:rFonts w:hint="eastAsia"/>
                <w:sz w:val="15"/>
                <w:szCs w:val="15"/>
              </w:rPr>
              <w:t>6.长期待摊费用的摊销方法</w:t>
            </w:r>
          </w:p>
          <w:p>
            <w:pPr>
              <w:pStyle w:val="10"/>
              <w:rPr>
                <w:sz w:val="15"/>
                <w:szCs w:val="15"/>
              </w:rPr>
            </w:pPr>
            <w:r>
              <w:rPr>
                <w:rFonts w:hint="eastAsia"/>
                <w:sz w:val="15"/>
                <w:szCs w:val="15"/>
              </w:rPr>
              <w:t>《长期待摊费用应按下列格式披露》</w:t>
            </w:r>
          </w:p>
          <w:p>
            <w:pPr>
              <w:pStyle w:val="10"/>
              <w:rPr>
                <w:sz w:val="15"/>
                <w:szCs w:val="15"/>
              </w:rPr>
            </w:pPr>
          </w:p>
          <w:p>
            <w:pPr>
              <w:pStyle w:val="10"/>
              <w:rPr>
                <w:sz w:val="15"/>
                <w:szCs w:val="15"/>
              </w:rPr>
            </w:pPr>
            <w:r>
              <w:rPr>
                <w:rFonts w:hint="eastAsia"/>
                <w:sz w:val="15"/>
                <w:szCs w:val="15"/>
              </w:rPr>
              <w:t>《“研发支出”辅助账汇总表》、《 “专项应付款”搬迁项目的披露格式》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（十）收入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 w:val="15"/>
                <w:szCs w:val="15"/>
              </w:rPr>
            </w:pPr>
            <w:r>
              <w:rPr>
                <w:rFonts w:hint="eastAsia"/>
                <w:sz w:val="15"/>
                <w:szCs w:val="15"/>
              </w:rPr>
              <w:t>说明当期确认的下列各项收入的金额：</w:t>
            </w:r>
            <w:r>
              <w:rPr>
                <w:rFonts w:hint="eastAsia"/>
                <w:sz w:val="15"/>
                <w:szCs w:val="15"/>
              </w:rPr>
              <w:br w:type="textWrapping"/>
            </w:r>
            <w:r>
              <w:rPr>
                <w:rFonts w:hint="eastAsia"/>
                <w:sz w:val="15"/>
                <w:szCs w:val="15"/>
              </w:rPr>
              <w:t>1.销售商品的收入；</w:t>
            </w:r>
            <w:r>
              <w:rPr>
                <w:rFonts w:hint="eastAsia"/>
                <w:sz w:val="15"/>
                <w:szCs w:val="15"/>
              </w:rPr>
              <w:br w:type="textWrapping"/>
            </w:r>
            <w:r>
              <w:rPr>
                <w:rFonts w:hint="eastAsia"/>
                <w:sz w:val="15"/>
                <w:szCs w:val="15"/>
              </w:rPr>
              <w:t>2.提供劳务的收入；</w:t>
            </w:r>
            <w:r>
              <w:rPr>
                <w:rFonts w:hint="eastAsia"/>
                <w:sz w:val="15"/>
                <w:szCs w:val="15"/>
              </w:rPr>
              <w:br w:type="textWrapping"/>
            </w:r>
            <w:r>
              <w:rPr>
                <w:rFonts w:hint="eastAsia"/>
                <w:sz w:val="15"/>
                <w:szCs w:val="15"/>
              </w:rPr>
              <w:t>3.利息收入；</w:t>
            </w:r>
            <w:r>
              <w:rPr>
                <w:rFonts w:hint="eastAsia"/>
                <w:sz w:val="15"/>
                <w:szCs w:val="15"/>
              </w:rPr>
              <w:br w:type="textWrapping"/>
            </w:r>
            <w:r>
              <w:rPr>
                <w:rFonts w:hint="eastAsia"/>
                <w:sz w:val="15"/>
                <w:szCs w:val="15"/>
              </w:rPr>
              <w:t>4.使用费收入：</w:t>
            </w:r>
            <w:r>
              <w:rPr>
                <w:rFonts w:hint="eastAsia"/>
                <w:sz w:val="15"/>
                <w:szCs w:val="15"/>
              </w:rPr>
              <w:br w:type="textWrapping"/>
            </w:r>
            <w:r>
              <w:rPr>
                <w:rFonts w:hint="eastAsia"/>
                <w:sz w:val="15"/>
                <w:szCs w:val="15"/>
              </w:rPr>
              <w:t>5.本期分期收款确认的收入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noWrap w:val="0"/>
            <w:vAlign w:val="top"/>
          </w:tcPr>
          <w:p>
            <w:pPr>
              <w:pStyle w:val="10"/>
              <w:rPr>
                <w:b/>
                <w:bCs/>
                <w:szCs w:val="21"/>
              </w:rPr>
            </w:pPr>
            <w:r>
              <w:rPr>
                <w:rFonts w:hint="eastAsia"/>
                <w:b/>
                <w:bCs/>
                <w:szCs w:val="21"/>
              </w:rPr>
              <w:t>（十一）所得税的会计处理方法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 w:val="15"/>
                <w:szCs w:val="15"/>
              </w:rPr>
            </w:pPr>
            <w:r>
              <w:rPr>
                <w:rFonts w:hint="eastAsia"/>
                <w:sz w:val="15"/>
                <w:szCs w:val="15"/>
              </w:rPr>
              <w:t>说明所得税的会计处理是采用应付税款法，还是采用纳税影响会计法；如果采用纳说影响会计法，应说明是采用递延法还是债务法。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2" w:type="dxa"/>
            <w:noWrap w:val="0"/>
            <w:vAlign w:val="top"/>
          </w:tcPr>
          <w:p>
            <w:pPr>
              <w:pStyle w:val="10"/>
              <w:rPr>
                <w:b/>
                <w:bCs/>
                <w:szCs w:val="21"/>
              </w:rPr>
            </w:pPr>
            <w:r>
              <w:rPr>
                <w:rFonts w:hint="eastAsia"/>
                <w:b/>
                <w:bCs/>
                <w:szCs w:val="21"/>
              </w:rPr>
              <w:t>（十二）合并会计报表的说明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restart"/>
            <w:noWrap w:val="0"/>
            <w:vAlign w:val="top"/>
          </w:tcPr>
          <w:p>
            <w:pPr>
              <w:pStyle w:val="10"/>
              <w:rPr>
                <w:sz w:val="15"/>
                <w:szCs w:val="15"/>
              </w:rPr>
            </w:pPr>
            <w:r>
              <w:rPr>
                <w:rFonts w:hint="eastAsia"/>
                <w:sz w:val="15"/>
                <w:szCs w:val="15"/>
              </w:rPr>
              <w:t>说明合并范围的确定原则；本年度合并报表范围如发生变更，企业应说明变更的内容、理由。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vMerge w:val="continue"/>
            <w:noWrap w:val="0"/>
            <w:vAlign w:val="top"/>
          </w:tcPr>
          <w:p>
            <w:pPr>
              <w:pStyle w:val="1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22" w:type="dxa"/>
            <w:noWrap w:val="0"/>
            <w:vAlign w:val="top"/>
          </w:tcPr>
          <w:p>
            <w:pPr>
              <w:pStyle w:val="10"/>
              <w:rPr>
                <w:b/>
                <w:bCs/>
                <w:szCs w:val="21"/>
              </w:rPr>
            </w:pPr>
            <w:r>
              <w:rPr>
                <w:rFonts w:hint="eastAsia"/>
                <w:b/>
                <w:bCs/>
                <w:szCs w:val="21"/>
              </w:rPr>
              <w:t>（十三）有助于理解和分析会计报表需要说明的其他事项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noWrap w:val="0"/>
            <w:vAlign w:val="top"/>
          </w:tcPr>
          <w:p>
            <w:pPr>
              <w:pStyle w:val="10"/>
              <w:rPr>
                <w:szCs w:val="21"/>
              </w:rPr>
            </w:pPr>
            <w:r>
              <w:rPr>
                <w:rFonts w:hint="eastAsia"/>
                <w:szCs w:val="21"/>
              </w:rPr>
              <w:t>　</w:t>
            </w:r>
          </w:p>
        </w:tc>
      </w:tr>
    </w:tbl>
    <w:p>
      <w:pPr>
        <w:pStyle w:val="7"/>
        <w:ind w:left="420" w:firstLine="0"/>
        <w:outlineLvl w:val="9"/>
        <w:sectPr>
          <w:pgSz w:w="11906" w:h="16838"/>
          <w:pgMar w:top="1440" w:right="1797" w:bottom="1440" w:left="1797" w:header="851" w:footer="992" w:gutter="0"/>
          <w:cols w:space="720" w:num="1"/>
          <w:docGrid w:type="lines" w:linePitch="312" w:charSpace="0"/>
        </w:sectPr>
      </w:pPr>
    </w:p>
    <w:p>
      <w:pPr>
        <w:pStyle w:val="6"/>
        <w:ind w:firstLine="422"/>
        <w:outlineLvl w:val="2"/>
        <w:rPr>
          <w:rFonts w:ascii="Arial" w:hAnsi="Arial" w:cs="Arial"/>
          <w:b/>
          <w:color w:val="000000"/>
        </w:rPr>
      </w:pPr>
      <w:r>
        <w:rPr>
          <w:rFonts w:hint="eastAsia" w:ascii="Arial" w:hAnsi="Arial" w:cs="Arial"/>
          <w:b/>
          <w:color w:val="000000"/>
        </w:rPr>
        <w:t>【表单说明】</w:t>
      </w:r>
    </w:p>
    <w:p>
      <w:pPr>
        <w:pStyle w:val="10"/>
        <w:autoSpaceDE w:val="0"/>
        <w:autoSpaceDN w:val="0"/>
        <w:adjustRightInd w:val="0"/>
        <w:ind w:firstLine="420"/>
      </w:pPr>
      <w:r>
        <w:rPr>
          <w:rFonts w:hint="eastAsia"/>
        </w:rPr>
        <w:t>适用于企业会计制度财务报表报送与信息采集。</w:t>
      </w:r>
    </w:p>
    <w:p>
      <w:pPr>
        <w:pStyle w:val="10"/>
        <w:autoSpaceDE w:val="0"/>
        <w:autoSpaceDN w:val="0"/>
        <w:adjustRightInd w:val="0"/>
        <w:ind w:firstLine="420"/>
        <w:sectPr>
          <w:type w:val="continuous"/>
          <w:pgSz w:w="11906" w:h="16838"/>
          <w:pgMar w:top="1440" w:right="1797" w:bottom="1440" w:left="1797" w:header="851" w:footer="992" w:gutter="0"/>
          <w:cols w:space="720" w:num="1"/>
          <w:docGrid w:type="lines" w:linePitch="32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0A9"/>
    <w:multiLevelType w:val="multilevel"/>
    <w:tmpl w:val="0E2430A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87A05"/>
    <w:rsid w:val="2888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1_0"/>
    <w:basedOn w:val="5"/>
    <w:next w:val="5"/>
    <w:qFormat/>
    <w:uiPriority w:val="0"/>
    <w:pPr>
      <w:keepNext/>
      <w:keepLines/>
      <w:spacing w:before="260" w:after="260" w:line="416" w:lineRule="auto"/>
      <w:outlineLvl w:val="1"/>
    </w:pPr>
    <w:rPr>
      <w:rFonts w:ascii="Cambria" w:hAnsi="Cambria" w:cs="黑体"/>
      <w:b/>
      <w:bCs/>
      <w:sz w:val="32"/>
      <w:szCs w:val="32"/>
    </w:rPr>
  </w:style>
  <w:style w:type="paragraph" w:customStyle="1" w:styleId="5">
    <w:name w:val="正文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正文_0"/>
    <w:qFormat/>
    <w:uiPriority w:val="0"/>
    <w:rPr>
      <w:rFonts w:ascii="Times New Roman" w:hAnsi="Times New Roman" w:eastAsia="Times New Roman" w:cs="Times New Roman"/>
      <w:sz w:val="24"/>
      <w:szCs w:val="24"/>
      <w:lang w:val="en-US" w:eastAsia="zh-CN" w:bidi="ar-SA"/>
    </w:rPr>
  </w:style>
  <w:style w:type="paragraph" w:customStyle="1" w:styleId="7">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8">
    <w:name w:val="需求正文_0"/>
    <w:basedOn w:val="1"/>
    <w:qFormat/>
    <w:uiPriority w:val="0"/>
    <w:pPr>
      <w:widowControl/>
      <w:ind w:firstLine="420"/>
      <w:jc w:val="left"/>
    </w:pPr>
    <w:rPr>
      <w:rFonts w:ascii="Arial" w:hAnsi="Arial"/>
      <w:szCs w:val="24"/>
    </w:rPr>
  </w:style>
  <w:style w:type="paragraph" w:customStyle="1" w:styleId="9">
    <w:name w:val="需求正文"/>
    <w:basedOn w:val="1"/>
    <w:qFormat/>
    <w:uiPriority w:val="0"/>
    <w:pPr>
      <w:ind w:firstLine="420"/>
    </w:pPr>
    <w:rPr>
      <w:rFonts w:ascii="Arial" w:hAnsi="Arial"/>
      <w:lang w:val="zh-CN"/>
    </w:r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列出段落1"/>
    <w:basedOn w:val="6"/>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2019-10-31T03:24:00Z</dcterms:created>
  <dc:creator>陈莉佳</dc:creator>
  <cp:lastModifiedBy>陈莉佳</cp:lastModifiedBy>
  <dcterms:modified xsi:type="dcterms:W3CDTF">2019-10-31T03:38:19Z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