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cs="Arial"/>
          <w:b/>
          <w:color w:val="000000"/>
          <w:kern w:val="0"/>
          <w:sz w:val="32"/>
          <w:szCs w:val="32"/>
        </w:rPr>
      </w:pPr>
      <w:bookmarkStart w:id="0" w:name="_Toc25328301"/>
      <w:r>
        <w:rPr>
          <w:rFonts w:hint="eastAsia" w:ascii="宋体" w:hAnsi="宋体" w:eastAsia="宋体" w:cs="宋体"/>
          <w:color w:val="000000"/>
        </w:rPr>
        <w:t>A06901《资产负债表（适用执行政府会计准则制度的基层医疗卫生机构）》</w:t>
      </w:r>
      <w:bookmarkEnd w:id="0"/>
      <w:bookmarkStart w:id="1" w:name="_GoBack"/>
      <w:bookmarkEnd w:id="1"/>
    </w:p>
    <w:p>
      <w:pPr>
        <w:pStyle w:val="9"/>
        <w:ind w:firstLine="0"/>
        <w:jc w:val="center"/>
        <w:rPr>
          <w:rFonts w:ascii="宋体" w:hAnsi="宋体" w:cs="Arial"/>
          <w:b/>
          <w:color w:val="000000"/>
          <w:kern w:val="0"/>
          <w:sz w:val="32"/>
          <w:szCs w:val="32"/>
        </w:rPr>
      </w:pPr>
      <w:r>
        <w:rPr>
          <w:rFonts w:hint="eastAsia" w:ascii="宋体" w:hAnsi="宋体" w:cs="Arial"/>
          <w:b/>
          <w:color w:val="000000"/>
          <w:kern w:val="0"/>
          <w:sz w:val="32"/>
          <w:szCs w:val="32"/>
        </w:rPr>
        <w:t>资产负债表</w:t>
      </w:r>
    </w:p>
    <w:p>
      <w:pPr>
        <w:jc w:val="right"/>
        <w:rPr>
          <w:rFonts w:ascii="Calibri" w:hAnsi="Calibri" w:eastAsia="宋体"/>
          <w:color w:val="000000"/>
          <w:kern w:val="2"/>
          <w:sz w:val="21"/>
          <w:szCs w:val="22"/>
        </w:rPr>
      </w:pPr>
      <w:r>
        <w:rPr>
          <w:rFonts w:hint="eastAsia"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会政财01 表</w:t>
      </w:r>
    </w:p>
    <w:p>
      <w:pPr>
        <w:rPr>
          <w:rFonts w:ascii="Calibri" w:hAnsi="Calibri" w:eastAsia="宋体"/>
          <w:color w:val="000000"/>
          <w:kern w:val="2"/>
          <w:sz w:val="21"/>
          <w:szCs w:val="22"/>
        </w:rPr>
      </w:pPr>
      <w:r>
        <w:rPr>
          <w:rFonts w:hint="eastAsia" w:ascii="Calibri" w:hAnsi="Calibri" w:eastAsia="宋体"/>
          <w:color w:val="000000"/>
          <w:kern w:val="2"/>
          <w:sz w:val="21"/>
          <w:szCs w:val="22"/>
        </w:rPr>
        <w:t>编制</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u w:val="single"/>
        </w:rPr>
        <w:t xml:space="preserve">         </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年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 xml:space="preserve">月   </w:t>
      </w:r>
      <w:r>
        <w:rPr>
          <w:rFonts w:hint="eastAsia" w:ascii="Calibri" w:hAnsi="Calibri" w:eastAsia="宋体"/>
          <w:color w:val="000000"/>
          <w:kern w:val="2"/>
          <w:sz w:val="21"/>
          <w:szCs w:val="22"/>
          <w:u w:val="single"/>
        </w:rPr>
        <w:tab/>
      </w:r>
      <w:r>
        <w:rPr>
          <w:rFonts w:hint="eastAsia" w:ascii="Calibri" w:hAnsi="Calibri" w:eastAsia="宋体"/>
          <w:color w:val="000000"/>
          <w:kern w:val="2"/>
          <w:sz w:val="21"/>
          <w:szCs w:val="22"/>
        </w:rPr>
        <w:t>日</w:t>
      </w:r>
      <w:r>
        <w:rPr>
          <w:rFonts w:hint="eastAsia" w:ascii="Calibri" w:hAnsi="Calibri" w:eastAsia="宋体"/>
          <w:color w:val="000000"/>
          <w:kern w:val="2"/>
          <w:sz w:val="21"/>
          <w:szCs w:val="22"/>
        </w:rPr>
        <w:tab/>
      </w:r>
      <w:r>
        <w:rPr>
          <w:rFonts w:hint="eastAsia" w:ascii="Calibri" w:hAnsi="Calibri" w:eastAsia="宋体"/>
          <w:color w:val="000000"/>
          <w:kern w:val="2"/>
          <w:sz w:val="21"/>
          <w:szCs w:val="22"/>
        </w:rPr>
        <w:t xml:space="preserve">       </w:t>
      </w:r>
      <w:r>
        <w:rPr>
          <w:rFonts w:ascii="Calibri" w:hAnsi="Calibri" w:eastAsia="宋体"/>
          <w:color w:val="000000"/>
          <w:kern w:val="2"/>
          <w:sz w:val="21"/>
          <w:szCs w:val="22"/>
        </w:rPr>
        <w:t xml:space="preserve">                                            </w:t>
      </w:r>
      <w:r>
        <w:rPr>
          <w:rFonts w:hint="eastAsia" w:ascii="Calibri" w:hAnsi="Calibri" w:eastAsia="宋体"/>
          <w:color w:val="000000"/>
          <w:spacing w:val="-3"/>
          <w:kern w:val="2"/>
          <w:sz w:val="21"/>
          <w:szCs w:val="22"/>
        </w:rPr>
        <w:t>单位</w:t>
      </w:r>
      <w:r>
        <w:rPr>
          <w:rFonts w:hint="eastAsia" w:ascii="Calibri" w:hAnsi="Calibri" w:eastAsia="宋体"/>
          <w:color w:val="000000"/>
          <w:kern w:val="2"/>
          <w:sz w:val="21"/>
          <w:szCs w:val="22"/>
        </w:rPr>
        <w:t>：元</w:t>
      </w:r>
    </w:p>
    <w:p>
      <w:pPr>
        <w:rPr>
          <w:rFonts w:ascii="Calibri" w:hAnsi="Calibri" w:eastAsia="宋体"/>
          <w:color w:val="000000"/>
          <w:kern w:val="2"/>
          <w:sz w:val="21"/>
          <w:szCs w:val="22"/>
        </w:rPr>
      </w:pPr>
    </w:p>
    <w:tbl>
      <w:tblPr>
        <w:tblStyle w:val="2"/>
        <w:tblpPr w:leftFromText="180" w:rightFromText="180" w:vertAnchor="text" w:horzAnchor="margin" w:tblpY="35"/>
        <w:tblOverlap w:val="never"/>
        <w:tblW w:w="8303"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364"/>
        <w:gridCol w:w="724"/>
        <w:gridCol w:w="724"/>
        <w:gridCol w:w="3045"/>
        <w:gridCol w:w="724"/>
        <w:gridCol w:w="7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2364" w:type="dxa"/>
            <w:noWrap w:val="0"/>
            <w:vAlign w:val="top"/>
          </w:tcPr>
          <w:p>
            <w:pPr>
              <w:pStyle w:val="10"/>
              <w:spacing w:before="1"/>
              <w:rPr>
                <w:rFonts w:cs="Times New Roman"/>
                <w:color w:val="000000"/>
                <w:sz w:val="14"/>
                <w:szCs w:val="14"/>
                <w:lang w:bidi="ar-SA"/>
              </w:rPr>
            </w:pPr>
          </w:p>
          <w:p>
            <w:pPr>
              <w:pStyle w:val="10"/>
              <w:ind w:left="46"/>
              <w:jc w:val="center"/>
              <w:rPr>
                <w:rFonts w:cs="Times New Roman"/>
                <w:b/>
                <w:bCs/>
                <w:color w:val="000000"/>
                <w:sz w:val="21"/>
                <w:szCs w:val="21"/>
                <w:lang w:bidi="ar-SA"/>
              </w:rPr>
            </w:pPr>
            <w:r>
              <w:rPr>
                <w:rFonts w:hint="eastAsia" w:cs="Times New Roman"/>
                <w:b/>
                <w:bCs/>
                <w:color w:val="000000"/>
                <w:sz w:val="21"/>
                <w:szCs w:val="21"/>
                <w:lang w:bidi="ar-SA"/>
              </w:rPr>
              <w:t>资</w:t>
            </w:r>
            <w:r>
              <w:rPr>
                <w:rFonts w:hint="eastAsia" w:cs="Times New Roman"/>
                <w:b/>
                <w:bCs/>
                <w:color w:val="000000"/>
                <w:sz w:val="21"/>
                <w:szCs w:val="21"/>
                <w:lang w:bidi="ar-SA"/>
              </w:rPr>
              <w:tab/>
            </w:r>
            <w:r>
              <w:rPr>
                <w:rFonts w:hint="eastAsia" w:cs="Times New Roman"/>
                <w:b/>
                <w:bCs/>
                <w:color w:val="000000"/>
                <w:sz w:val="21"/>
                <w:szCs w:val="21"/>
                <w:lang w:bidi="ar-SA"/>
              </w:rPr>
              <w:t>产</w:t>
            </w:r>
          </w:p>
        </w:tc>
        <w:tc>
          <w:tcPr>
            <w:tcW w:w="724" w:type="dxa"/>
            <w:noWrap w:val="0"/>
            <w:vAlign w:val="top"/>
          </w:tcPr>
          <w:p>
            <w:pPr>
              <w:pStyle w:val="10"/>
              <w:spacing w:before="24"/>
              <w:ind w:left="158"/>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58"/>
              <w:rPr>
                <w:rFonts w:cs="Times New Roman"/>
                <w:b/>
                <w:bCs/>
                <w:color w:val="000000"/>
                <w:sz w:val="21"/>
                <w:szCs w:val="21"/>
                <w:lang w:bidi="ar-SA"/>
              </w:rPr>
            </w:pPr>
            <w:r>
              <w:rPr>
                <w:rFonts w:hint="eastAsia" w:cs="Times New Roman"/>
                <w:b/>
                <w:bCs/>
                <w:color w:val="000000"/>
                <w:sz w:val="21"/>
                <w:szCs w:val="21"/>
                <w:lang w:bidi="ar-SA"/>
              </w:rPr>
              <w:t>余额</w:t>
            </w:r>
          </w:p>
        </w:tc>
        <w:tc>
          <w:tcPr>
            <w:tcW w:w="724" w:type="dxa"/>
            <w:noWrap w:val="0"/>
            <w:vAlign w:val="top"/>
          </w:tcPr>
          <w:p>
            <w:pPr>
              <w:pStyle w:val="10"/>
              <w:spacing w:before="24"/>
              <w:ind w:left="159"/>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59"/>
              <w:rPr>
                <w:rFonts w:cs="Times New Roman"/>
                <w:b/>
                <w:bCs/>
                <w:color w:val="000000"/>
                <w:sz w:val="21"/>
                <w:szCs w:val="21"/>
                <w:lang w:bidi="ar-SA"/>
              </w:rPr>
            </w:pPr>
            <w:r>
              <w:rPr>
                <w:rFonts w:hint="eastAsia" w:cs="Times New Roman"/>
                <w:b/>
                <w:bCs/>
                <w:color w:val="000000"/>
                <w:sz w:val="21"/>
                <w:szCs w:val="21"/>
                <w:lang w:bidi="ar-SA"/>
              </w:rPr>
              <w:t>余额</w:t>
            </w:r>
          </w:p>
        </w:tc>
        <w:tc>
          <w:tcPr>
            <w:tcW w:w="3045" w:type="dxa"/>
            <w:noWrap w:val="0"/>
            <w:vAlign w:val="top"/>
          </w:tcPr>
          <w:p>
            <w:pPr>
              <w:pStyle w:val="10"/>
              <w:spacing w:before="1"/>
              <w:rPr>
                <w:rFonts w:cs="Times New Roman"/>
                <w:color w:val="000000"/>
                <w:sz w:val="14"/>
                <w:szCs w:val="14"/>
                <w:lang w:bidi="ar-SA"/>
              </w:rPr>
            </w:pPr>
          </w:p>
          <w:p>
            <w:pPr>
              <w:pStyle w:val="10"/>
              <w:ind w:left="889"/>
              <w:rPr>
                <w:rFonts w:cs="Times New Roman"/>
                <w:b/>
                <w:bCs/>
                <w:color w:val="000000"/>
                <w:sz w:val="21"/>
                <w:szCs w:val="21"/>
                <w:lang w:bidi="ar-SA"/>
              </w:rPr>
            </w:pPr>
            <w:r>
              <w:rPr>
                <w:rFonts w:hint="eastAsia" w:cs="Times New Roman"/>
                <w:b/>
                <w:bCs/>
                <w:color w:val="000000"/>
                <w:sz w:val="21"/>
                <w:szCs w:val="21"/>
                <w:lang w:bidi="ar-SA"/>
              </w:rPr>
              <w:t>负债和净资产</w:t>
            </w:r>
          </w:p>
        </w:tc>
        <w:tc>
          <w:tcPr>
            <w:tcW w:w="724" w:type="dxa"/>
            <w:noWrap w:val="0"/>
            <w:vAlign w:val="top"/>
          </w:tcPr>
          <w:p>
            <w:pPr>
              <w:pStyle w:val="10"/>
              <w:spacing w:before="24"/>
              <w:ind w:left="164"/>
              <w:rPr>
                <w:rFonts w:cs="Times New Roman"/>
                <w:b/>
                <w:bCs/>
                <w:color w:val="000000"/>
                <w:sz w:val="21"/>
                <w:szCs w:val="21"/>
                <w:lang w:bidi="ar-SA"/>
              </w:rPr>
            </w:pPr>
            <w:r>
              <w:rPr>
                <w:rFonts w:hint="eastAsia" w:cs="Times New Roman"/>
                <w:b/>
                <w:bCs/>
                <w:color w:val="000000"/>
                <w:sz w:val="21"/>
                <w:szCs w:val="21"/>
                <w:lang w:bidi="ar-SA"/>
              </w:rPr>
              <w:t>期末</w:t>
            </w:r>
          </w:p>
          <w:p>
            <w:pPr>
              <w:pStyle w:val="10"/>
              <w:spacing w:before="43" w:line="269" w:lineRule="exact"/>
              <w:ind w:left="164"/>
              <w:rPr>
                <w:rFonts w:cs="Times New Roman"/>
                <w:b/>
                <w:bCs/>
                <w:color w:val="000000"/>
                <w:sz w:val="21"/>
                <w:szCs w:val="21"/>
                <w:lang w:bidi="ar-SA"/>
              </w:rPr>
            </w:pPr>
            <w:r>
              <w:rPr>
                <w:rFonts w:hint="eastAsia" w:cs="Times New Roman"/>
                <w:b/>
                <w:bCs/>
                <w:color w:val="000000"/>
                <w:sz w:val="21"/>
                <w:szCs w:val="21"/>
                <w:lang w:bidi="ar-SA"/>
              </w:rPr>
              <w:t>余额</w:t>
            </w:r>
          </w:p>
        </w:tc>
        <w:tc>
          <w:tcPr>
            <w:tcW w:w="722" w:type="dxa"/>
            <w:noWrap w:val="0"/>
            <w:vAlign w:val="top"/>
          </w:tcPr>
          <w:p>
            <w:pPr>
              <w:pStyle w:val="10"/>
              <w:spacing w:before="24"/>
              <w:ind w:left="162"/>
              <w:rPr>
                <w:rFonts w:cs="Times New Roman"/>
                <w:b/>
                <w:bCs/>
                <w:color w:val="000000"/>
                <w:sz w:val="21"/>
                <w:szCs w:val="21"/>
                <w:lang w:bidi="ar-SA"/>
              </w:rPr>
            </w:pPr>
            <w:r>
              <w:rPr>
                <w:rFonts w:hint="eastAsia" w:cs="Times New Roman"/>
                <w:b/>
                <w:bCs/>
                <w:color w:val="000000"/>
                <w:sz w:val="21"/>
                <w:szCs w:val="21"/>
                <w:lang w:bidi="ar-SA"/>
              </w:rPr>
              <w:t>年初</w:t>
            </w:r>
          </w:p>
          <w:p>
            <w:pPr>
              <w:pStyle w:val="10"/>
              <w:spacing w:before="43" w:line="269" w:lineRule="exact"/>
              <w:ind w:left="162"/>
              <w:rPr>
                <w:rFonts w:cs="Times New Roman"/>
                <w:b/>
                <w:bCs/>
                <w:color w:val="000000"/>
                <w:sz w:val="21"/>
                <w:szCs w:val="21"/>
                <w:lang w:bidi="ar-SA"/>
              </w:rPr>
            </w:pPr>
            <w:r>
              <w:rPr>
                <w:rFonts w:hint="eastAsia" w:cs="Times New Roman"/>
                <w:b/>
                <w:bCs/>
                <w:color w:val="000000"/>
                <w:sz w:val="21"/>
                <w:szCs w:val="21"/>
                <w:lang w:bidi="ar-SA"/>
              </w:rPr>
              <w:t>余额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货币资金</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短期借款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短期投资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应交增值税</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财政应返还额度</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其他应交税费</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应收票据</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应缴财政款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应收账款净额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cs="Times New Roman"/>
                <w:color w:val="000000"/>
                <w:sz w:val="21"/>
                <w:szCs w:val="21"/>
                <w:lang w:bidi="ar-SA"/>
              </w:rPr>
              <w:t>待结算医疗款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预付账款</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spacing w:before="23"/>
              <w:ind w:left="527"/>
              <w:rPr>
                <w:rFonts w:cs="Times New Roman"/>
                <w:color w:val="000000"/>
                <w:sz w:val="21"/>
                <w:szCs w:val="21"/>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应付职工薪酬</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应收股利</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应付票据</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应收利息</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应付账款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其他应收款净额</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应付政府补贴款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存货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应付利息</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预收账款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一年内到期的非流动资产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其他流动资产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预提费用</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56"/>
              <w:rPr>
                <w:rFonts w:cs="Times New Roman"/>
                <w:b/>
                <w:bCs/>
                <w:color w:val="000000"/>
                <w:sz w:val="21"/>
                <w:szCs w:val="21"/>
                <w:lang w:bidi="ar-SA"/>
              </w:rPr>
            </w:pPr>
            <w:r>
              <w:rPr>
                <w:rFonts w:hint="eastAsia" w:cs="Times New Roman"/>
                <w:b/>
                <w:bCs/>
                <w:color w:val="000000"/>
                <w:sz w:val="21"/>
                <w:szCs w:val="21"/>
                <w:lang w:bidi="ar-SA"/>
              </w:rPr>
              <w:t>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一年内到期的非流动负债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136"/>
              <w:rPr>
                <w:rFonts w:cs="Times New Roman"/>
                <w:b/>
                <w:bCs/>
                <w:color w:val="000000"/>
                <w:sz w:val="21"/>
                <w:szCs w:val="21"/>
                <w:lang w:bidi="ar-SA"/>
              </w:rPr>
            </w:pPr>
            <w:r>
              <w:rPr>
                <w:rFonts w:hint="eastAsia" w:cs="Times New Roman"/>
                <w:b/>
                <w:bCs/>
                <w:color w:val="000000"/>
                <w:sz w:val="21"/>
                <w:szCs w:val="21"/>
                <w:lang w:bidi="ar-SA"/>
              </w:rPr>
              <w:t>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长期股权投资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26"/>
              <w:rPr>
                <w:rFonts w:cs="Times New Roman"/>
                <w:b/>
                <w:bCs/>
                <w:color w:val="000000"/>
                <w:sz w:val="21"/>
                <w:szCs w:val="21"/>
                <w:lang w:bidi="ar-SA"/>
              </w:rPr>
            </w:pPr>
            <w:r>
              <w:rPr>
                <w:rFonts w:hint="eastAsia" w:cs="Times New Roman"/>
                <w:b/>
                <w:bCs/>
                <w:color w:val="000000"/>
                <w:sz w:val="21"/>
                <w:szCs w:val="21"/>
                <w:lang w:bidi="ar-SA"/>
              </w:rPr>
              <w:t>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长期债券投资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固定资产原值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长期借款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4" w:hRule="atLeast"/>
        </w:trPr>
        <w:tc>
          <w:tcPr>
            <w:tcW w:w="2364" w:type="dxa"/>
            <w:noWrap w:val="0"/>
            <w:vAlign w:val="top"/>
          </w:tcPr>
          <w:p>
            <w:pPr>
              <w:pStyle w:val="10"/>
              <w:spacing w:before="25"/>
              <w:ind w:left="768"/>
              <w:rPr>
                <w:rFonts w:cs="Times New Roman"/>
                <w:color w:val="000000"/>
                <w:sz w:val="21"/>
                <w:szCs w:val="21"/>
                <w:lang w:bidi="ar-SA"/>
              </w:rPr>
            </w:pPr>
            <w:r>
              <w:rPr>
                <w:rFonts w:hint="eastAsia" w:cs="Times New Roman"/>
                <w:color w:val="000000"/>
                <w:sz w:val="21"/>
                <w:szCs w:val="21"/>
                <w:lang w:bidi="ar-SA"/>
              </w:rPr>
              <w:t>减：固定资产累计折旧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长期应付款</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固定资产净值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5"/>
              <w:ind w:left="527"/>
              <w:rPr>
                <w:rFonts w:cs="Times New Roman"/>
                <w:color w:val="000000"/>
                <w:sz w:val="21"/>
                <w:szCs w:val="21"/>
                <w:lang w:bidi="ar-SA"/>
              </w:rPr>
            </w:pPr>
            <w:r>
              <w:rPr>
                <w:rFonts w:hint="eastAsia" w:cs="Times New Roman"/>
                <w:color w:val="000000"/>
                <w:sz w:val="21"/>
                <w:szCs w:val="21"/>
                <w:lang w:bidi="ar-SA"/>
              </w:rPr>
              <w:t>预计负债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工程物资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其他非流动负债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在建工程</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736"/>
              <w:rPr>
                <w:rFonts w:cs="Times New Roman"/>
                <w:b/>
                <w:bCs/>
                <w:color w:val="000000"/>
                <w:sz w:val="21"/>
                <w:szCs w:val="21"/>
                <w:lang w:bidi="ar-SA"/>
              </w:rPr>
            </w:pPr>
            <w:r>
              <w:rPr>
                <w:rFonts w:hint="eastAsia" w:cs="Times New Roman"/>
                <w:b/>
                <w:bCs/>
                <w:color w:val="000000"/>
                <w:sz w:val="21"/>
                <w:szCs w:val="21"/>
                <w:lang w:bidi="ar-SA"/>
              </w:rPr>
              <w:t>非流动负债合计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无形资产原值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color w:val="000000"/>
                <w:sz w:val="21"/>
                <w:szCs w:val="21"/>
                <w:lang w:bidi="ar-SA"/>
              </w:rPr>
            </w:pPr>
            <w:r>
              <w:rPr>
                <w:rFonts w:hint="eastAsia" w:cs="Times New Roman"/>
                <w:color w:val="000000"/>
                <w:sz w:val="21"/>
                <w:szCs w:val="21"/>
                <w:lang w:bidi="ar-SA"/>
              </w:rPr>
              <w:t>受托代理负债</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减：无形资产累计摊销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933"/>
              <w:rPr>
                <w:rFonts w:cs="Times New Roman"/>
                <w:b/>
                <w:bCs/>
                <w:color w:val="000000"/>
                <w:sz w:val="21"/>
                <w:szCs w:val="21"/>
                <w:lang w:bidi="ar-SA"/>
              </w:rPr>
            </w:pPr>
            <w:r>
              <w:rPr>
                <w:rFonts w:hint="eastAsia" w:cs="Times New Roman"/>
                <w:b/>
                <w:bCs/>
                <w:color w:val="000000"/>
                <w:sz w:val="21"/>
                <w:szCs w:val="21"/>
                <w:lang w:bidi="ar-SA"/>
              </w:rPr>
              <w:t>负债合计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5" w:line="267" w:lineRule="exact"/>
              <w:ind w:left="768"/>
              <w:rPr>
                <w:rFonts w:cs="Times New Roman"/>
                <w:color w:val="000000"/>
                <w:sz w:val="21"/>
                <w:szCs w:val="21"/>
                <w:lang w:bidi="ar-SA"/>
              </w:rPr>
            </w:pPr>
            <w:r>
              <w:rPr>
                <w:rFonts w:hint="eastAsia" w:cs="Times New Roman"/>
                <w:color w:val="000000"/>
                <w:sz w:val="21"/>
                <w:szCs w:val="21"/>
                <w:lang w:bidi="ar-SA"/>
              </w:rPr>
              <w:t>无形资产净值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trPr>
        <w:tc>
          <w:tcPr>
            <w:tcW w:w="2364" w:type="dxa"/>
            <w:noWrap w:val="0"/>
            <w:vAlign w:val="top"/>
          </w:tcPr>
          <w:p>
            <w:pPr>
              <w:pStyle w:val="10"/>
              <w:spacing w:before="20"/>
              <w:ind w:left="557"/>
              <w:rPr>
                <w:rFonts w:cs="Times New Roman"/>
                <w:color w:val="000000"/>
                <w:sz w:val="21"/>
                <w:szCs w:val="21"/>
                <w:lang w:bidi="ar-SA"/>
              </w:rPr>
            </w:pPr>
            <w:r>
              <w:rPr>
                <w:rFonts w:hint="eastAsia" w:cs="Times New Roman"/>
                <w:color w:val="000000"/>
                <w:sz w:val="21"/>
                <w:szCs w:val="21"/>
                <w:lang w:bidi="ar-SA"/>
              </w:rPr>
              <w:t>研发支出</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公共基础设施原值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减：公共基础设施累计折旧（摊销）</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公共基础设施净值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107"/>
              <w:rPr>
                <w:rFonts w:cs="Times New Roman"/>
                <w:b/>
                <w:bCs/>
                <w:color w:val="000000"/>
                <w:sz w:val="21"/>
                <w:szCs w:val="21"/>
                <w:lang w:bidi="ar-SA"/>
              </w:rPr>
            </w:pPr>
            <w:r>
              <w:rPr>
                <w:rFonts w:hint="eastAsia" w:cs="Times New Roman"/>
                <w:b/>
                <w:bCs/>
                <w:color w:val="000000"/>
                <w:sz w:val="21"/>
                <w:szCs w:val="21"/>
                <w:lang w:bidi="ar-SA"/>
              </w:rPr>
              <w:t>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政府储备物资</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7"/>
              <w:rPr>
                <w:rFonts w:cs="Times New Roman"/>
                <w:color w:val="000000"/>
                <w:sz w:val="21"/>
                <w:szCs w:val="21"/>
                <w:lang w:bidi="ar-SA"/>
              </w:rPr>
            </w:pPr>
            <w:r>
              <w:rPr>
                <w:rFonts w:hint="eastAsia" w:cs="Times New Roman"/>
                <w:color w:val="000000"/>
                <w:sz w:val="21"/>
                <w:szCs w:val="21"/>
                <w:lang w:bidi="ar-SA"/>
              </w:rPr>
              <w:t>累计盈余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3" w:hRule="atLeast"/>
        </w:trPr>
        <w:tc>
          <w:tcPr>
            <w:tcW w:w="2364" w:type="dxa"/>
            <w:noWrap w:val="0"/>
            <w:vAlign w:val="top"/>
          </w:tcPr>
          <w:p>
            <w:pPr>
              <w:pStyle w:val="10"/>
              <w:spacing w:before="25"/>
              <w:ind w:left="557"/>
              <w:rPr>
                <w:rFonts w:cs="Times New Roman"/>
                <w:color w:val="000000"/>
                <w:sz w:val="21"/>
                <w:szCs w:val="21"/>
                <w:lang w:bidi="ar-SA"/>
              </w:rPr>
            </w:pPr>
            <w:r>
              <w:rPr>
                <w:rFonts w:hint="eastAsia" w:cs="Times New Roman"/>
                <w:color w:val="000000"/>
                <w:sz w:val="21"/>
                <w:szCs w:val="21"/>
                <w:lang w:bidi="ar-SA"/>
              </w:rPr>
              <w:t>文物文化资产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center"/>
          </w:tcPr>
          <w:p>
            <w:pPr>
              <w:pStyle w:val="10"/>
              <w:spacing w:before="22"/>
              <w:ind w:left="529"/>
              <w:rPr>
                <w:rFonts w:cs="Times New Roman"/>
                <w:color w:val="000000"/>
                <w:sz w:val="21"/>
                <w:szCs w:val="21"/>
                <w:lang w:bidi="ar-SA"/>
              </w:rPr>
            </w:pPr>
            <w:r>
              <w:rPr>
                <w:rFonts w:cs="Times New Roman"/>
                <w:color w:val="000000"/>
                <w:sz w:val="21"/>
                <w:szCs w:val="21"/>
                <w:lang w:bidi="ar-SA"/>
              </w:rPr>
              <w:t>其中：医疗盈余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保障性住房原值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center"/>
          </w:tcPr>
          <w:p>
            <w:pPr>
              <w:pStyle w:val="10"/>
              <w:spacing w:before="22"/>
              <w:ind w:left="529" w:firstLine="420"/>
              <w:rPr>
                <w:rFonts w:cs="Times New Roman"/>
                <w:color w:val="000000"/>
                <w:sz w:val="21"/>
                <w:szCs w:val="21"/>
                <w:lang w:bidi="ar-SA"/>
              </w:rPr>
            </w:pPr>
            <w:r>
              <w:rPr>
                <w:rFonts w:cs="Times New Roman"/>
                <w:color w:val="000000"/>
                <w:sz w:val="21"/>
                <w:szCs w:val="21"/>
                <w:lang w:bidi="ar-SA"/>
              </w:rPr>
              <w:t>公共卫生盈余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减：保障性住房累计折旧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center"/>
          </w:tcPr>
          <w:p>
            <w:pPr>
              <w:pStyle w:val="10"/>
              <w:spacing w:before="22"/>
              <w:ind w:left="529" w:firstLine="420"/>
              <w:rPr>
                <w:rFonts w:cs="Times New Roman"/>
                <w:color w:val="000000"/>
                <w:sz w:val="21"/>
                <w:szCs w:val="21"/>
                <w:lang w:bidi="ar-SA"/>
              </w:rPr>
            </w:pPr>
            <w:r>
              <w:rPr>
                <w:rFonts w:cs="Times New Roman"/>
                <w:color w:val="000000"/>
                <w:sz w:val="21"/>
                <w:szCs w:val="21"/>
                <w:lang w:bidi="ar-SA"/>
              </w:rPr>
              <w:t>科教盈余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768"/>
              <w:rPr>
                <w:rFonts w:cs="Times New Roman"/>
                <w:color w:val="000000"/>
                <w:sz w:val="21"/>
                <w:szCs w:val="21"/>
                <w:lang w:bidi="ar-SA"/>
              </w:rPr>
            </w:pPr>
            <w:r>
              <w:rPr>
                <w:rFonts w:hint="eastAsia" w:cs="Times New Roman"/>
                <w:color w:val="000000"/>
                <w:sz w:val="21"/>
                <w:szCs w:val="21"/>
                <w:lang w:bidi="ar-SA"/>
              </w:rPr>
              <w:t>保障性住房净值</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center"/>
          </w:tcPr>
          <w:p>
            <w:pPr>
              <w:pStyle w:val="10"/>
              <w:spacing w:before="22"/>
              <w:ind w:left="529" w:firstLine="420"/>
              <w:rPr>
                <w:rFonts w:cs="Times New Roman"/>
                <w:color w:val="000000"/>
                <w:sz w:val="21"/>
                <w:szCs w:val="21"/>
                <w:lang w:bidi="ar-SA"/>
              </w:rPr>
            </w:pPr>
            <w:r>
              <w:rPr>
                <w:rFonts w:cs="Times New Roman"/>
                <w:color w:val="000000"/>
                <w:sz w:val="21"/>
                <w:szCs w:val="21"/>
                <w:lang w:bidi="ar-SA"/>
              </w:rPr>
              <w:t>新旧转换盈余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trPr>
        <w:tc>
          <w:tcPr>
            <w:tcW w:w="2364" w:type="dxa"/>
            <w:noWrap w:val="0"/>
            <w:vAlign w:val="top"/>
          </w:tcPr>
          <w:p>
            <w:pPr>
              <w:pStyle w:val="10"/>
              <w:spacing w:before="22"/>
              <w:ind w:left="557"/>
              <w:rPr>
                <w:rFonts w:cs="Times New Roman"/>
                <w:color w:val="000000"/>
                <w:sz w:val="21"/>
                <w:szCs w:val="21"/>
                <w:lang w:bidi="ar-SA"/>
              </w:rPr>
            </w:pPr>
            <w:r>
              <w:rPr>
                <w:rFonts w:hint="eastAsia" w:cs="Times New Roman"/>
                <w:color w:val="000000"/>
                <w:sz w:val="21"/>
                <w:szCs w:val="21"/>
                <w:lang w:bidi="ar-SA"/>
              </w:rPr>
              <w:t>长期待摊费用</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2"/>
              <w:ind w:left="529"/>
              <w:rPr>
                <w:rFonts w:cs="Times New Roman"/>
                <w:color w:val="000000"/>
                <w:sz w:val="21"/>
                <w:szCs w:val="21"/>
                <w:lang w:bidi="ar-SA"/>
              </w:rPr>
            </w:pPr>
            <w:r>
              <w:rPr>
                <w:rFonts w:hint="eastAsia" w:cs="Times New Roman"/>
                <w:color w:val="000000"/>
                <w:sz w:val="21"/>
                <w:szCs w:val="21"/>
                <w:lang w:bidi="ar-SA"/>
              </w:rPr>
              <w:t>专用基金</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trPr>
        <w:tc>
          <w:tcPr>
            <w:tcW w:w="2364" w:type="dxa"/>
            <w:noWrap w:val="0"/>
            <w:vAlign w:val="top"/>
          </w:tcPr>
          <w:p>
            <w:pPr>
              <w:pStyle w:val="10"/>
              <w:spacing w:before="23"/>
              <w:ind w:left="557"/>
              <w:rPr>
                <w:rFonts w:cs="Times New Roman"/>
                <w:color w:val="000000"/>
                <w:sz w:val="21"/>
                <w:szCs w:val="21"/>
                <w:lang w:bidi="ar-SA"/>
              </w:rPr>
            </w:pPr>
            <w:r>
              <w:rPr>
                <w:rFonts w:hint="eastAsia" w:cs="Times New Roman"/>
                <w:color w:val="000000"/>
                <w:sz w:val="21"/>
                <w:szCs w:val="21"/>
                <w:lang w:bidi="ar-SA"/>
              </w:rPr>
              <w:t>待处理财产损溢</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23"/>
              <w:ind w:left="527"/>
              <w:rPr>
                <w:rFonts w:cs="Times New Roman"/>
                <w:color w:val="000000"/>
                <w:sz w:val="21"/>
                <w:szCs w:val="21"/>
                <w:lang w:bidi="ar-SA"/>
              </w:rPr>
            </w:pPr>
            <w:r>
              <w:rPr>
                <w:rFonts w:hint="eastAsia" w:cs="Times New Roman"/>
                <w:color w:val="000000"/>
                <w:sz w:val="21"/>
                <w:szCs w:val="21"/>
                <w:lang w:bidi="ar-SA"/>
              </w:rPr>
              <w:t>权益法调整</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rPr>
                <w:rFonts w:ascii="Times New Roman"/>
                <w:color w:val="000000"/>
                <w:sz w:val="20"/>
                <w:szCs w:val="20"/>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37"/>
              <w:ind w:left="557"/>
              <w:rPr>
                <w:rFonts w:cs="Times New Roman"/>
                <w:color w:val="000000"/>
                <w:sz w:val="21"/>
                <w:szCs w:val="21"/>
                <w:lang w:bidi="ar-SA"/>
              </w:rPr>
            </w:pPr>
            <w:r>
              <w:rPr>
                <w:rFonts w:hint="eastAsia" w:cs="Times New Roman"/>
                <w:color w:val="000000"/>
                <w:sz w:val="21"/>
                <w:szCs w:val="21"/>
                <w:lang w:bidi="ar-SA"/>
              </w:rPr>
              <w:t>其他非流动资产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37"/>
              <w:ind w:left="529"/>
              <w:rPr>
                <w:rFonts w:cs="Times New Roman"/>
                <w:color w:val="000000"/>
                <w:sz w:val="21"/>
                <w:szCs w:val="21"/>
                <w:lang w:bidi="ar-SA"/>
              </w:rPr>
            </w:pPr>
            <w:r>
              <w:rPr>
                <w:rFonts w:hint="eastAsia" w:cs="Times New Roman"/>
                <w:color w:val="000000"/>
                <w:sz w:val="21"/>
                <w:szCs w:val="21"/>
                <w:lang w:bidi="ar-SA"/>
              </w:rPr>
              <w:t>无偿调拨净资产*</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9"/>
              <w:ind w:left="756"/>
              <w:rPr>
                <w:rFonts w:cs="Times New Roman"/>
                <w:b/>
                <w:bCs/>
                <w:color w:val="000000"/>
                <w:sz w:val="21"/>
                <w:szCs w:val="21"/>
                <w:lang w:bidi="ar-SA"/>
              </w:rPr>
            </w:pPr>
            <w:r>
              <w:rPr>
                <w:rFonts w:hint="eastAsia" w:cs="Times New Roman"/>
                <w:b/>
                <w:bCs/>
                <w:color w:val="000000"/>
                <w:sz w:val="21"/>
                <w:szCs w:val="21"/>
                <w:lang w:bidi="ar-SA"/>
              </w:rPr>
              <w:t>非流动资产合计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9"/>
              <w:ind w:left="527"/>
              <w:rPr>
                <w:rFonts w:cs="Times New Roman"/>
                <w:color w:val="000000"/>
                <w:sz w:val="21"/>
                <w:szCs w:val="21"/>
                <w:lang w:bidi="ar-SA"/>
              </w:rPr>
            </w:pPr>
            <w:r>
              <w:rPr>
                <w:rFonts w:hint="eastAsia" w:cs="Times New Roman"/>
                <w:color w:val="000000"/>
                <w:sz w:val="21"/>
                <w:szCs w:val="21"/>
                <w:lang w:bidi="ar-SA"/>
              </w:rPr>
              <w:t>本期盈余*</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r>
              <w:rPr>
                <w:rFonts w:hint="eastAsia" w:cs="Times New Roman"/>
                <w:color w:val="000000"/>
                <w:sz w:val="21"/>
                <w:szCs w:val="21"/>
                <w:lang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136"/>
              <w:rPr>
                <w:rFonts w:cs="Times New Roman"/>
                <w:color w:val="000000"/>
                <w:sz w:val="21"/>
                <w:szCs w:val="21"/>
                <w:lang w:bidi="ar-SA"/>
              </w:rPr>
            </w:pPr>
            <w:r>
              <w:rPr>
                <w:rFonts w:hint="eastAsia" w:cs="Times New Roman"/>
                <w:color w:val="000000"/>
                <w:sz w:val="21"/>
                <w:szCs w:val="21"/>
                <w:lang w:bidi="ar-SA"/>
              </w:rPr>
              <w:t>受托代理资产</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933"/>
              <w:rPr>
                <w:rFonts w:cs="Times New Roman"/>
                <w:b/>
                <w:bCs/>
                <w:color w:val="000000"/>
                <w:sz w:val="21"/>
                <w:szCs w:val="21"/>
                <w:lang w:bidi="ar-SA"/>
              </w:rPr>
            </w:pPr>
            <w:r>
              <w:rPr>
                <w:rFonts w:hint="eastAsia" w:cs="Times New Roman"/>
                <w:b/>
                <w:bCs/>
                <w:color w:val="000000"/>
                <w:sz w:val="21"/>
                <w:szCs w:val="21"/>
                <w:lang w:bidi="ar-SA"/>
              </w:rPr>
              <w:t>净资产合计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trPr>
        <w:tc>
          <w:tcPr>
            <w:tcW w:w="2364" w:type="dxa"/>
            <w:noWrap w:val="0"/>
            <w:vAlign w:val="top"/>
          </w:tcPr>
          <w:p>
            <w:pPr>
              <w:pStyle w:val="10"/>
              <w:spacing w:before="17"/>
              <w:ind w:left="46"/>
              <w:jc w:val="center"/>
              <w:rPr>
                <w:rFonts w:cs="Times New Roman"/>
                <w:b/>
                <w:bCs/>
                <w:color w:val="000000"/>
                <w:sz w:val="21"/>
                <w:szCs w:val="21"/>
                <w:lang w:bidi="ar-SA"/>
              </w:rPr>
            </w:pPr>
            <w:r>
              <w:rPr>
                <w:rFonts w:hint="eastAsia" w:cs="Times New Roman"/>
                <w:b/>
                <w:bCs/>
                <w:color w:val="000000"/>
                <w:sz w:val="21"/>
                <w:szCs w:val="21"/>
                <w:lang w:bidi="ar-SA"/>
              </w:rPr>
              <w:t>资产总计</w:t>
            </w:r>
          </w:p>
        </w:tc>
        <w:tc>
          <w:tcPr>
            <w:tcW w:w="724" w:type="dxa"/>
            <w:noWrap w:val="0"/>
            <w:vAlign w:val="top"/>
          </w:tcPr>
          <w:p>
            <w:pPr>
              <w:pStyle w:val="10"/>
              <w:rPr>
                <w:rFonts w:ascii="Times New Roman"/>
                <w:color w:val="000000"/>
                <w:sz w:val="20"/>
                <w:szCs w:val="20"/>
                <w:lang w:bidi="ar-SA"/>
              </w:rPr>
            </w:pPr>
          </w:p>
        </w:tc>
        <w:tc>
          <w:tcPr>
            <w:tcW w:w="724" w:type="dxa"/>
            <w:noWrap w:val="0"/>
            <w:vAlign w:val="top"/>
          </w:tcPr>
          <w:p>
            <w:pPr>
              <w:pStyle w:val="10"/>
              <w:rPr>
                <w:rFonts w:ascii="Times New Roman"/>
                <w:color w:val="000000"/>
                <w:sz w:val="20"/>
                <w:szCs w:val="20"/>
                <w:lang w:bidi="ar-SA"/>
              </w:rPr>
            </w:pPr>
          </w:p>
        </w:tc>
        <w:tc>
          <w:tcPr>
            <w:tcW w:w="3045" w:type="dxa"/>
            <w:noWrap w:val="0"/>
            <w:vAlign w:val="top"/>
          </w:tcPr>
          <w:p>
            <w:pPr>
              <w:pStyle w:val="10"/>
              <w:spacing w:before="17"/>
              <w:ind w:left="678"/>
              <w:rPr>
                <w:rFonts w:cs="Times New Roman"/>
                <w:b/>
                <w:bCs/>
                <w:color w:val="000000"/>
                <w:sz w:val="21"/>
                <w:szCs w:val="21"/>
                <w:lang w:bidi="ar-SA"/>
              </w:rPr>
            </w:pPr>
            <w:r>
              <w:rPr>
                <w:rFonts w:hint="eastAsia" w:cs="Times New Roman"/>
                <w:b/>
                <w:bCs/>
                <w:color w:val="000000"/>
                <w:sz w:val="21"/>
                <w:szCs w:val="21"/>
                <w:lang w:bidi="ar-SA"/>
              </w:rPr>
              <w:t>负债和净资产总计</w:t>
            </w:r>
          </w:p>
        </w:tc>
        <w:tc>
          <w:tcPr>
            <w:tcW w:w="724" w:type="dxa"/>
            <w:noWrap w:val="0"/>
            <w:vAlign w:val="top"/>
          </w:tcPr>
          <w:p>
            <w:pPr>
              <w:pStyle w:val="10"/>
              <w:rPr>
                <w:rFonts w:ascii="Times New Roman"/>
                <w:color w:val="000000"/>
                <w:sz w:val="20"/>
                <w:szCs w:val="20"/>
                <w:lang w:bidi="ar-SA"/>
              </w:rPr>
            </w:pPr>
          </w:p>
        </w:tc>
        <w:tc>
          <w:tcPr>
            <w:tcW w:w="722" w:type="dxa"/>
            <w:noWrap w:val="0"/>
            <w:vAlign w:val="top"/>
          </w:tcPr>
          <w:p>
            <w:pPr>
              <w:pStyle w:val="10"/>
              <w:spacing w:before="37"/>
              <w:ind w:left="165"/>
              <w:rPr>
                <w:rFonts w:cs="Times New Roman"/>
                <w:color w:val="000000"/>
                <w:sz w:val="21"/>
                <w:szCs w:val="21"/>
                <w:lang w:bidi="ar-SA"/>
              </w:rPr>
            </w:pPr>
          </w:p>
        </w:tc>
      </w:tr>
    </w:tbl>
    <w:p>
      <w:pPr>
        <w:spacing w:before="33"/>
        <w:rPr>
          <w:rFonts w:ascii="Calibri" w:hAnsi="Calibri" w:eastAsia="宋体"/>
          <w:color w:val="000000"/>
          <w:kern w:val="2"/>
          <w:sz w:val="18"/>
          <w:szCs w:val="18"/>
        </w:rPr>
      </w:pPr>
      <w:r>
        <w:rPr>
          <w:rFonts w:hint="eastAsia" w:ascii="Calibri" w:hAnsi="Calibri" w:eastAsia="宋体"/>
          <w:color w:val="000000"/>
          <w:kern w:val="2"/>
          <w:sz w:val="18"/>
          <w:szCs w:val="18"/>
        </w:rPr>
        <w:t>注：“*”标识项目为月报项目，年报中不需列示。</w:t>
      </w:r>
    </w:p>
    <w:p>
      <w:pPr>
        <w:pStyle w:val="6"/>
        <w:ind w:firstLine="482" w:firstLineChars="200"/>
        <w:rPr>
          <w:color w:val="000000"/>
        </w:rPr>
      </w:pPr>
      <w:r>
        <w:rPr>
          <w:rFonts w:hint="eastAsia" w:ascii="宋体" w:hAnsi="宋体" w:eastAsia="宋体" w:cs="宋体"/>
          <w:color w:val="000000"/>
        </w:rPr>
        <w:t>【表单说明】</w:t>
      </w:r>
    </w:p>
    <w:p>
      <w:pPr>
        <w:pStyle w:val="9"/>
        <w:rPr>
          <w:rFonts w:hint="eastAsia" w:ascii="宋体" w:hAnsi="宋体" w:cs="宋体"/>
          <w:color w:val="000000"/>
          <w:szCs w:val="21"/>
        </w:rPr>
      </w:pPr>
      <w:r>
        <w:rPr>
          <w:rFonts w:hint="eastAsia" w:ascii="宋体" w:hAnsi="宋体" w:cs="宋体"/>
          <w:color w:val="000000"/>
          <w:szCs w:val="21"/>
        </w:rPr>
        <w:t>（一）本表反映单位在某一特定日期全部资产、负债和净资产的情况。</w:t>
      </w:r>
    </w:p>
    <w:p>
      <w:pPr>
        <w:pStyle w:val="9"/>
        <w:rPr>
          <w:rFonts w:hint="eastAsia" w:ascii="宋体" w:hAnsi="宋体" w:cs="宋体"/>
          <w:color w:val="000000"/>
          <w:szCs w:val="21"/>
        </w:rPr>
      </w:pPr>
      <w:r>
        <w:rPr>
          <w:rFonts w:hint="eastAsia" w:ascii="宋体" w:hAnsi="宋体" w:cs="宋体"/>
          <w:color w:val="000000"/>
          <w:szCs w:val="21"/>
        </w:rPr>
        <w:t>（二）本表“年初余额”栏内各项数字，应当根据上年年末资产负债表“期末余额”栏内数字填列。</w:t>
      </w:r>
    </w:p>
    <w:p>
      <w:pPr>
        <w:pStyle w:val="9"/>
        <w:rPr>
          <w:rFonts w:hint="eastAsia" w:ascii="宋体" w:hAnsi="宋体" w:cs="宋体"/>
          <w:color w:val="000000"/>
          <w:szCs w:val="21"/>
        </w:rPr>
      </w:pPr>
      <w:r>
        <w:rPr>
          <w:rFonts w:hint="eastAsia" w:ascii="宋体" w:hAnsi="宋体" w:cs="宋体"/>
          <w:color w:val="000000"/>
          <w:szCs w:val="21"/>
        </w:rPr>
        <w:t>如果本年度资产负债表规定的项目的名称和内容同上年度不一致， 应当对上年年末资产负债表项目的名称和数字按照本年度的规定进行 调整，将调整后数字填入本表“年初余额”栏内。</w:t>
      </w:r>
    </w:p>
    <w:p>
      <w:pPr>
        <w:pStyle w:val="9"/>
        <w:rPr>
          <w:rFonts w:hint="eastAsia" w:ascii="宋体" w:hAnsi="宋体" w:cs="宋体"/>
          <w:color w:val="000000"/>
          <w:szCs w:val="21"/>
        </w:rPr>
      </w:pPr>
      <w:r>
        <w:rPr>
          <w:rFonts w:hint="eastAsia" w:ascii="宋体" w:hAnsi="宋体" w:cs="宋体"/>
          <w:color w:val="000000"/>
          <w:szCs w:val="21"/>
        </w:rPr>
        <w:t>如果本年度单位发生了因前期差错更正、会计政策变更等调整以前年度盈余的事项，还应当对“年初余额”栏中的有关项目金额进行相应调整。</w:t>
      </w:r>
    </w:p>
    <w:p>
      <w:pPr>
        <w:pStyle w:val="9"/>
        <w:rPr>
          <w:rFonts w:hint="eastAsia" w:ascii="宋体" w:hAnsi="宋体" w:cs="宋体"/>
          <w:color w:val="000000"/>
          <w:szCs w:val="21"/>
        </w:rPr>
      </w:pPr>
      <w:r>
        <w:rPr>
          <w:rFonts w:hint="eastAsia" w:ascii="宋体" w:hAnsi="宋体" w:cs="宋体"/>
          <w:color w:val="000000"/>
          <w:szCs w:val="21"/>
        </w:rPr>
        <w:t>（三）本表中“资产总计”项目期末（年初）余额应当与“负债和净资产总计”项目期末（年初）余额相等。</w:t>
      </w:r>
    </w:p>
    <w:p>
      <w:pPr>
        <w:pStyle w:val="9"/>
        <w:rPr>
          <w:rFonts w:hint="eastAsia" w:ascii="宋体" w:hAnsi="宋体" w:cs="宋体"/>
          <w:color w:val="000000"/>
          <w:szCs w:val="21"/>
        </w:rPr>
      </w:pPr>
      <w:r>
        <w:rPr>
          <w:rFonts w:hint="eastAsia" w:ascii="宋体" w:hAnsi="宋体" w:cs="宋体"/>
          <w:color w:val="000000"/>
          <w:szCs w:val="21"/>
        </w:rPr>
        <w:t>（四）本表“期末余额”栏各项目的内容和填列方法1.资产类项目</w:t>
      </w:r>
    </w:p>
    <w:p>
      <w:pPr>
        <w:pStyle w:val="9"/>
        <w:rPr>
          <w:rFonts w:hint="eastAsia" w:ascii="宋体" w:hAnsi="宋体" w:cs="宋体"/>
          <w:color w:val="000000"/>
          <w:szCs w:val="21"/>
        </w:rPr>
      </w:pPr>
      <w:r>
        <w:rPr>
          <w:rFonts w:hint="eastAsia" w:ascii="宋体" w:hAnsi="宋体" w:cs="宋体"/>
          <w:color w:val="000000"/>
          <w:szCs w:val="21"/>
        </w:rPr>
        <w:t>“货币资金”项目，反映单位期末库存现金、银行存款、零余额账户用款额度、其他货币资金的合计数。本项目应当根据“库存现金”、“银行存款”、“零余额账户用款额度”、“其他货币资金” 科目的期末余额的合计数填列；若单位存在通过“库存现金”、“银行存款”科目核算的受托代理资产还应当按照前述合计数扣减“库存现金”、“银行存款”科目下“受托代理资产”明细科目的期末余额后的金额填列。</w:t>
      </w:r>
    </w:p>
    <w:p>
      <w:pPr>
        <w:pStyle w:val="9"/>
        <w:rPr>
          <w:rFonts w:hint="eastAsia" w:ascii="宋体" w:hAnsi="宋体" w:cs="宋体"/>
          <w:color w:val="000000"/>
          <w:szCs w:val="21"/>
        </w:rPr>
      </w:pPr>
      <w:r>
        <w:rPr>
          <w:rFonts w:hint="eastAsia" w:ascii="宋体" w:hAnsi="宋体" w:cs="宋体"/>
          <w:color w:val="000000"/>
          <w:szCs w:val="21"/>
        </w:rPr>
        <w:t>“短期投资”项目，反映事业单位期末持有的短期投资账面余额。本项目应当根据“短期投资”科目的期末余额填列。</w:t>
      </w:r>
    </w:p>
    <w:p>
      <w:pPr>
        <w:pStyle w:val="9"/>
        <w:rPr>
          <w:rFonts w:hint="eastAsia" w:ascii="宋体" w:hAnsi="宋体" w:cs="宋体"/>
          <w:color w:val="000000"/>
          <w:szCs w:val="21"/>
        </w:rPr>
      </w:pPr>
      <w:r>
        <w:rPr>
          <w:rFonts w:hint="eastAsia" w:ascii="宋体" w:hAnsi="宋体" w:cs="宋体"/>
          <w:color w:val="000000"/>
          <w:szCs w:val="21"/>
        </w:rPr>
        <w:t>“财政应返还额度”项目，反映单位期末财政应返还额度的金额。本项目应当根据“财政应返还额度”科目的期末余额填列。</w:t>
      </w:r>
    </w:p>
    <w:p>
      <w:pPr>
        <w:pStyle w:val="9"/>
        <w:rPr>
          <w:rFonts w:hint="eastAsia" w:ascii="宋体" w:hAnsi="宋体" w:cs="宋体"/>
          <w:color w:val="000000"/>
          <w:szCs w:val="21"/>
        </w:rPr>
      </w:pPr>
      <w:r>
        <w:rPr>
          <w:rFonts w:hint="eastAsia" w:ascii="宋体" w:hAnsi="宋体" w:cs="宋体"/>
          <w:color w:val="000000"/>
          <w:szCs w:val="21"/>
        </w:rPr>
        <w:t>“应收票据”项目，反映事业单位期末持有的应收票据的票面金额。本项目应当根据“应收票据”科目的期末余额填列。</w:t>
      </w:r>
    </w:p>
    <w:p>
      <w:pPr>
        <w:pStyle w:val="9"/>
        <w:rPr>
          <w:rFonts w:hint="eastAsia" w:ascii="宋体" w:hAnsi="宋体" w:cs="宋体"/>
          <w:color w:val="000000"/>
          <w:szCs w:val="21"/>
        </w:rPr>
      </w:pPr>
      <w:r>
        <w:rPr>
          <w:rFonts w:hint="eastAsia" w:ascii="宋体" w:hAnsi="宋体" w:cs="宋体"/>
          <w:color w:val="000000"/>
          <w:szCs w:val="21"/>
        </w:rPr>
        <w:t>“应收账款净额”项目，反映单位期末尚未收回的应收账款减去已计提的坏账准备后的净额。本项目应当根据“应收账款”科目的期末余额，减去“坏账准备”科目中对应收账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“预付账款”项目，反映单位期末预付给商品或者劳务供应单位的款项。本项目应当根据“预付账款”科目的期末余额填列。</w:t>
      </w:r>
    </w:p>
    <w:p>
      <w:pPr>
        <w:pStyle w:val="9"/>
        <w:rPr>
          <w:rFonts w:hint="eastAsia" w:ascii="宋体" w:hAnsi="宋体" w:cs="宋体"/>
          <w:color w:val="000000"/>
          <w:szCs w:val="21"/>
        </w:rPr>
      </w:pPr>
      <w:r>
        <w:rPr>
          <w:rFonts w:hint="eastAsia" w:ascii="宋体" w:hAnsi="宋体" w:cs="宋体"/>
          <w:color w:val="000000"/>
          <w:szCs w:val="21"/>
        </w:rPr>
        <w:t>“应收股利”项目，反映事业单位期末因股权投资而应收取的现金股利或应当分得的利润。本项目应当根据“应收股利”科目的期末余额填列。</w:t>
      </w:r>
    </w:p>
    <w:p>
      <w:pPr>
        <w:pStyle w:val="9"/>
        <w:rPr>
          <w:rFonts w:hint="eastAsia" w:ascii="宋体" w:hAnsi="宋体" w:cs="宋体"/>
          <w:color w:val="000000"/>
          <w:szCs w:val="21"/>
        </w:rPr>
      </w:pPr>
      <w:r>
        <w:rPr>
          <w:rFonts w:hint="eastAsia" w:ascii="宋体" w:hAnsi="宋体" w:cs="宋体"/>
          <w:color w:val="000000"/>
          <w:szCs w:val="21"/>
        </w:rPr>
        <w:t>“应收利息”项目，反映事业单位期末因债券投资等而应收取的利息。事业单位购入的到期一次还本付息的长期债券投资持有期间应收的利息，不包括在本项目内。本项目应当根据“应收利息”科目的期末余额填列。</w:t>
      </w:r>
    </w:p>
    <w:p>
      <w:pPr>
        <w:pStyle w:val="9"/>
        <w:rPr>
          <w:rFonts w:hint="eastAsia" w:ascii="宋体" w:hAnsi="宋体" w:cs="宋体"/>
          <w:color w:val="000000"/>
          <w:szCs w:val="21"/>
        </w:rPr>
      </w:pPr>
      <w:r>
        <w:rPr>
          <w:rFonts w:hint="eastAsia" w:ascii="宋体" w:hAnsi="宋体" w:cs="宋体"/>
          <w:color w:val="000000"/>
          <w:szCs w:val="21"/>
        </w:rPr>
        <w:t>“其他应收款净额”项目，反映单位期末尚未收回的其他应收款减去已计提的坏账准备后的净额。本项目应当根据“其他应收款”科目的期末余额减去“坏账准备”科目中对其他应收款计提的坏账准备的期末余额后的金额填列。</w:t>
      </w:r>
    </w:p>
    <w:p>
      <w:pPr>
        <w:pStyle w:val="9"/>
        <w:rPr>
          <w:rFonts w:hint="eastAsia" w:ascii="宋体" w:hAnsi="宋体" w:cs="宋体"/>
          <w:color w:val="000000"/>
          <w:szCs w:val="21"/>
        </w:rPr>
      </w:pPr>
      <w:r>
        <w:rPr>
          <w:rFonts w:hint="eastAsia" w:ascii="宋体" w:hAnsi="宋体" w:cs="宋体"/>
          <w:color w:val="000000"/>
          <w:szCs w:val="21"/>
        </w:rPr>
        <w:t>“存货”项目，反映单位期末存储的存货的实际成本。本 项目应当根据“在途物品”、“库存物品”、“加工物品”科目的期末余额的合计数填列。</w:t>
      </w:r>
    </w:p>
    <w:p>
      <w:pPr>
        <w:pStyle w:val="9"/>
        <w:rPr>
          <w:rFonts w:hint="eastAsia" w:ascii="宋体" w:hAnsi="宋体" w:cs="宋体"/>
          <w:color w:val="000000"/>
          <w:szCs w:val="21"/>
        </w:rPr>
      </w:pPr>
      <w:r>
        <w:rPr>
          <w:rFonts w:hint="eastAsia" w:ascii="宋体" w:hAnsi="宋体" w:cs="宋体"/>
          <w:color w:val="000000"/>
          <w:szCs w:val="21"/>
        </w:rPr>
        <w:t>“待摊费用”项目，反映单位期末已经支出，但应当由本期和以后各期负担的分摊期在 1 年以内（含 1 年）的各项费用。本项目应当根据“待摊费用”科目的期末余额填列。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“一年内到期的非流动资产”项目，反映单位期末非流动资产项目中将在 1 年内（含 1 年）到期的金额，如事业单位将在 1 年内（含 1 年）到期的长期债券投资金额。本项目应当根据“长期债券投资”等科目的明细科目的期末余额分析填列。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“其他流动资产”项目，反映单位期末除本表中上述各项之外的其他流动资产的合计金额。本项目应当根据有关科目期末余额的合计数填列。</w:t>
      </w:r>
    </w:p>
    <w:p>
      <w:pPr>
        <w:pStyle w:val="9"/>
        <w:rPr>
          <w:rFonts w:hint="eastAsia" w:ascii="宋体" w:hAnsi="宋体" w:cs="宋体"/>
          <w:color w:val="000000"/>
          <w:szCs w:val="21"/>
        </w:rPr>
      </w:pPr>
      <w:r>
        <w:rPr>
          <w:rFonts w:hint="eastAsia" w:ascii="宋体" w:hAnsi="宋体" w:cs="宋体"/>
          <w:color w:val="000000"/>
          <w:szCs w:val="21"/>
        </w:rPr>
        <w:t>“流动资产合计”项目，反映单位期末流动资产的合计数。本项目应当根据本表中“货币资金”、“短期投资”、“财政应返还额度”、“应收票据”、“应收账款净额”、“预付账款”、“应收股利”、“应收利息”、“其他应收款净额”、“存货”、“待摊费用”、“一年内到期的非流动资产”、“其他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“长期股权投资”项目，反映事业单位期末持有的长期股权投资的账面余额。本项目应当根据“长期股权投资”科目的期末余额填列。</w:t>
      </w:r>
    </w:p>
    <w:p>
      <w:pPr>
        <w:pStyle w:val="9"/>
        <w:rPr>
          <w:rFonts w:hint="eastAsia" w:ascii="宋体" w:hAnsi="宋体" w:cs="宋体"/>
          <w:color w:val="000000"/>
          <w:szCs w:val="21"/>
        </w:rPr>
      </w:pPr>
      <w:r>
        <w:rPr>
          <w:rFonts w:hint="eastAsia" w:ascii="宋体" w:hAnsi="宋体" w:cs="宋体"/>
          <w:color w:val="000000"/>
          <w:szCs w:val="21"/>
        </w:rPr>
        <w:t>“长期债券投资”项目，反映事业单位期末持有的长期债券投资的账面余额。本项目应当根据“长期债券投资”科目的期末余额减去其中将于 1 年内（含 1 年）到期的长期债券投资余额后的金额填列。</w:t>
      </w:r>
    </w:p>
    <w:p>
      <w:pPr>
        <w:pStyle w:val="9"/>
        <w:rPr>
          <w:rFonts w:hint="eastAsia" w:ascii="宋体" w:hAnsi="宋体" w:cs="宋体"/>
          <w:color w:val="000000"/>
          <w:szCs w:val="21"/>
        </w:rPr>
      </w:pPr>
      <w:r>
        <w:rPr>
          <w:rFonts w:hint="eastAsia" w:ascii="宋体" w:hAnsi="宋体" w:cs="宋体"/>
          <w:color w:val="000000"/>
          <w:szCs w:val="21"/>
        </w:rPr>
        <w:t>“固定资产原值”项目，反映单位期末固定资产的原值。本项目应当根据“固定资产”科目的期末余额填列。</w:t>
      </w:r>
    </w:p>
    <w:p>
      <w:pPr>
        <w:pStyle w:val="9"/>
        <w:rPr>
          <w:rFonts w:hint="eastAsia" w:ascii="宋体" w:hAnsi="宋体" w:cs="宋体"/>
          <w:color w:val="000000"/>
          <w:szCs w:val="21"/>
        </w:rPr>
      </w:pPr>
      <w:r>
        <w:rPr>
          <w:rFonts w:hint="eastAsia" w:ascii="宋体" w:hAnsi="宋体" w:cs="宋体"/>
          <w:color w:val="000000"/>
          <w:szCs w:val="21"/>
        </w:rPr>
        <w:t>“固定资产累计折旧”项目，反映单位期末固定资产已计提的累计折旧金额。本项目应当根据“固定资产累计折旧”科目的期末余额填列。</w:t>
      </w:r>
    </w:p>
    <w:p>
      <w:pPr>
        <w:pStyle w:val="9"/>
        <w:rPr>
          <w:rFonts w:hint="eastAsia" w:ascii="宋体" w:hAnsi="宋体" w:cs="宋体"/>
          <w:color w:val="000000"/>
          <w:szCs w:val="21"/>
        </w:rPr>
      </w:pPr>
      <w:r>
        <w:rPr>
          <w:rFonts w:hint="eastAsia" w:ascii="宋体" w:hAnsi="宋体" w:cs="宋体"/>
          <w:color w:val="000000"/>
          <w:szCs w:val="21"/>
        </w:rPr>
        <w:t>“固定资产净值”项目，反映单位期末固定资产的账面价值。本项目应当根据“固定资产”科目期末余额减去“固定资产累计折旧”科目期末余额后的金额填列。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“工程物资”项目，反映单位期末为在建工程准备的各种物资的实际成本。本项目应当根据“工程物资”科目的期末余额填列。</w:t>
      </w:r>
    </w:p>
    <w:p>
      <w:pPr>
        <w:pStyle w:val="9"/>
        <w:rPr>
          <w:rFonts w:hint="eastAsia" w:ascii="宋体" w:hAnsi="宋体" w:cs="宋体"/>
          <w:color w:val="000000"/>
          <w:szCs w:val="21"/>
        </w:rPr>
      </w:pPr>
      <w:r>
        <w:rPr>
          <w:rFonts w:hint="eastAsia" w:ascii="宋体" w:hAnsi="宋体" w:cs="宋体"/>
          <w:color w:val="000000"/>
          <w:szCs w:val="21"/>
        </w:rPr>
        <w:t>“在建工程”项目，反映单位期末所有的建设项目工程的实际成本。本项目应当根据“在建工程”科目的期末余额填列。</w:t>
      </w:r>
    </w:p>
    <w:p>
      <w:pPr>
        <w:pStyle w:val="9"/>
        <w:rPr>
          <w:rFonts w:hint="eastAsia" w:ascii="宋体" w:hAnsi="宋体" w:cs="宋体"/>
          <w:color w:val="000000"/>
          <w:szCs w:val="21"/>
        </w:rPr>
      </w:pPr>
      <w:r>
        <w:rPr>
          <w:rFonts w:hint="eastAsia" w:ascii="宋体" w:hAnsi="宋体" w:cs="宋体"/>
          <w:color w:val="000000"/>
          <w:szCs w:val="21"/>
        </w:rPr>
        <w:t>“无形资产原值”项目，反映单位期末无形资产的原值。本项目应当根据“无形资产”科目的期末余额填列。</w:t>
      </w:r>
    </w:p>
    <w:p>
      <w:pPr>
        <w:pStyle w:val="9"/>
        <w:rPr>
          <w:rFonts w:hint="eastAsia" w:ascii="宋体" w:hAnsi="宋体" w:cs="宋体"/>
          <w:color w:val="000000"/>
          <w:szCs w:val="21"/>
        </w:rPr>
      </w:pPr>
      <w:r>
        <w:rPr>
          <w:rFonts w:hint="eastAsia" w:ascii="宋体" w:hAnsi="宋体" w:cs="宋体"/>
          <w:color w:val="000000"/>
          <w:szCs w:val="21"/>
        </w:rPr>
        <w:t>“无形资产累计摊销”项目，反映单位期末无形资产已计提的累计摊销金额。本项目应当根据“无形资产累计摊销”科目的期末余额填列。</w:t>
      </w:r>
    </w:p>
    <w:p>
      <w:pPr>
        <w:pStyle w:val="9"/>
        <w:rPr>
          <w:rFonts w:hint="eastAsia" w:ascii="宋体" w:hAnsi="宋体" w:cs="宋体"/>
          <w:color w:val="000000"/>
          <w:szCs w:val="21"/>
        </w:rPr>
      </w:pPr>
      <w:r>
        <w:rPr>
          <w:rFonts w:hint="eastAsia" w:ascii="宋体" w:hAnsi="宋体" w:cs="宋体"/>
          <w:color w:val="000000"/>
          <w:szCs w:val="21"/>
        </w:rPr>
        <w:t>“无形资产净值”项目，反映单位期末无形资产的账面价值。本项目应当根据“无形资产”科目期末余额减去“无形资产累计摊销”科目期末余额后的金额填列。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“研发支出”项目，反映单位期末正在进行的无形资产开发项目开发阶段发生的累计支出数。本项目应当根据“研发支出”科目的期末余额填列。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“公共基础设施原值”项目，反映单位期末控制的公共基础设施的原值。本项目应当根据“公共基础设施”科目的期末余额填列。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“公共基础设施累计折旧（摊销）”项目，反映单位期末控制的公共基础设施已计提的累计折旧和累计摊销金额。本项目应当根据“公共基础设施累计折旧（摊销）”科目的期末余额填列。</w:t>
      </w:r>
    </w:p>
    <w:p>
      <w:pPr>
        <w:pStyle w:val="9"/>
        <w:rPr>
          <w:rFonts w:hint="eastAsia" w:ascii="宋体" w:hAnsi="宋体" w:cs="宋体"/>
          <w:color w:val="000000"/>
          <w:szCs w:val="21"/>
        </w:rPr>
      </w:pPr>
      <w:r>
        <w:rPr>
          <w:rFonts w:hint="eastAsia" w:ascii="宋体" w:hAnsi="宋体" w:cs="宋体"/>
          <w:color w:val="000000"/>
          <w:szCs w:val="21"/>
        </w:rPr>
        <w:t>“公共基础设施净值”项目，反映单位期末控制的公共基础设施的账面价值。本项目应当根据“公共基础设施”科目期末余额减去“公共基础设施累计折旧（摊销）”科目期末余额后的金额填列。</w:t>
      </w:r>
    </w:p>
    <w:p>
      <w:pPr>
        <w:pStyle w:val="9"/>
        <w:rPr>
          <w:rFonts w:hint="eastAsia" w:ascii="宋体" w:hAnsi="宋体" w:cs="宋体"/>
          <w:color w:val="000000"/>
          <w:szCs w:val="21"/>
        </w:rPr>
      </w:pPr>
      <w:r>
        <w:rPr>
          <w:rFonts w:hint="eastAsia" w:ascii="宋体" w:hAnsi="宋体" w:cs="宋体"/>
          <w:color w:val="000000"/>
          <w:szCs w:val="21"/>
        </w:rPr>
        <w:t>“政府储备物资”项目，反映单位期末控制的政府储备物资的实际成本。本项目应当根据“政府储备物资”科目的期末余额填列。</w:t>
      </w:r>
    </w:p>
    <w:p>
      <w:pPr>
        <w:pStyle w:val="9"/>
        <w:rPr>
          <w:rFonts w:hint="eastAsia" w:ascii="宋体" w:hAnsi="宋体" w:cs="宋体"/>
          <w:color w:val="000000"/>
          <w:szCs w:val="21"/>
        </w:rPr>
      </w:pPr>
      <w:r>
        <w:rPr>
          <w:rFonts w:hint="eastAsia" w:ascii="宋体" w:hAnsi="宋体" w:cs="宋体"/>
          <w:color w:val="000000"/>
          <w:szCs w:val="21"/>
        </w:rPr>
        <w:t>“文物文化资产”项目，反映单位期末控制的文物文化资产的成本。本项目应当根据“文物文化资产”科目的期末余额填列。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“保障性住房原值”项目，反映单位期末控制的保障性住房的原值。本项目应当根据“保障性住房”科目的期末余额填列。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“保障性住房累计折旧”项目，反映单位期末控制的保障性住房已计提的累计折旧金额。本项目应当根据“保障性住房累计折旧”科目的期末余额填列。</w:t>
      </w:r>
    </w:p>
    <w:p>
      <w:pPr>
        <w:pStyle w:val="9"/>
        <w:rPr>
          <w:rFonts w:hint="eastAsia" w:ascii="宋体" w:hAnsi="宋体" w:cs="宋体"/>
          <w:color w:val="000000"/>
          <w:szCs w:val="21"/>
        </w:rPr>
      </w:pPr>
      <w:r>
        <w:rPr>
          <w:rFonts w:hint="eastAsia" w:ascii="宋体" w:hAnsi="宋体" w:cs="宋体"/>
          <w:color w:val="000000"/>
          <w:szCs w:val="21"/>
        </w:rPr>
        <w:t>“保障性住房净值”项目，反映单位期末控制的保障性住房的账面价值。本项目应当根据“保障性住房”科目期末余额减去“保障性住房累计折旧”科目期末余额后的金额填列。</w:t>
      </w:r>
    </w:p>
    <w:p>
      <w:pPr>
        <w:pStyle w:val="9"/>
        <w:rPr>
          <w:rFonts w:hint="eastAsia" w:ascii="宋体" w:hAnsi="宋体" w:cs="宋体"/>
          <w:color w:val="000000"/>
          <w:szCs w:val="21"/>
        </w:rPr>
      </w:pPr>
      <w:r>
        <w:rPr>
          <w:rFonts w:hint="eastAsia" w:ascii="宋体" w:hAnsi="宋体" w:cs="宋体"/>
          <w:color w:val="000000"/>
          <w:szCs w:val="21"/>
        </w:rPr>
        <w:t>“长期待摊费用”项目，反映单位期末已经支出，但应由本期和以后各期负担的分摊期限在 1 年以上（不含 1 年）的各项费用。本项目应当根据“长期待摊费用”科目的期末余额填列。</w:t>
      </w:r>
    </w:p>
    <w:p>
      <w:pPr>
        <w:pStyle w:val="9"/>
        <w:rPr>
          <w:rFonts w:hint="eastAsia" w:ascii="宋体" w:hAnsi="宋体" w:cs="宋体"/>
          <w:color w:val="000000"/>
          <w:szCs w:val="21"/>
        </w:rPr>
      </w:pPr>
      <w:r>
        <w:rPr>
          <w:rFonts w:hint="eastAsia" w:ascii="宋体" w:hAnsi="宋体" w:cs="宋体"/>
          <w:color w:val="000000"/>
          <w:szCs w:val="21"/>
        </w:rPr>
        <w:t>“待处理财产损溢”项目，反映单位期末尚未处理完毕的各种资产的净损失或净溢余。本项目应当根据“待处理财产损溢”科目的期末借方余额填列；如“待处理财产损溢”科目期末为贷方余额，以“-”号填列。</w:t>
      </w:r>
    </w:p>
    <w:p>
      <w:pPr>
        <w:pStyle w:val="9"/>
        <w:rPr>
          <w:rFonts w:hint="eastAsia" w:ascii="宋体" w:hAnsi="宋体" w:cs="宋体"/>
          <w:color w:val="000000"/>
          <w:szCs w:val="21"/>
        </w:rPr>
      </w:pPr>
      <w:r>
        <w:rPr>
          <w:rFonts w:hint="eastAsia" w:ascii="宋体" w:hAnsi="宋体" w:cs="宋体"/>
          <w:color w:val="000000"/>
          <w:szCs w:val="21"/>
        </w:rPr>
        <w:t>“其他非流动资产”项目，反映单位期末除本表中上述各项之外的其他非流动资产的合计数。本项目应当根据有关科目的期末余额合计数填列。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资产合计”项目，反映单位期末非流动资产的合计数。本项目应当根据本表中“长期股权投资”、“长期债券投资”、“固定资产净值”、“工程物资”、“在建工程”、“无形资产净值”、“研发支出”、“公共基础设施净值”、“政府储备物资”、“文物文化资产”、“保障性住房净值”、“长期待摊费用”、“待处理财产损溢”、“其他非流动资产”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“受托代理资产”项目，反映单位期末受托代理资产的价值。本项目应当根据“受托代理资产”科目的期末余额与“库存现金”、“银行存款”科目下“受托代理资产”明细科目的期末余额的合计数填列。</w:t>
      </w:r>
    </w:p>
    <w:p>
      <w:pPr>
        <w:pStyle w:val="9"/>
        <w:rPr>
          <w:rFonts w:hint="eastAsia" w:ascii="宋体" w:hAnsi="宋体" w:cs="宋体"/>
          <w:color w:val="000000"/>
          <w:szCs w:val="21"/>
        </w:rPr>
      </w:pPr>
      <w:r>
        <w:rPr>
          <w:rFonts w:hint="eastAsia" w:ascii="宋体" w:hAnsi="宋体" w:cs="宋体"/>
          <w:color w:val="000000"/>
          <w:szCs w:val="21"/>
        </w:rPr>
        <w:t>“资产总计”项目，反映单位期末资产的合计数。本项目应当根据本表中“流动资产合计”、“非流动资产合计”、“受托代理资产”项目金额的合计数填列。</w:t>
      </w:r>
    </w:p>
    <w:p>
      <w:pPr>
        <w:pStyle w:val="9"/>
        <w:rPr>
          <w:rFonts w:hint="eastAsia" w:ascii="宋体" w:hAnsi="宋体" w:cs="宋体"/>
          <w:color w:val="000000"/>
          <w:szCs w:val="21"/>
        </w:rPr>
      </w:pPr>
      <w:r>
        <w:rPr>
          <w:rFonts w:hint="eastAsia" w:ascii="宋体" w:hAnsi="宋体" w:cs="宋体"/>
          <w:color w:val="000000"/>
          <w:szCs w:val="21"/>
        </w:rPr>
        <w:t xml:space="preserve"> 负债类项目</w:t>
      </w:r>
    </w:p>
    <w:p>
      <w:pPr>
        <w:pStyle w:val="9"/>
        <w:rPr>
          <w:rFonts w:hint="eastAsia" w:ascii="宋体" w:hAnsi="宋体" w:cs="宋体"/>
          <w:color w:val="000000"/>
          <w:szCs w:val="21"/>
        </w:rPr>
      </w:pPr>
      <w:r>
        <w:rPr>
          <w:rFonts w:hint="eastAsia" w:ascii="宋体" w:hAnsi="宋体" w:cs="宋体"/>
          <w:color w:val="000000"/>
          <w:szCs w:val="21"/>
        </w:rPr>
        <w:t>“短期借款”项目，反映事业单位期末短期借款的余额。本项目应当根据“短期借款”科目的期末余额填列。</w:t>
      </w:r>
    </w:p>
    <w:p>
      <w:pPr>
        <w:pStyle w:val="9"/>
        <w:rPr>
          <w:rFonts w:hint="eastAsia" w:ascii="宋体" w:hAnsi="宋体" w:cs="宋体"/>
          <w:color w:val="000000"/>
          <w:szCs w:val="21"/>
        </w:rPr>
      </w:pPr>
      <w:r>
        <w:rPr>
          <w:rFonts w:hint="eastAsia" w:ascii="宋体" w:hAnsi="宋体" w:cs="宋体"/>
          <w:color w:val="000000"/>
          <w:szCs w:val="21"/>
        </w:rPr>
        <w:t>“应交增值税”项目，反映单位期末应缴未缴的增值税税额。本项目应当根据“应交增值税”科目的期末余额填列；如“应交增值税”科目期末为借方余额，以“-”号填列。</w:t>
      </w:r>
    </w:p>
    <w:p>
      <w:pPr>
        <w:pStyle w:val="9"/>
        <w:rPr>
          <w:rFonts w:hint="eastAsia" w:ascii="宋体" w:hAnsi="宋体" w:cs="宋体"/>
          <w:color w:val="000000"/>
          <w:szCs w:val="21"/>
        </w:rPr>
      </w:pPr>
      <w:r>
        <w:rPr>
          <w:rFonts w:hint="eastAsia" w:ascii="宋体" w:hAnsi="宋体" w:cs="宋体"/>
          <w:color w:val="000000"/>
          <w:szCs w:val="21"/>
        </w:rPr>
        <w:t>“其他应交税费”项目，反映单位期末应缴未缴的除增值税以外的税费金额。本项目应当根据“其他应交税费”科目的期末余额填列；如“其他应交税费”科目期末为借方余额，以“-”号填列。</w:t>
      </w:r>
    </w:p>
    <w:p>
      <w:pPr>
        <w:pStyle w:val="9"/>
        <w:rPr>
          <w:rFonts w:hint="eastAsia" w:ascii="宋体" w:hAnsi="宋体" w:cs="宋体"/>
          <w:color w:val="000000"/>
          <w:szCs w:val="21"/>
        </w:rPr>
      </w:pPr>
      <w:r>
        <w:rPr>
          <w:rFonts w:hint="eastAsia" w:ascii="宋体" w:hAnsi="宋体" w:cs="宋体"/>
          <w:color w:val="000000"/>
          <w:szCs w:val="21"/>
        </w:rPr>
        <w:t>“应缴财政款”项目，反映单位期末应当上缴财政但尚未缴纳的款项。本项目应当根据“应缴财政款”科目的期末余额填列。</w:t>
      </w:r>
    </w:p>
    <w:p>
      <w:pPr>
        <w:pStyle w:val="9"/>
        <w:rPr>
          <w:rFonts w:hint="eastAsia" w:ascii="宋体" w:hAnsi="宋体" w:cs="宋体"/>
          <w:color w:val="000000"/>
          <w:szCs w:val="21"/>
        </w:rPr>
      </w:pPr>
      <w:r>
        <w:rPr>
          <w:rFonts w:hint="eastAsia" w:ascii="宋体" w:hAnsi="宋体" w:cs="宋体"/>
          <w:color w:val="000000"/>
          <w:szCs w:val="21"/>
        </w:rPr>
        <w:t>“待结算医疗款”项目，反映按“收支两条线”管理的基层医疗卫生机构期末待结算医疗收费。本项目应当根据“待结算医疗款”科目的期末余额填列。</w:t>
      </w:r>
    </w:p>
    <w:p>
      <w:pPr>
        <w:pStyle w:val="9"/>
        <w:rPr>
          <w:rFonts w:hint="eastAsia" w:ascii="宋体" w:hAnsi="宋体" w:cs="宋体"/>
          <w:color w:val="000000"/>
          <w:szCs w:val="21"/>
        </w:rPr>
      </w:pPr>
      <w:r>
        <w:rPr>
          <w:rFonts w:hint="eastAsia" w:ascii="宋体" w:hAnsi="宋体" w:cs="宋体"/>
          <w:color w:val="000000"/>
          <w:szCs w:val="21"/>
        </w:rPr>
        <w:t>“应付职工薪酬”项目，反映单位期末按有关规定应付给职工及为职工支付的各种薪酬。本项目应当根据“应付职工薪酬”科目的期末余额填列。</w:t>
      </w:r>
    </w:p>
    <w:p>
      <w:pPr>
        <w:pStyle w:val="9"/>
        <w:rPr>
          <w:rFonts w:hint="eastAsia" w:ascii="宋体" w:hAnsi="宋体" w:cs="宋体"/>
          <w:color w:val="000000"/>
          <w:szCs w:val="21"/>
        </w:rPr>
      </w:pPr>
      <w:r>
        <w:rPr>
          <w:rFonts w:hint="eastAsia" w:ascii="宋体" w:hAnsi="宋体" w:cs="宋体"/>
          <w:color w:val="000000"/>
          <w:szCs w:val="21"/>
        </w:rPr>
        <w:t>“应付票据”项目，反映事业单位期末应付票据的金额。本项目应当根据“应付票据”科目的期末余额填列。</w:t>
      </w:r>
    </w:p>
    <w:p>
      <w:pPr>
        <w:pStyle w:val="9"/>
        <w:rPr>
          <w:rFonts w:hint="eastAsia" w:ascii="宋体" w:hAnsi="宋体" w:cs="宋体"/>
          <w:color w:val="000000"/>
          <w:szCs w:val="21"/>
        </w:rPr>
      </w:pPr>
      <w:r>
        <w:rPr>
          <w:rFonts w:hint="eastAsia" w:ascii="宋体" w:hAnsi="宋体" w:cs="宋体"/>
          <w:color w:val="000000"/>
          <w:szCs w:val="21"/>
        </w:rPr>
        <w:t>“应付账款”项目，反映单位期末应当支付但尚未支付的偿还期限在 1 年以内（含 1 年）的应付账款的金额。本项目应当根据“ 应付账款”科目的期末余额填列。</w:t>
      </w:r>
    </w:p>
    <w:p>
      <w:pPr>
        <w:pStyle w:val="9"/>
        <w:rPr>
          <w:rFonts w:hint="eastAsia" w:ascii="宋体" w:hAnsi="宋体" w:cs="宋体"/>
          <w:color w:val="000000"/>
          <w:szCs w:val="21"/>
        </w:rPr>
      </w:pPr>
      <w:r>
        <w:rPr>
          <w:rFonts w:hint="eastAsia" w:ascii="宋体" w:hAnsi="宋体" w:cs="宋体"/>
          <w:color w:val="000000"/>
          <w:szCs w:val="21"/>
        </w:rPr>
        <w:t>“应付政府补贴款”项目，反映负责发放政府补贴的行政单位期末按照规定应当支付给政府补贴接受者的各种政府补贴款余额。本项目应当根据“应付政府补贴款”科目的期末余额填列。</w:t>
      </w:r>
    </w:p>
    <w:p>
      <w:pPr>
        <w:pStyle w:val="9"/>
        <w:rPr>
          <w:rFonts w:hint="eastAsia" w:ascii="宋体" w:hAnsi="宋体" w:cs="宋体"/>
          <w:color w:val="000000"/>
          <w:szCs w:val="21"/>
        </w:rPr>
      </w:pPr>
      <w:r>
        <w:rPr>
          <w:rFonts w:hint="eastAsia" w:ascii="宋体" w:hAnsi="宋体" w:cs="宋体"/>
          <w:color w:val="000000"/>
          <w:szCs w:val="21"/>
        </w:rPr>
        <w:t>“应付利息”项目，反映事业单位期末按照合同约定应支付的借款利息。事业单位到期一次还本付息的长期借款利息不包括在本项目内。本项目应当根据“应付利息”科目的期末余额填列。</w:t>
      </w:r>
    </w:p>
    <w:p>
      <w:pPr>
        <w:pStyle w:val="9"/>
        <w:rPr>
          <w:rFonts w:hint="eastAsia" w:ascii="宋体" w:hAnsi="宋体" w:cs="宋体"/>
          <w:color w:val="000000"/>
          <w:szCs w:val="21"/>
        </w:rPr>
      </w:pPr>
      <w:r>
        <w:rPr>
          <w:rFonts w:hint="eastAsia" w:ascii="宋体" w:hAnsi="宋体" w:cs="宋体"/>
          <w:color w:val="000000"/>
          <w:szCs w:val="21"/>
        </w:rPr>
        <w:t>“预收账款”项目，反映事业单位期末预先收取但尚未确认收入和实际结算的款项余额。本项目应当根据“预收账款”科目的期末余额填列。</w:t>
      </w:r>
    </w:p>
    <w:p>
      <w:pPr>
        <w:pStyle w:val="9"/>
        <w:rPr>
          <w:rFonts w:hint="eastAsia" w:ascii="宋体" w:hAnsi="宋体" w:cs="宋体"/>
          <w:color w:val="000000"/>
          <w:szCs w:val="21"/>
        </w:rPr>
      </w:pPr>
      <w:r>
        <w:rPr>
          <w:rFonts w:hint="eastAsia" w:ascii="宋体" w:hAnsi="宋体" w:cs="宋体"/>
          <w:color w:val="000000"/>
          <w:szCs w:val="21"/>
        </w:rPr>
        <w:t>“其他应付款”项目，反映单位期末其他各项偿还期限在 1年内（含 1 年）的应付及暂收款项余额。本项目应当根据“其他应付款”科目的期末余额填列。</w:t>
      </w:r>
    </w:p>
    <w:p>
      <w:pPr>
        <w:pStyle w:val="9"/>
        <w:rPr>
          <w:rFonts w:hint="eastAsia" w:ascii="宋体" w:hAnsi="宋体" w:cs="宋体"/>
          <w:color w:val="000000"/>
          <w:szCs w:val="21"/>
        </w:rPr>
      </w:pPr>
      <w:r>
        <w:rPr>
          <w:rFonts w:hint="eastAsia" w:ascii="宋体" w:hAnsi="宋体" w:cs="宋体"/>
          <w:color w:val="000000"/>
          <w:szCs w:val="21"/>
        </w:rPr>
        <w:t>“预提费用”项目，反映单位期末已预先提取的已经发生但尚未支付的各项费用。本项目应当根据“预提费用”科目的期末余额填列。</w:t>
      </w:r>
    </w:p>
    <w:p>
      <w:pPr>
        <w:pStyle w:val="9"/>
        <w:rPr>
          <w:rFonts w:hint="eastAsia" w:ascii="宋体" w:hAnsi="宋体" w:cs="宋体"/>
          <w:color w:val="000000"/>
          <w:szCs w:val="21"/>
        </w:rPr>
      </w:pPr>
      <w:r>
        <w:rPr>
          <w:rFonts w:hint="eastAsia" w:ascii="宋体" w:hAnsi="宋体" w:cs="宋体"/>
          <w:color w:val="000000"/>
          <w:szCs w:val="21"/>
        </w:rPr>
        <w:t>“一年内到期的非流动负债”项目，反映单位期末将于 1 年内（含 1 年）偿还的非流动负债的余额。本项目应当根据“长期应付款”、“长期借款”等科目的明细科目的期末余额分析填列。</w:t>
      </w:r>
    </w:p>
    <w:p>
      <w:pPr>
        <w:pStyle w:val="9"/>
        <w:rPr>
          <w:rFonts w:hint="eastAsia" w:ascii="宋体" w:hAnsi="宋体" w:cs="宋体"/>
          <w:color w:val="000000"/>
          <w:szCs w:val="21"/>
        </w:rPr>
      </w:pPr>
      <w:r>
        <w:rPr>
          <w:rFonts w:hint="eastAsia" w:ascii="宋体" w:hAnsi="宋体" w:cs="宋体"/>
          <w:color w:val="000000"/>
          <w:szCs w:val="21"/>
        </w:rPr>
        <w:t>“其他流动负债”项目，反映单位期末除本表中上述各项之外的其他流动负债的合计数。本项目应当根据有关科目的期末余额的合计数填列。</w:t>
      </w:r>
    </w:p>
    <w:p>
      <w:pPr>
        <w:pStyle w:val="9"/>
        <w:rPr>
          <w:rFonts w:hint="eastAsia" w:ascii="宋体" w:hAnsi="宋体" w:cs="宋体"/>
          <w:color w:val="000000"/>
          <w:szCs w:val="21"/>
        </w:rPr>
      </w:pPr>
      <w:r>
        <w:rPr>
          <w:rFonts w:hint="eastAsia" w:ascii="宋体" w:hAnsi="宋体" w:cs="宋体"/>
          <w:color w:val="000000"/>
          <w:szCs w:val="21"/>
        </w:rPr>
        <w:t>“流动负债合计”项目，反映单位期末流动负债合计数。本项目应当根据本表“短期借款”、“应交增值税”、“其他应交税费”、“应缴财政款”、“应付职工薪酬”、“应付票据”、“应付账款”、“应付政府补贴款”、“应付利息”、“预收账款”、“其他应付款”、“预提费用”、“一年内到期的非流动负债”、“其他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“长期借款”项目，反映事业单位期末长期借款的余额。本项目应当根据“长期借款”科目的期末余额减去其中将于 1 年内（ 含 1年）到期的长期借款余额后的金额填列。</w:t>
      </w:r>
    </w:p>
    <w:p>
      <w:pPr>
        <w:pStyle w:val="9"/>
        <w:rPr>
          <w:rFonts w:hint="eastAsia" w:ascii="宋体" w:hAnsi="宋体" w:cs="宋体"/>
          <w:color w:val="000000"/>
          <w:szCs w:val="21"/>
        </w:rPr>
      </w:pPr>
      <w:r>
        <w:rPr>
          <w:rFonts w:hint="eastAsia" w:ascii="宋体" w:hAnsi="宋体" w:cs="宋体"/>
          <w:color w:val="000000"/>
          <w:szCs w:val="21"/>
        </w:rPr>
        <w:t>“长期应付款”项目，反映单位期末长期应付款的余额。本项目应当根据“长期应付款”科目的期末余额减去其中将于 1 年内（ 含1 年）到期的长期应付款余额后的金额填列。</w:t>
      </w:r>
    </w:p>
    <w:p>
      <w:pPr>
        <w:pStyle w:val="9"/>
        <w:rPr>
          <w:rFonts w:hint="eastAsia" w:ascii="宋体" w:hAnsi="宋体" w:cs="宋体"/>
          <w:color w:val="000000"/>
          <w:szCs w:val="21"/>
        </w:rPr>
      </w:pPr>
      <w:r>
        <w:rPr>
          <w:rFonts w:hint="eastAsia" w:ascii="宋体" w:hAnsi="宋体" w:cs="宋体"/>
          <w:color w:val="000000"/>
          <w:szCs w:val="21"/>
        </w:rPr>
        <w:t>“预计负债”项目，反映单位期末已确认但尚未偿付的预计负债的余额。本项目应当根据“预计负债”科目的期末余额填列。</w:t>
      </w:r>
    </w:p>
    <w:p>
      <w:pPr>
        <w:pStyle w:val="9"/>
        <w:rPr>
          <w:rFonts w:hint="eastAsia" w:ascii="宋体" w:hAnsi="宋体" w:cs="宋体"/>
          <w:color w:val="000000"/>
          <w:szCs w:val="21"/>
        </w:rPr>
      </w:pPr>
      <w:r>
        <w:rPr>
          <w:rFonts w:hint="eastAsia" w:ascii="宋体" w:hAnsi="宋体" w:cs="宋体"/>
          <w:color w:val="000000"/>
          <w:szCs w:val="21"/>
        </w:rPr>
        <w:t>“其他非流动负债”项目，反映单位期末除本表中上述各项之外的其他非流动负债的合计数。本项目应当根据有关科目的期末余额合计数填列。</w:t>
      </w:r>
    </w:p>
    <w:p>
      <w:pPr>
        <w:pStyle w:val="9"/>
        <w:rPr>
          <w:rFonts w:hint="eastAsia" w:ascii="宋体" w:hAnsi="宋体" w:cs="宋体"/>
          <w:color w:val="000000"/>
          <w:szCs w:val="21"/>
        </w:rPr>
      </w:pPr>
      <w:r>
        <w:rPr>
          <w:rFonts w:hint="eastAsia" w:ascii="宋体" w:hAnsi="宋体" w:cs="宋体"/>
          <w:color w:val="000000"/>
          <w:szCs w:val="21"/>
        </w:rPr>
        <w:t>“非流动负债合计”项目，反映单位期末非流动负债合计数。本项目应当根据本表中“长期借款”、“长期应付款”、“预计负债”、“其他非流动负债”项目金额的合计数填列。</w:t>
      </w:r>
    </w:p>
    <w:p>
      <w:pPr>
        <w:pStyle w:val="9"/>
        <w:rPr>
          <w:rFonts w:hint="eastAsia" w:ascii="宋体" w:hAnsi="宋体" w:cs="宋体"/>
          <w:color w:val="000000"/>
          <w:szCs w:val="21"/>
        </w:rPr>
      </w:pPr>
      <w:r>
        <w:rPr>
          <w:rFonts w:hint="eastAsia" w:ascii="宋体" w:hAnsi="宋体" w:cs="宋体"/>
          <w:color w:val="000000"/>
          <w:szCs w:val="21"/>
        </w:rPr>
        <w:t>“受托代理负债”项目，反映单位期末受托代理负债的金额。本项目应当根据“受托代理负债”科目的期末余额填列。</w:t>
      </w:r>
    </w:p>
    <w:p>
      <w:pPr>
        <w:pStyle w:val="9"/>
        <w:rPr>
          <w:rFonts w:hint="eastAsia" w:ascii="宋体" w:hAnsi="宋体" w:cs="宋体"/>
          <w:color w:val="000000"/>
          <w:szCs w:val="21"/>
        </w:rPr>
      </w:pPr>
      <w:r>
        <w:rPr>
          <w:rFonts w:hint="eastAsia" w:ascii="宋体" w:hAnsi="宋体" w:cs="宋体"/>
          <w:color w:val="000000"/>
          <w:szCs w:val="21"/>
        </w:rPr>
        <w:t>“负债合计”项目，反映单位期末负债的合计数。本项目应当根据本表中“流动负债合计”、“非流动负债合计”、“受托代理负债”项目金额的合计数填列。</w:t>
      </w:r>
    </w:p>
    <w:p>
      <w:pPr>
        <w:pStyle w:val="9"/>
        <w:rPr>
          <w:rFonts w:hint="eastAsia" w:ascii="宋体" w:hAnsi="宋体" w:cs="宋体"/>
          <w:color w:val="000000"/>
          <w:szCs w:val="21"/>
        </w:rPr>
      </w:pPr>
      <w:r>
        <w:rPr>
          <w:rFonts w:hint="eastAsia" w:ascii="宋体" w:hAnsi="宋体" w:cs="宋体"/>
          <w:color w:val="000000"/>
          <w:szCs w:val="21"/>
        </w:rPr>
        <w:t>净资产类项目</w:t>
      </w:r>
    </w:p>
    <w:p>
      <w:pPr>
        <w:pStyle w:val="9"/>
        <w:rPr>
          <w:rFonts w:hint="eastAsia" w:ascii="宋体" w:hAnsi="宋体" w:cs="宋体"/>
          <w:color w:val="000000"/>
          <w:szCs w:val="21"/>
        </w:rPr>
      </w:pPr>
      <w:r>
        <w:rPr>
          <w:rFonts w:hint="eastAsia" w:ascii="宋体" w:hAnsi="宋体" w:cs="宋体"/>
          <w:color w:val="000000"/>
          <w:szCs w:val="21"/>
        </w:rPr>
        <w:t>“累计盈余”项目，反映单位期末未分配盈余（或未弥补亏损）以及无偿调拨净资产变动的累计数。本项目应当根据“累计盈余”科目的期末余额填列。</w:t>
      </w:r>
    </w:p>
    <w:p>
      <w:pPr>
        <w:pStyle w:val="9"/>
        <w:rPr>
          <w:rFonts w:hint="eastAsia" w:ascii="宋体" w:hAnsi="宋体" w:cs="宋体"/>
          <w:color w:val="000000"/>
          <w:szCs w:val="21"/>
        </w:rPr>
      </w:pPr>
      <w:r>
        <w:rPr>
          <w:rFonts w:hint="eastAsia" w:ascii="宋体" w:hAnsi="宋体" w:cs="宋体"/>
          <w:color w:val="000000"/>
          <w:szCs w:val="21"/>
        </w:rPr>
        <w:t>“累计盈余”项目下“医疗盈余”项目，反映基层医疗卫生机构开展医疗活动产生的累计盈余。本项目应当根据“累计盈余——医疗盈余”科目的期末余额填列。</w:t>
      </w:r>
    </w:p>
    <w:p>
      <w:pPr>
        <w:pStyle w:val="9"/>
        <w:rPr>
          <w:rFonts w:hint="eastAsia" w:ascii="宋体" w:hAnsi="宋体" w:cs="宋体"/>
          <w:color w:val="000000"/>
          <w:szCs w:val="21"/>
        </w:rPr>
      </w:pPr>
      <w:r>
        <w:rPr>
          <w:rFonts w:hint="eastAsia" w:ascii="宋体" w:hAnsi="宋体" w:cs="宋体"/>
          <w:color w:val="000000"/>
          <w:szCs w:val="21"/>
        </w:rPr>
        <w:t>“累计盈余”项目下“公共卫生盈余”项目，反映基层医疗卫生机构开展公共卫生活动产生的累计盈余。本项目应当根据“累计盈余——公共卫生盈余”科目的期末余额填列。</w:t>
      </w:r>
    </w:p>
    <w:p>
      <w:pPr>
        <w:pStyle w:val="9"/>
        <w:rPr>
          <w:rFonts w:hint="eastAsia" w:ascii="宋体" w:hAnsi="宋体" w:cs="宋体"/>
          <w:color w:val="000000"/>
          <w:szCs w:val="21"/>
        </w:rPr>
      </w:pPr>
      <w:r>
        <w:rPr>
          <w:rFonts w:hint="eastAsia" w:ascii="宋体" w:hAnsi="宋体" w:cs="宋体"/>
          <w:color w:val="000000"/>
          <w:szCs w:val="21"/>
        </w:rPr>
        <w:t>“累计盈余”项目下“科教盈余”项目，反映基层医疗卫生机构开展科研教学活动产生的累计盈余。本项目应当根据“累计盈余——科教盈余”科目的期末余额填列。</w:t>
      </w:r>
    </w:p>
    <w:p>
      <w:pPr>
        <w:pStyle w:val="9"/>
        <w:rPr>
          <w:rFonts w:hint="eastAsia" w:ascii="宋体" w:hAnsi="宋体" w:cs="宋体"/>
          <w:color w:val="000000"/>
          <w:szCs w:val="21"/>
        </w:rPr>
      </w:pPr>
      <w:r>
        <w:rPr>
          <w:rFonts w:hint="eastAsia" w:ascii="宋体" w:hAnsi="宋体" w:cs="宋体"/>
          <w:color w:val="000000"/>
          <w:szCs w:val="21"/>
        </w:rPr>
        <w:t>“累计盈余”项目下“新旧转换盈余”项目，反映基层医疗卫生机构执行新制度前形成的、除新旧转换时转入医疗盈余、公共卫生盈余和科教盈余外的累计盈余。本项目应当根据“累计盈余——新旧转换盈余”科目的期末余额填列。</w:t>
      </w:r>
    </w:p>
    <w:p>
      <w:pPr>
        <w:pStyle w:val="9"/>
        <w:rPr>
          <w:rFonts w:hint="eastAsia" w:ascii="宋体" w:hAnsi="宋体" w:cs="宋体"/>
          <w:color w:val="000000"/>
          <w:szCs w:val="21"/>
        </w:rPr>
      </w:pPr>
      <w:r>
        <w:rPr>
          <w:rFonts w:hint="eastAsia" w:ascii="宋体" w:hAnsi="宋体" w:cs="宋体"/>
          <w:color w:val="000000"/>
          <w:szCs w:val="21"/>
        </w:rPr>
        <w:t>“专用基金”项目，反映事业单位期末累计提取或设置但尚未使用的专用基金余额。本项目应当根据“专用基金”科目的期末余额填列。</w:t>
      </w:r>
    </w:p>
    <w:p>
      <w:pPr>
        <w:pStyle w:val="9"/>
        <w:rPr>
          <w:rFonts w:hint="eastAsia" w:ascii="宋体" w:hAnsi="宋体" w:cs="宋体"/>
          <w:color w:val="000000"/>
          <w:szCs w:val="21"/>
        </w:rPr>
      </w:pPr>
      <w:r>
        <w:rPr>
          <w:rFonts w:hint="eastAsia" w:ascii="宋体" w:hAnsi="宋体" w:cs="宋体"/>
          <w:color w:val="000000"/>
          <w:szCs w:val="21"/>
        </w:rPr>
        <w:t>“权益法调整”项目，反映事业单位期末在被投资单位除净损益和利润分配以外的所有者权益变动中累积享有的份额。本项目应当根据“权益法调整”科目的期末余额填列。如“权益法调整”科目期末为借方余额，以“-”号填列。</w:t>
      </w:r>
    </w:p>
    <w:p>
      <w:pPr>
        <w:pStyle w:val="9"/>
        <w:rPr>
          <w:rFonts w:hint="eastAsia" w:ascii="宋体" w:hAnsi="宋体" w:cs="宋体"/>
          <w:color w:val="000000"/>
          <w:szCs w:val="21"/>
        </w:rPr>
      </w:pPr>
      <w:r>
        <w:rPr>
          <w:rFonts w:hint="eastAsia" w:ascii="宋体" w:hAnsi="宋体" w:cs="宋体"/>
          <w:color w:val="000000"/>
          <w:szCs w:val="21"/>
        </w:rPr>
        <w:t>“无偿调拨净资产”项目，反映单位本年度截至报告期期末无偿调入的非现金资产价值扣减无偿调出的非现金资产价值后的净值。本项目仅在月度报表中列示，年度报表中不列示。月度报表中本项目应当根据“无偿调拨净资产”科目的期末余额填列；“无偿调拨净资产”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本期盈余”项目，反映单位本年度截至报告期期末实现的累计盈余或亏损。本项目仅在月度报表中列示，年度报表中不列示。月度报表中本项目应当根据“本期盈余”科目的期末余额填列；“本期盈余”科目期末为借方余额时，以“-”号填列。</w:t>
      </w:r>
    </w:p>
    <w:p>
      <w:pPr>
        <w:pStyle w:val="9"/>
        <w:rPr>
          <w:rFonts w:hint="eastAsia" w:ascii="宋体" w:hAnsi="宋体" w:cs="宋体"/>
          <w:color w:val="000000"/>
          <w:szCs w:val="21"/>
        </w:rPr>
      </w:pPr>
      <w:r>
        <w:rPr>
          <w:rFonts w:hint="eastAsia" w:ascii="宋体" w:hAnsi="宋体" w:cs="宋体"/>
          <w:color w:val="000000"/>
          <w:szCs w:val="21"/>
        </w:rPr>
        <w:t>“净资产合计”项目，反映单位期末净资产合计数。本项 目应当根据本表中“累计盈余”、“专用基金”、“权益法调整”、“ 无偿调拨净资产”[月度报表]、“本期盈余”[月度报表]项目金额的合计数填列。</w:t>
      </w:r>
    </w:p>
    <w:p>
      <w:pPr>
        <w:pStyle w:val="9"/>
        <w:rPr>
          <w:rFonts w:hint="eastAsia" w:ascii="宋体" w:hAnsi="宋体" w:cs="宋体"/>
          <w:color w:val="000000"/>
          <w:szCs w:val="21"/>
        </w:rPr>
      </w:pPr>
      <w:r>
        <w:rPr>
          <w:rFonts w:hint="eastAsia" w:ascii="宋体" w:hAnsi="宋体" w:cs="宋体"/>
          <w:color w:val="000000"/>
          <w:szCs w:val="21"/>
        </w:rPr>
        <w:t>“负债和净资产总计”项目，应当按照本表中“负债合计”、“净资产合计”项目金额的合计数填列。</w:t>
      </w:r>
    </w:p>
    <w:p>
      <w:r>
        <w:rPr>
          <w:rFonts w:hint="eastAsia" w:ascii="宋体" w:hAnsi="宋体" w:eastAsia="宋体" w:cs="宋体"/>
          <w:color w:val="000000"/>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7000E"/>
    <w:multiLevelType w:val="multilevel"/>
    <w:tmpl w:val="1367000E"/>
    <w:lvl w:ilvl="0" w:tentative="0">
      <w:start w:val="1"/>
      <w:numFmt w:val="bullet"/>
      <w:pStyle w:val="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96EDA"/>
    <w:rsid w:val="2399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5"/>
    <w:next w:val="5"/>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一级标题_0"/>
    <w:basedOn w:val="5"/>
    <w:qFormat/>
    <w:uiPriority w:val="0"/>
    <w:pPr>
      <w:widowControl/>
      <w:ind w:firstLine="420"/>
      <w:jc w:val="left"/>
      <w:outlineLvl w:val="2"/>
    </w:pPr>
    <w:rPr>
      <w:rFonts w:ascii="Arial" w:hAnsi="Arial" w:eastAsia="Times New Roman" w:cs="Arial"/>
      <w:b/>
      <w:kern w:val="0"/>
      <w:sz w:val="24"/>
      <w:szCs w:val="24"/>
    </w:rPr>
  </w:style>
  <w:style w:type="paragraph" w:customStyle="1" w:styleId="7">
    <w:name w:val="四级标题"/>
    <w:basedOn w:val="8"/>
    <w:qFormat/>
    <w:uiPriority w:val="0"/>
    <w:pPr>
      <w:numPr>
        <w:ilvl w:val="0"/>
        <w:numId w:val="1"/>
      </w:numPr>
    </w:pPr>
    <w:rPr>
      <w:rFonts w:eastAsia="宋体" w:cs="Times New Roman"/>
      <w:kern w:val="2"/>
      <w:sz w:val="21"/>
    </w:rPr>
  </w:style>
  <w:style w:type="paragraph" w:customStyle="1" w:styleId="8">
    <w:name w:val="二级标题_0"/>
    <w:basedOn w:val="5"/>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5"/>
    <w:qFormat/>
    <w:uiPriority w:val="0"/>
    <w:pPr>
      <w:widowControl/>
      <w:ind w:firstLine="420"/>
      <w:jc w:val="left"/>
    </w:pPr>
    <w:rPr>
      <w:rFonts w:ascii="Arial" w:hAnsi="Arial"/>
      <w:szCs w:val="24"/>
    </w:rPr>
  </w:style>
  <w:style w:type="paragraph" w:customStyle="1" w:styleId="10">
    <w:name w:val="Table Paragraph"/>
    <w:basedOn w:val="1"/>
    <w:qFormat/>
    <w:uiPriority w:val="1"/>
    <w:pPr>
      <w:widowControl w:val="0"/>
      <w:autoSpaceDE w:val="0"/>
      <w:autoSpaceDN w:val="0"/>
    </w:pPr>
    <w:rPr>
      <w:rFonts w:ascii="仿宋" w:hAnsi="仿宋" w:eastAsia="仿宋" w:cs="仿宋"/>
      <w:sz w:val="22"/>
      <w:szCs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2019-12-13T01:40:00Z</dcterms:created>
  <dc:creator>陈莉佳</dc:creator>
  <cp:lastModifiedBy>陈莉佳</cp:lastModifiedBy>
  <dcterms:modified xsi:type="dcterms:W3CDTF">2019-12-13T01:41:53Z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