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color w:val="000000"/>
          <w:sz w:val="36"/>
          <w:szCs w:val="36"/>
        </w:rPr>
      </w:pPr>
      <w:bookmarkStart w:id="1" w:name="_GoBack"/>
      <w:bookmarkStart w:id="0" w:name="_Toc413512007"/>
      <w:r>
        <w:rPr>
          <w:rFonts w:hint="eastAsia" w:ascii="方正小标宋简体" w:hAnsi="方正小标宋简体" w:eastAsia="方正小标宋简体" w:cs="方正小标宋简体"/>
          <w:color w:val="000000"/>
          <w:sz w:val="36"/>
          <w:szCs w:val="36"/>
        </w:rPr>
        <w:t>A06481《盈余及盈余分配表（适用执行农民专业合作社会计制度的单位）》</w:t>
      </w:r>
      <w:bookmarkEnd w:id="0"/>
    </w:p>
    <w:bookmarkEnd w:id="1"/>
    <w:p>
      <w:pPr>
        <w:pStyle w:val="4"/>
        <w:jc w:val="center"/>
        <w:rPr>
          <w:rFonts w:ascii="宋体" w:hAnsi="宋体"/>
          <w:color w:val="000000"/>
          <w:sz w:val="32"/>
          <w:szCs w:val="32"/>
        </w:rPr>
      </w:pPr>
      <w:r>
        <w:rPr>
          <w:rFonts w:hint="eastAsia" w:ascii="宋体" w:hAnsi="宋体"/>
          <w:color w:val="000000"/>
          <w:sz w:val="32"/>
          <w:szCs w:val="32"/>
        </w:rPr>
        <w:t>盈余及盈余分配表</w:t>
      </w:r>
    </w:p>
    <w:p>
      <w:pPr>
        <w:pStyle w:val="4"/>
        <w:jc w:val="center"/>
        <w:rPr>
          <w:color w:val="000000"/>
          <w:szCs w:val="21"/>
        </w:rPr>
      </w:pPr>
      <w:r>
        <w:rPr>
          <w:rFonts w:hint="eastAsia" w:ascii="宋体" w:hAnsi="宋体"/>
          <w:color w:val="000000"/>
          <w:szCs w:val="21"/>
        </w:rPr>
        <w:t>（适用执行农民专业合作社会计制度的单位）</w:t>
      </w:r>
    </w:p>
    <w:p>
      <w:pPr>
        <w:spacing w:line="259" w:lineRule="auto"/>
        <w:ind w:left="672"/>
        <w:jc w:val="center"/>
      </w:pPr>
      <w:r>
        <w:rPr>
          <w:rFonts w:ascii="Calibri" w:hAnsi="Calibri" w:eastAsia="Calibri" w:cs="Calibri"/>
          <w:sz w:val="22"/>
        </w:rPr>
        <mc:AlternateContent>
          <mc:Choice Requires="wpg">
            <w:drawing>
              <wp:inline distT="0" distB="0" distL="0" distR="0">
                <wp:extent cx="533400" cy="7620"/>
                <wp:effectExtent l="0" t="0" r="19050" b="11430"/>
                <wp:docPr id="58228" name="组合 58228"/>
                <wp:cNvGraphicFramePr/>
                <a:graphic xmlns:a="http://schemas.openxmlformats.org/drawingml/2006/main">
                  <a:graphicData uri="http://schemas.microsoft.com/office/word/2010/wordprocessingGroup">
                    <wpg:wgp>
                      <wpg:cNvGrpSpPr/>
                      <wpg:grpSpPr>
                        <a:xfrm>
                          <a:off x="0" y="0"/>
                          <a:ext cx="533400" cy="7620"/>
                          <a:chOff x="0" y="0"/>
                          <a:chExt cx="533400" cy="7620"/>
                        </a:xfrm>
                      </wpg:grpSpPr>
                      <wps:wsp>
                        <wps:cNvPr id="7264" name="Shape 7264"/>
                        <wps:cNvSpPr/>
                        <wps:spPr>
                          <a:xfrm>
                            <a:off x="0" y="0"/>
                            <a:ext cx="533400" cy="0"/>
                          </a:xfrm>
                          <a:custGeom>
                            <a:avLst/>
                            <a:gdLst/>
                            <a:ahLst/>
                            <a:cxnLst/>
                            <a:rect l="0" t="0" r="0" b="0"/>
                            <a:pathLst>
                              <a:path w="533400">
                                <a:moveTo>
                                  <a:pt x="0" y="0"/>
                                </a:moveTo>
                                <a:lnTo>
                                  <a:pt x="533400" y="0"/>
                                </a:lnTo>
                              </a:path>
                            </a:pathLst>
                          </a:custGeom>
                          <a:noFill/>
                          <a:ln w="7620" cap="flat" cmpd="sng" algn="ctr">
                            <a:solidFill>
                              <a:srgbClr val="F9F9F9">
                                <a:shade val="95000"/>
                                <a:satMod val="105000"/>
                              </a:srgbClr>
                            </a:solidFill>
                            <a:prstDash val="solid"/>
                            <a:bevel/>
                          </a:ln>
                        </wps:spPr>
                        <wps:bodyPr/>
                      </wps:wsp>
                    </wpg:wgp>
                  </a:graphicData>
                </a:graphic>
              </wp:inline>
            </w:drawing>
          </mc:Choice>
          <mc:Fallback>
            <w:pict>
              <v:group id="_x0000_s1026" o:spid="_x0000_s1026" o:spt="203" style="height:0.6pt;width:42pt;" coordsize="533400,7620" o:gfxdata="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k8HLtMAAAACAQAADwAAAAAAAAABACAAAAAiAAAAZHJzL2Rvd25yZXYueG1s&#10;UEsBAhQAFAAAAAgAh07iQEB2d3hvAgAAwQUAAA4AAAAAAAAAAQAgAAAAIgEAAGRycy9lMm9Eb2Mu&#10;eG1sUEsFBgAAAAAGAAYAWQEAAAMGAAAAAA==&#10;">
                <o:lock v:ext="edit" aspectratio="f"/>
                <v:shape id="Shape 7264" o:spid="_x0000_s1026" o:spt="100" style="position:absolute;left:0;top:0;height:0;width:533400;" filled="f" stroked="t" coordsize="533400,1" o:gfxdata="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BIoNe8AAAA&#10;3QAAAA8AAAAAAAAAAQAgAAAAIgAAAGRycy9kb3ducmV2LnhtbFBLAQIUABQAAAAIAIdO4kAzLwWe&#10;OwAAADkAAAAQAAAAAAAAAAEAIAAAAAsBAABkcnMvc2hhcGV4bWwueG1sUEsFBgAAAAAGAAYAWwEA&#10;ALUDAAAAAA==&#10;" path="m0,0l533400,0e">
                  <v:fill on="f" focussize="0,0"/>
                  <v:stroke weight="0.6pt" color="#F3F3F3" joinstyle="bevel"/>
                  <v:imagedata o:title=""/>
                  <o:lock v:ext="edit" aspectratio="f"/>
                </v:shape>
                <w10:wrap type="none"/>
                <w10:anchorlock/>
              </v:group>
            </w:pict>
          </mc:Fallback>
        </mc:AlternateContent>
      </w:r>
      <w:r>
        <w:rPr>
          <w:rFonts w:ascii="仿宋" w:hAnsi="仿宋" w:eastAsia="仿宋" w:cs="仿宋"/>
        </w:rPr>
        <w:t>年度</w:t>
      </w:r>
    </w:p>
    <w:p>
      <w:pPr>
        <w:spacing w:after="69" w:line="259" w:lineRule="auto"/>
        <w:ind w:left="3540"/>
      </w:pPr>
    </w:p>
    <w:p>
      <w:pPr>
        <w:spacing w:line="259" w:lineRule="auto"/>
        <w:ind w:left="-5" w:right="153" w:hanging="10"/>
        <w:jc w:val="right"/>
      </w:pPr>
      <w:r>
        <w:t>会农社</w:t>
      </w:r>
      <w:r>
        <w:rPr>
          <w:rFonts w:ascii="宋体" w:hAnsi="宋体" w:eastAsia="宋体" w:cs="宋体"/>
        </w:rPr>
        <w:t>02</w:t>
      </w:r>
      <w:r>
        <w:t>表</w:t>
      </w:r>
    </w:p>
    <w:p>
      <w:pPr>
        <w:spacing w:line="259" w:lineRule="auto"/>
        <w:ind w:left="-5" w:right="153" w:hanging="10"/>
        <w:jc w:val="right"/>
      </w:pPr>
      <w:r>
        <w:t>编制单位：单位：元</w:t>
      </w:r>
    </w:p>
    <w:tbl>
      <w:tblPr>
        <w:tblStyle w:val="2"/>
        <w:tblW w:w="8364"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6" w:type="dxa"/>
          <w:left w:w="0" w:type="dxa"/>
          <w:bottom w:w="0" w:type="dxa"/>
          <w:right w:w="159" w:type="dxa"/>
        </w:tblCellMar>
      </w:tblPr>
      <w:tblGrid>
        <w:gridCol w:w="4754"/>
        <w:gridCol w:w="916"/>
        <w:gridCol w:w="127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6" w:type="dxa"/>
            <w:left w:w="0" w:type="dxa"/>
            <w:bottom w:w="0" w:type="dxa"/>
            <w:right w:w="159" w:type="dxa"/>
          </w:tblCellMar>
        </w:tblPrEx>
        <w:trPr>
          <w:trHeight w:val="454" w:hRule="atLeast"/>
        </w:trPr>
        <w:tc>
          <w:tcPr>
            <w:tcW w:w="4754" w:type="dxa"/>
            <w:shd w:val="clear" w:color="auto" w:fill="auto"/>
          </w:tcPr>
          <w:p>
            <w:pPr>
              <w:spacing w:line="259" w:lineRule="auto"/>
              <w:ind w:left="214"/>
              <w:jc w:val="center"/>
            </w:pPr>
            <w:r>
              <w:rPr>
                <w:rFonts w:ascii="仿宋" w:hAnsi="仿宋" w:eastAsia="仿宋" w:cs="仿宋"/>
              </w:rPr>
              <w:t>项目</w:t>
            </w:r>
          </w:p>
        </w:tc>
        <w:tc>
          <w:tcPr>
            <w:tcW w:w="916" w:type="dxa"/>
            <w:shd w:val="clear" w:color="auto" w:fill="auto"/>
          </w:tcPr>
          <w:p>
            <w:pPr>
              <w:spacing w:line="259" w:lineRule="auto"/>
              <w:ind w:left="219"/>
              <w:jc w:val="both"/>
            </w:pPr>
            <w:r>
              <w:rPr>
                <w:rFonts w:ascii="仿宋" w:hAnsi="仿宋" w:eastAsia="仿宋" w:cs="仿宋"/>
              </w:rPr>
              <w:t>行次</w:t>
            </w:r>
          </w:p>
        </w:tc>
        <w:tc>
          <w:tcPr>
            <w:tcW w:w="1276" w:type="dxa"/>
            <w:shd w:val="clear" w:color="auto" w:fill="auto"/>
          </w:tcPr>
          <w:p>
            <w:pPr>
              <w:spacing w:line="259" w:lineRule="auto"/>
              <w:ind w:left="157"/>
              <w:jc w:val="both"/>
            </w:pPr>
            <w:r>
              <w:rPr>
                <w:rFonts w:ascii="仿宋" w:hAnsi="仿宋" w:eastAsia="仿宋" w:cs="仿宋"/>
              </w:rPr>
              <w:t>本年金额</w:t>
            </w:r>
          </w:p>
        </w:tc>
        <w:tc>
          <w:tcPr>
            <w:tcW w:w="1418" w:type="dxa"/>
            <w:shd w:val="clear" w:color="auto" w:fill="auto"/>
          </w:tcPr>
          <w:p>
            <w:pPr>
              <w:spacing w:line="259" w:lineRule="auto"/>
              <w:ind w:left="232"/>
              <w:jc w:val="both"/>
            </w:pPr>
            <w:r>
              <w:rPr>
                <w:rFonts w:ascii="仿宋" w:hAnsi="仿宋" w:eastAsia="仿宋" w:cs="仿宋"/>
              </w:rPr>
              <w:t>上年金额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6" w:type="dxa"/>
            <w:left w:w="0" w:type="dxa"/>
            <w:bottom w:w="0" w:type="dxa"/>
            <w:right w:w="159" w:type="dxa"/>
          </w:tblCellMar>
        </w:tblPrEx>
        <w:trPr>
          <w:trHeight w:val="454" w:hRule="atLeast"/>
        </w:trPr>
        <w:tc>
          <w:tcPr>
            <w:tcW w:w="4754" w:type="dxa"/>
            <w:shd w:val="clear" w:color="auto" w:fill="auto"/>
            <w:vAlign w:val="center"/>
          </w:tcPr>
          <w:p>
            <w:pPr>
              <w:spacing w:line="259" w:lineRule="auto"/>
            </w:pPr>
            <w:r>
              <w:rPr>
                <w:rFonts w:ascii="仿宋" w:hAnsi="仿宋" w:eastAsia="仿宋" w:cs="仿宋"/>
              </w:rPr>
              <w:t>一、经营收入</w:t>
            </w:r>
          </w:p>
        </w:tc>
        <w:tc>
          <w:tcPr>
            <w:tcW w:w="916" w:type="dxa"/>
            <w:shd w:val="clear" w:color="auto" w:fill="auto"/>
            <w:vAlign w:val="center"/>
          </w:tcPr>
          <w:p>
            <w:pPr>
              <w:spacing w:line="259" w:lineRule="auto"/>
              <w:ind w:left="160"/>
              <w:jc w:val="center"/>
            </w:pPr>
            <w:r>
              <w:rPr>
                <w:rFonts w:ascii="宋体" w:hAnsi="宋体" w:eastAsia="宋体" w:cs="宋体"/>
              </w:rPr>
              <w:t>1</w:t>
            </w:r>
          </w:p>
        </w:tc>
        <w:tc>
          <w:tcPr>
            <w:tcW w:w="1276" w:type="dxa"/>
            <w:shd w:val="clear" w:color="auto" w:fill="auto"/>
          </w:tcPr>
          <w:p>
            <w:pPr>
              <w:spacing w:after="160" w:line="259" w:lineRule="auto"/>
            </w:pPr>
          </w:p>
        </w:tc>
        <w:tc>
          <w:tcPr>
            <w:tcW w:w="1418" w:type="dxa"/>
            <w:shd w:val="clear" w:color="auto" w:fill="auto"/>
          </w:tcPr>
          <w:p>
            <w:pPr>
              <w:spacing w:after="160" w:line="259"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6" w:type="dxa"/>
            <w:left w:w="0" w:type="dxa"/>
            <w:bottom w:w="0" w:type="dxa"/>
            <w:right w:w="159" w:type="dxa"/>
          </w:tblCellMar>
        </w:tblPrEx>
        <w:trPr>
          <w:trHeight w:val="454" w:hRule="atLeast"/>
        </w:trPr>
        <w:tc>
          <w:tcPr>
            <w:tcW w:w="4754" w:type="dxa"/>
            <w:shd w:val="clear" w:color="auto" w:fill="auto"/>
            <w:vAlign w:val="center"/>
          </w:tcPr>
          <w:p>
            <w:pPr>
              <w:spacing w:line="259" w:lineRule="auto"/>
              <w:ind w:left="259"/>
            </w:pPr>
            <w:r>
              <w:rPr>
                <w:rFonts w:ascii="仿宋" w:hAnsi="仿宋" w:eastAsia="仿宋" w:cs="仿宋"/>
              </w:rPr>
              <w:t>加：投资收益</w:t>
            </w:r>
          </w:p>
        </w:tc>
        <w:tc>
          <w:tcPr>
            <w:tcW w:w="916" w:type="dxa"/>
            <w:shd w:val="clear" w:color="auto" w:fill="auto"/>
            <w:vAlign w:val="center"/>
          </w:tcPr>
          <w:p>
            <w:pPr>
              <w:spacing w:line="259" w:lineRule="auto"/>
              <w:ind w:left="160"/>
              <w:jc w:val="center"/>
            </w:pPr>
            <w:r>
              <w:rPr>
                <w:rFonts w:ascii="宋体" w:hAnsi="宋体" w:eastAsia="宋体" w:cs="宋体"/>
              </w:rPr>
              <w:t>2</w:t>
            </w:r>
          </w:p>
        </w:tc>
        <w:tc>
          <w:tcPr>
            <w:tcW w:w="1276" w:type="dxa"/>
            <w:shd w:val="clear" w:color="auto" w:fill="auto"/>
          </w:tcPr>
          <w:p>
            <w:pPr>
              <w:spacing w:after="160" w:line="259" w:lineRule="auto"/>
            </w:pPr>
          </w:p>
        </w:tc>
        <w:tc>
          <w:tcPr>
            <w:tcW w:w="1418" w:type="dxa"/>
            <w:shd w:val="clear" w:color="auto" w:fill="auto"/>
          </w:tcPr>
          <w:p>
            <w:pPr>
              <w:spacing w:after="160" w:line="259"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6" w:type="dxa"/>
            <w:left w:w="0" w:type="dxa"/>
            <w:bottom w:w="0" w:type="dxa"/>
            <w:right w:w="159" w:type="dxa"/>
          </w:tblCellMar>
        </w:tblPrEx>
        <w:trPr>
          <w:trHeight w:val="454" w:hRule="atLeast"/>
        </w:trPr>
        <w:tc>
          <w:tcPr>
            <w:tcW w:w="4754" w:type="dxa"/>
            <w:shd w:val="clear" w:color="auto" w:fill="auto"/>
            <w:vAlign w:val="center"/>
          </w:tcPr>
          <w:p>
            <w:pPr>
              <w:spacing w:line="259" w:lineRule="auto"/>
              <w:ind w:left="259"/>
            </w:pPr>
            <w:r>
              <w:rPr>
                <w:rFonts w:ascii="仿宋" w:hAnsi="仿宋" w:eastAsia="仿宋" w:cs="仿宋"/>
              </w:rPr>
              <w:t>减：经营支出</w:t>
            </w:r>
          </w:p>
        </w:tc>
        <w:tc>
          <w:tcPr>
            <w:tcW w:w="916" w:type="dxa"/>
            <w:shd w:val="clear" w:color="auto" w:fill="auto"/>
            <w:vAlign w:val="center"/>
          </w:tcPr>
          <w:p>
            <w:pPr>
              <w:spacing w:line="259" w:lineRule="auto"/>
              <w:ind w:left="160"/>
              <w:jc w:val="center"/>
            </w:pPr>
            <w:r>
              <w:rPr>
                <w:rFonts w:ascii="宋体" w:hAnsi="宋体" w:eastAsia="宋体" w:cs="宋体"/>
              </w:rPr>
              <w:t>3</w:t>
            </w:r>
          </w:p>
        </w:tc>
        <w:tc>
          <w:tcPr>
            <w:tcW w:w="1276" w:type="dxa"/>
            <w:shd w:val="clear" w:color="auto" w:fill="auto"/>
            <w:vAlign w:val="center"/>
          </w:tcPr>
          <w:p>
            <w:pPr>
              <w:spacing w:after="160" w:line="259" w:lineRule="auto"/>
            </w:pPr>
          </w:p>
        </w:tc>
        <w:tc>
          <w:tcPr>
            <w:tcW w:w="1418" w:type="dxa"/>
            <w:shd w:val="clear" w:color="auto" w:fill="auto"/>
          </w:tcPr>
          <w:p>
            <w:pPr>
              <w:spacing w:after="160" w:line="259"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6" w:type="dxa"/>
            <w:left w:w="0" w:type="dxa"/>
            <w:bottom w:w="0" w:type="dxa"/>
            <w:right w:w="159" w:type="dxa"/>
          </w:tblCellMar>
        </w:tblPrEx>
        <w:trPr>
          <w:trHeight w:val="454" w:hRule="atLeast"/>
        </w:trPr>
        <w:tc>
          <w:tcPr>
            <w:tcW w:w="4754" w:type="dxa"/>
            <w:shd w:val="clear" w:color="auto" w:fill="auto"/>
            <w:vAlign w:val="center"/>
          </w:tcPr>
          <w:p>
            <w:pPr>
              <w:spacing w:line="259" w:lineRule="auto"/>
              <w:ind w:left="780"/>
            </w:pPr>
            <w:r>
              <w:rPr>
                <w:rFonts w:ascii="仿宋" w:hAnsi="仿宋" w:eastAsia="仿宋" w:cs="仿宋"/>
              </w:rPr>
              <w:t>税金及附加</w:t>
            </w:r>
          </w:p>
        </w:tc>
        <w:tc>
          <w:tcPr>
            <w:tcW w:w="916" w:type="dxa"/>
            <w:shd w:val="clear" w:color="auto" w:fill="auto"/>
            <w:vAlign w:val="center"/>
          </w:tcPr>
          <w:p>
            <w:pPr>
              <w:spacing w:line="259" w:lineRule="auto"/>
              <w:ind w:left="160"/>
              <w:jc w:val="center"/>
            </w:pPr>
            <w:r>
              <w:rPr>
                <w:rFonts w:ascii="宋体" w:hAnsi="宋体" w:eastAsia="宋体" w:cs="宋体"/>
              </w:rPr>
              <w:t>4</w:t>
            </w:r>
          </w:p>
        </w:tc>
        <w:tc>
          <w:tcPr>
            <w:tcW w:w="1276" w:type="dxa"/>
            <w:shd w:val="clear" w:color="auto" w:fill="auto"/>
          </w:tcPr>
          <w:p>
            <w:pPr>
              <w:spacing w:after="160" w:line="259" w:lineRule="auto"/>
            </w:pPr>
          </w:p>
        </w:tc>
        <w:tc>
          <w:tcPr>
            <w:tcW w:w="1418" w:type="dxa"/>
            <w:shd w:val="clear" w:color="auto" w:fill="auto"/>
          </w:tcPr>
          <w:p>
            <w:pPr>
              <w:spacing w:after="160" w:line="259"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6" w:type="dxa"/>
            <w:left w:w="0" w:type="dxa"/>
            <w:bottom w:w="0" w:type="dxa"/>
            <w:right w:w="159" w:type="dxa"/>
          </w:tblCellMar>
        </w:tblPrEx>
        <w:trPr>
          <w:trHeight w:val="454" w:hRule="atLeast"/>
        </w:trPr>
        <w:tc>
          <w:tcPr>
            <w:tcW w:w="4754" w:type="dxa"/>
            <w:shd w:val="clear" w:color="auto" w:fill="auto"/>
            <w:vAlign w:val="center"/>
          </w:tcPr>
          <w:p>
            <w:pPr>
              <w:spacing w:line="259" w:lineRule="auto"/>
              <w:ind w:left="780"/>
            </w:pPr>
            <w:r>
              <w:rPr>
                <w:rFonts w:ascii="仿宋" w:hAnsi="仿宋" w:eastAsia="仿宋" w:cs="仿宋"/>
              </w:rPr>
              <w:t>管理费用</w:t>
            </w:r>
          </w:p>
        </w:tc>
        <w:tc>
          <w:tcPr>
            <w:tcW w:w="916" w:type="dxa"/>
            <w:shd w:val="clear" w:color="auto" w:fill="auto"/>
            <w:vAlign w:val="center"/>
          </w:tcPr>
          <w:p>
            <w:pPr>
              <w:spacing w:line="259" w:lineRule="auto"/>
              <w:ind w:left="160"/>
              <w:jc w:val="center"/>
            </w:pPr>
            <w:r>
              <w:rPr>
                <w:rFonts w:ascii="宋体" w:hAnsi="宋体" w:eastAsia="宋体" w:cs="宋体"/>
              </w:rPr>
              <w:t>5</w:t>
            </w:r>
          </w:p>
        </w:tc>
        <w:tc>
          <w:tcPr>
            <w:tcW w:w="1276" w:type="dxa"/>
            <w:shd w:val="clear" w:color="auto" w:fill="auto"/>
          </w:tcPr>
          <w:p>
            <w:pPr>
              <w:spacing w:after="160" w:line="259" w:lineRule="auto"/>
            </w:pPr>
          </w:p>
        </w:tc>
        <w:tc>
          <w:tcPr>
            <w:tcW w:w="1418" w:type="dxa"/>
            <w:shd w:val="clear" w:color="auto" w:fill="auto"/>
          </w:tcPr>
          <w:p>
            <w:pPr>
              <w:spacing w:after="160" w:line="259"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6" w:type="dxa"/>
            <w:left w:w="0" w:type="dxa"/>
            <w:bottom w:w="0" w:type="dxa"/>
            <w:right w:w="159" w:type="dxa"/>
          </w:tblCellMar>
        </w:tblPrEx>
        <w:trPr>
          <w:trHeight w:val="454" w:hRule="atLeast"/>
        </w:trPr>
        <w:tc>
          <w:tcPr>
            <w:tcW w:w="4754" w:type="dxa"/>
            <w:shd w:val="clear" w:color="auto" w:fill="auto"/>
            <w:vAlign w:val="center"/>
          </w:tcPr>
          <w:p>
            <w:pPr>
              <w:spacing w:line="259" w:lineRule="auto"/>
              <w:ind w:left="780"/>
            </w:pPr>
            <w:r>
              <w:rPr>
                <w:rFonts w:ascii="仿宋" w:hAnsi="仿宋" w:eastAsia="仿宋" w:cs="仿宋"/>
              </w:rPr>
              <w:t>财务费用</w:t>
            </w:r>
          </w:p>
        </w:tc>
        <w:tc>
          <w:tcPr>
            <w:tcW w:w="916" w:type="dxa"/>
            <w:shd w:val="clear" w:color="auto" w:fill="auto"/>
            <w:vAlign w:val="center"/>
          </w:tcPr>
          <w:p>
            <w:pPr>
              <w:spacing w:line="259" w:lineRule="auto"/>
              <w:ind w:left="160"/>
              <w:jc w:val="center"/>
            </w:pPr>
            <w:r>
              <w:rPr>
                <w:rFonts w:ascii="宋体" w:hAnsi="宋体" w:eastAsia="宋体" w:cs="宋体"/>
              </w:rPr>
              <w:t>6</w:t>
            </w:r>
          </w:p>
        </w:tc>
        <w:tc>
          <w:tcPr>
            <w:tcW w:w="1276" w:type="dxa"/>
            <w:shd w:val="clear" w:color="auto" w:fill="auto"/>
          </w:tcPr>
          <w:p>
            <w:pPr>
              <w:spacing w:after="160" w:line="259" w:lineRule="auto"/>
            </w:pPr>
          </w:p>
        </w:tc>
        <w:tc>
          <w:tcPr>
            <w:tcW w:w="1418" w:type="dxa"/>
            <w:shd w:val="clear" w:color="auto" w:fill="auto"/>
          </w:tcPr>
          <w:p>
            <w:pPr>
              <w:spacing w:after="160" w:line="259"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6" w:type="dxa"/>
            <w:left w:w="0" w:type="dxa"/>
            <w:bottom w:w="0" w:type="dxa"/>
            <w:right w:w="159" w:type="dxa"/>
          </w:tblCellMar>
        </w:tblPrEx>
        <w:trPr>
          <w:trHeight w:val="454" w:hRule="atLeast"/>
        </w:trPr>
        <w:tc>
          <w:tcPr>
            <w:tcW w:w="4754" w:type="dxa"/>
            <w:shd w:val="clear" w:color="auto" w:fill="auto"/>
            <w:vAlign w:val="center"/>
          </w:tcPr>
          <w:p>
            <w:pPr>
              <w:spacing w:line="259" w:lineRule="auto"/>
            </w:pPr>
            <w:r>
              <w:rPr>
                <w:rFonts w:ascii="仿宋" w:hAnsi="仿宋" w:eastAsia="仿宋" w:cs="仿宋"/>
              </w:rPr>
              <w:t>二、经营收益</w:t>
            </w:r>
          </w:p>
        </w:tc>
        <w:tc>
          <w:tcPr>
            <w:tcW w:w="916" w:type="dxa"/>
            <w:shd w:val="clear" w:color="auto" w:fill="auto"/>
            <w:vAlign w:val="center"/>
          </w:tcPr>
          <w:p>
            <w:pPr>
              <w:spacing w:line="259" w:lineRule="auto"/>
              <w:ind w:left="160"/>
              <w:jc w:val="center"/>
            </w:pPr>
            <w:r>
              <w:rPr>
                <w:rFonts w:ascii="宋体" w:hAnsi="宋体" w:eastAsia="宋体" w:cs="宋体"/>
              </w:rPr>
              <w:t>7</w:t>
            </w:r>
          </w:p>
        </w:tc>
        <w:tc>
          <w:tcPr>
            <w:tcW w:w="1276" w:type="dxa"/>
            <w:shd w:val="clear" w:color="auto" w:fill="auto"/>
          </w:tcPr>
          <w:p>
            <w:pPr>
              <w:spacing w:after="160" w:line="259" w:lineRule="auto"/>
            </w:pPr>
          </w:p>
        </w:tc>
        <w:tc>
          <w:tcPr>
            <w:tcW w:w="1418" w:type="dxa"/>
            <w:shd w:val="clear" w:color="auto" w:fill="auto"/>
          </w:tcPr>
          <w:p>
            <w:pPr>
              <w:spacing w:after="160" w:line="259"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6" w:type="dxa"/>
            <w:left w:w="0" w:type="dxa"/>
            <w:bottom w:w="0" w:type="dxa"/>
            <w:right w:w="159" w:type="dxa"/>
          </w:tblCellMar>
        </w:tblPrEx>
        <w:trPr>
          <w:trHeight w:val="454" w:hRule="atLeast"/>
        </w:trPr>
        <w:tc>
          <w:tcPr>
            <w:tcW w:w="4754" w:type="dxa"/>
            <w:shd w:val="clear" w:color="auto" w:fill="auto"/>
            <w:vAlign w:val="center"/>
          </w:tcPr>
          <w:p>
            <w:pPr>
              <w:spacing w:line="259" w:lineRule="auto"/>
              <w:ind w:left="259"/>
            </w:pPr>
            <w:r>
              <w:rPr>
                <w:rFonts w:ascii="仿宋" w:hAnsi="仿宋" w:eastAsia="仿宋" w:cs="仿宋"/>
              </w:rPr>
              <w:t>加：其他收入</w:t>
            </w:r>
          </w:p>
        </w:tc>
        <w:tc>
          <w:tcPr>
            <w:tcW w:w="916" w:type="dxa"/>
            <w:shd w:val="clear" w:color="auto" w:fill="auto"/>
            <w:vAlign w:val="center"/>
          </w:tcPr>
          <w:p>
            <w:pPr>
              <w:spacing w:line="259" w:lineRule="auto"/>
              <w:ind w:left="160"/>
              <w:jc w:val="center"/>
            </w:pPr>
            <w:r>
              <w:rPr>
                <w:rFonts w:ascii="宋体" w:hAnsi="宋体" w:eastAsia="宋体" w:cs="宋体"/>
              </w:rPr>
              <w:t>8</w:t>
            </w:r>
          </w:p>
        </w:tc>
        <w:tc>
          <w:tcPr>
            <w:tcW w:w="1276" w:type="dxa"/>
            <w:shd w:val="clear" w:color="auto" w:fill="auto"/>
          </w:tcPr>
          <w:p>
            <w:pPr>
              <w:spacing w:after="160" w:line="259" w:lineRule="auto"/>
            </w:pPr>
          </w:p>
        </w:tc>
        <w:tc>
          <w:tcPr>
            <w:tcW w:w="1418" w:type="dxa"/>
            <w:shd w:val="clear" w:color="auto" w:fill="auto"/>
          </w:tcPr>
          <w:p>
            <w:pPr>
              <w:spacing w:after="160" w:line="259"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6" w:type="dxa"/>
            <w:left w:w="0" w:type="dxa"/>
            <w:bottom w:w="0" w:type="dxa"/>
            <w:right w:w="159" w:type="dxa"/>
          </w:tblCellMar>
        </w:tblPrEx>
        <w:trPr>
          <w:trHeight w:val="454" w:hRule="atLeast"/>
        </w:trPr>
        <w:tc>
          <w:tcPr>
            <w:tcW w:w="4754" w:type="dxa"/>
            <w:shd w:val="clear" w:color="auto" w:fill="auto"/>
            <w:vAlign w:val="center"/>
          </w:tcPr>
          <w:p>
            <w:pPr>
              <w:spacing w:line="259" w:lineRule="auto"/>
              <w:ind w:left="259"/>
            </w:pPr>
            <w:r>
              <w:rPr>
                <w:rFonts w:ascii="仿宋" w:hAnsi="仿宋" w:eastAsia="仿宋" w:cs="仿宋"/>
              </w:rPr>
              <w:t>减：其他支出</w:t>
            </w:r>
          </w:p>
        </w:tc>
        <w:tc>
          <w:tcPr>
            <w:tcW w:w="916" w:type="dxa"/>
            <w:shd w:val="clear" w:color="auto" w:fill="auto"/>
            <w:vAlign w:val="center"/>
          </w:tcPr>
          <w:p>
            <w:pPr>
              <w:spacing w:line="259" w:lineRule="auto"/>
              <w:ind w:left="160"/>
              <w:jc w:val="center"/>
            </w:pPr>
            <w:r>
              <w:rPr>
                <w:rFonts w:ascii="宋体" w:hAnsi="宋体" w:eastAsia="宋体" w:cs="宋体"/>
              </w:rPr>
              <w:t>9</w:t>
            </w:r>
          </w:p>
        </w:tc>
        <w:tc>
          <w:tcPr>
            <w:tcW w:w="1276" w:type="dxa"/>
            <w:shd w:val="clear" w:color="auto" w:fill="auto"/>
          </w:tcPr>
          <w:p>
            <w:pPr>
              <w:spacing w:after="160" w:line="259" w:lineRule="auto"/>
            </w:pPr>
          </w:p>
        </w:tc>
        <w:tc>
          <w:tcPr>
            <w:tcW w:w="1418" w:type="dxa"/>
            <w:shd w:val="clear" w:color="auto" w:fill="auto"/>
          </w:tcPr>
          <w:p>
            <w:pPr>
              <w:spacing w:after="160" w:line="259"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6" w:type="dxa"/>
            <w:left w:w="0" w:type="dxa"/>
            <w:bottom w:w="0" w:type="dxa"/>
            <w:right w:w="159" w:type="dxa"/>
          </w:tblCellMar>
        </w:tblPrEx>
        <w:trPr>
          <w:trHeight w:val="454" w:hRule="atLeast"/>
        </w:trPr>
        <w:tc>
          <w:tcPr>
            <w:tcW w:w="4754" w:type="dxa"/>
            <w:shd w:val="clear" w:color="auto" w:fill="auto"/>
            <w:vAlign w:val="center"/>
          </w:tcPr>
          <w:p>
            <w:pPr>
              <w:spacing w:line="259" w:lineRule="auto"/>
            </w:pPr>
            <w:r>
              <w:rPr>
                <w:rFonts w:ascii="仿宋" w:hAnsi="仿宋" w:eastAsia="仿宋" w:cs="仿宋"/>
              </w:rPr>
              <w:t>三、盈余总额</w:t>
            </w:r>
          </w:p>
        </w:tc>
        <w:tc>
          <w:tcPr>
            <w:tcW w:w="916" w:type="dxa"/>
            <w:shd w:val="clear" w:color="auto" w:fill="auto"/>
            <w:vAlign w:val="center"/>
          </w:tcPr>
          <w:p>
            <w:pPr>
              <w:spacing w:line="259" w:lineRule="auto"/>
              <w:ind w:left="158"/>
              <w:jc w:val="center"/>
            </w:pPr>
            <w:r>
              <w:rPr>
                <w:rFonts w:ascii="宋体" w:hAnsi="宋体" w:eastAsia="宋体" w:cs="宋体"/>
              </w:rPr>
              <w:t>10</w:t>
            </w:r>
          </w:p>
        </w:tc>
        <w:tc>
          <w:tcPr>
            <w:tcW w:w="1276" w:type="dxa"/>
            <w:shd w:val="clear" w:color="auto" w:fill="auto"/>
          </w:tcPr>
          <w:p>
            <w:pPr>
              <w:spacing w:after="160" w:line="259" w:lineRule="auto"/>
            </w:pPr>
          </w:p>
        </w:tc>
        <w:tc>
          <w:tcPr>
            <w:tcW w:w="1418" w:type="dxa"/>
            <w:shd w:val="clear" w:color="auto" w:fill="auto"/>
          </w:tcPr>
          <w:p>
            <w:pPr>
              <w:spacing w:after="160" w:line="259"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6" w:type="dxa"/>
            <w:left w:w="0" w:type="dxa"/>
            <w:bottom w:w="0" w:type="dxa"/>
            <w:right w:w="159" w:type="dxa"/>
          </w:tblCellMar>
        </w:tblPrEx>
        <w:trPr>
          <w:trHeight w:val="454" w:hRule="atLeast"/>
        </w:trPr>
        <w:tc>
          <w:tcPr>
            <w:tcW w:w="4754" w:type="dxa"/>
            <w:shd w:val="clear" w:color="auto" w:fill="auto"/>
            <w:vAlign w:val="center"/>
          </w:tcPr>
          <w:p>
            <w:pPr>
              <w:spacing w:line="259" w:lineRule="auto"/>
              <w:ind w:left="259"/>
            </w:pPr>
            <w:r>
              <w:rPr>
                <w:rFonts w:ascii="仿宋" w:hAnsi="仿宋" w:eastAsia="仿宋" w:cs="仿宋"/>
              </w:rPr>
              <w:t>减：所得税费用</w:t>
            </w:r>
          </w:p>
        </w:tc>
        <w:tc>
          <w:tcPr>
            <w:tcW w:w="916" w:type="dxa"/>
            <w:shd w:val="clear" w:color="auto" w:fill="auto"/>
            <w:vAlign w:val="center"/>
          </w:tcPr>
          <w:p>
            <w:pPr>
              <w:spacing w:line="259" w:lineRule="auto"/>
              <w:ind w:left="158"/>
              <w:jc w:val="center"/>
            </w:pPr>
            <w:r>
              <w:rPr>
                <w:rFonts w:ascii="宋体" w:hAnsi="宋体" w:eastAsia="宋体" w:cs="宋体"/>
              </w:rPr>
              <w:t>11</w:t>
            </w:r>
          </w:p>
        </w:tc>
        <w:tc>
          <w:tcPr>
            <w:tcW w:w="1276" w:type="dxa"/>
            <w:shd w:val="clear" w:color="auto" w:fill="auto"/>
          </w:tcPr>
          <w:p>
            <w:pPr>
              <w:spacing w:after="160" w:line="259" w:lineRule="auto"/>
            </w:pPr>
          </w:p>
        </w:tc>
        <w:tc>
          <w:tcPr>
            <w:tcW w:w="1418" w:type="dxa"/>
            <w:shd w:val="clear" w:color="auto" w:fill="auto"/>
          </w:tcPr>
          <w:p>
            <w:pPr>
              <w:spacing w:after="160" w:line="259"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6" w:type="dxa"/>
            <w:left w:w="0" w:type="dxa"/>
            <w:bottom w:w="0" w:type="dxa"/>
            <w:right w:w="159" w:type="dxa"/>
          </w:tblCellMar>
        </w:tblPrEx>
        <w:trPr>
          <w:trHeight w:val="452" w:hRule="atLeast"/>
        </w:trPr>
        <w:tc>
          <w:tcPr>
            <w:tcW w:w="4754" w:type="dxa"/>
            <w:shd w:val="clear" w:color="auto" w:fill="auto"/>
            <w:vAlign w:val="center"/>
          </w:tcPr>
          <w:p>
            <w:pPr>
              <w:spacing w:line="259" w:lineRule="auto"/>
            </w:pPr>
            <w:r>
              <w:rPr>
                <w:rFonts w:ascii="仿宋" w:hAnsi="仿宋" w:eastAsia="仿宋" w:cs="仿宋"/>
              </w:rPr>
              <w:t>四、本年盈余</w:t>
            </w:r>
          </w:p>
        </w:tc>
        <w:tc>
          <w:tcPr>
            <w:tcW w:w="916" w:type="dxa"/>
            <w:shd w:val="clear" w:color="auto" w:fill="auto"/>
            <w:vAlign w:val="center"/>
          </w:tcPr>
          <w:p>
            <w:pPr>
              <w:spacing w:line="259" w:lineRule="auto"/>
              <w:ind w:left="160"/>
              <w:jc w:val="center"/>
            </w:pPr>
            <w:r>
              <w:rPr>
                <w:rFonts w:ascii="宋体" w:hAnsi="宋体" w:eastAsia="宋体" w:cs="宋体"/>
              </w:rPr>
              <w:t>12</w:t>
            </w:r>
          </w:p>
        </w:tc>
        <w:tc>
          <w:tcPr>
            <w:tcW w:w="1276" w:type="dxa"/>
            <w:shd w:val="clear" w:color="auto" w:fill="auto"/>
          </w:tcPr>
          <w:p>
            <w:pPr>
              <w:spacing w:after="160" w:line="259" w:lineRule="auto"/>
            </w:pPr>
          </w:p>
        </w:tc>
        <w:tc>
          <w:tcPr>
            <w:tcW w:w="1418" w:type="dxa"/>
            <w:shd w:val="clear" w:color="auto" w:fill="auto"/>
          </w:tcPr>
          <w:p>
            <w:pPr>
              <w:spacing w:after="160" w:line="259"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6" w:type="dxa"/>
            <w:left w:w="0" w:type="dxa"/>
            <w:bottom w:w="0" w:type="dxa"/>
            <w:right w:w="159" w:type="dxa"/>
          </w:tblCellMar>
        </w:tblPrEx>
        <w:trPr>
          <w:trHeight w:val="454" w:hRule="atLeast"/>
        </w:trPr>
        <w:tc>
          <w:tcPr>
            <w:tcW w:w="4754" w:type="dxa"/>
            <w:shd w:val="clear" w:color="auto" w:fill="auto"/>
          </w:tcPr>
          <w:p>
            <w:pPr>
              <w:spacing w:line="259" w:lineRule="auto"/>
              <w:ind w:left="214"/>
              <w:jc w:val="center"/>
            </w:pPr>
            <w:r>
              <w:rPr>
                <w:rFonts w:ascii="仿宋" w:hAnsi="仿宋" w:eastAsia="仿宋" w:cs="仿宋"/>
              </w:rPr>
              <w:t>项目</w:t>
            </w:r>
          </w:p>
        </w:tc>
        <w:tc>
          <w:tcPr>
            <w:tcW w:w="916" w:type="dxa"/>
            <w:shd w:val="clear" w:color="auto" w:fill="auto"/>
          </w:tcPr>
          <w:p>
            <w:pPr>
              <w:spacing w:line="259" w:lineRule="auto"/>
              <w:ind w:left="219"/>
              <w:jc w:val="both"/>
            </w:pPr>
            <w:r>
              <w:rPr>
                <w:rFonts w:ascii="仿宋" w:hAnsi="仿宋" w:eastAsia="仿宋" w:cs="仿宋"/>
              </w:rPr>
              <w:t>行次</w:t>
            </w:r>
          </w:p>
        </w:tc>
        <w:tc>
          <w:tcPr>
            <w:tcW w:w="1276" w:type="dxa"/>
            <w:shd w:val="clear" w:color="auto" w:fill="auto"/>
          </w:tcPr>
          <w:p>
            <w:pPr>
              <w:spacing w:line="259" w:lineRule="auto"/>
              <w:ind w:left="157"/>
              <w:jc w:val="both"/>
            </w:pPr>
            <w:r>
              <w:rPr>
                <w:rFonts w:ascii="仿宋" w:hAnsi="仿宋" w:eastAsia="仿宋" w:cs="仿宋"/>
              </w:rPr>
              <w:t>本年金额</w:t>
            </w:r>
          </w:p>
        </w:tc>
        <w:tc>
          <w:tcPr>
            <w:tcW w:w="1418" w:type="dxa"/>
            <w:shd w:val="clear" w:color="auto" w:fill="auto"/>
          </w:tcPr>
          <w:p>
            <w:pPr>
              <w:spacing w:line="259" w:lineRule="auto"/>
              <w:ind w:left="232"/>
              <w:jc w:val="both"/>
            </w:pPr>
            <w:r>
              <w:rPr>
                <w:rFonts w:ascii="仿宋" w:hAnsi="仿宋" w:eastAsia="仿宋" w:cs="仿宋"/>
              </w:rPr>
              <w:t>上年金额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6" w:type="dxa"/>
            <w:left w:w="0" w:type="dxa"/>
            <w:bottom w:w="0" w:type="dxa"/>
            <w:right w:w="159" w:type="dxa"/>
          </w:tblCellMar>
        </w:tblPrEx>
        <w:trPr>
          <w:trHeight w:val="454" w:hRule="atLeast"/>
        </w:trPr>
        <w:tc>
          <w:tcPr>
            <w:tcW w:w="4754" w:type="dxa"/>
            <w:shd w:val="clear" w:color="auto" w:fill="auto"/>
            <w:vAlign w:val="center"/>
          </w:tcPr>
          <w:p>
            <w:pPr>
              <w:spacing w:line="259" w:lineRule="auto"/>
              <w:ind w:left="259"/>
            </w:pPr>
            <w:r>
              <w:rPr>
                <w:rFonts w:ascii="仿宋" w:hAnsi="仿宋" w:eastAsia="仿宋" w:cs="仿宋"/>
              </w:rPr>
              <w:t>加：年初未分配盈余</w:t>
            </w:r>
          </w:p>
        </w:tc>
        <w:tc>
          <w:tcPr>
            <w:tcW w:w="916" w:type="dxa"/>
            <w:shd w:val="clear" w:color="auto" w:fill="auto"/>
            <w:vAlign w:val="center"/>
          </w:tcPr>
          <w:p>
            <w:pPr>
              <w:spacing w:line="259" w:lineRule="auto"/>
              <w:ind w:left="160"/>
              <w:jc w:val="center"/>
            </w:pPr>
            <w:r>
              <w:rPr>
                <w:rFonts w:ascii="宋体" w:hAnsi="宋体" w:eastAsia="宋体" w:cs="宋体"/>
              </w:rPr>
              <w:t>13</w:t>
            </w:r>
          </w:p>
        </w:tc>
        <w:tc>
          <w:tcPr>
            <w:tcW w:w="1276" w:type="dxa"/>
            <w:shd w:val="clear" w:color="auto" w:fill="auto"/>
          </w:tcPr>
          <w:p>
            <w:pPr>
              <w:spacing w:after="160" w:line="259" w:lineRule="auto"/>
            </w:pPr>
          </w:p>
        </w:tc>
        <w:tc>
          <w:tcPr>
            <w:tcW w:w="1418" w:type="dxa"/>
            <w:shd w:val="clear" w:color="auto" w:fill="auto"/>
          </w:tcPr>
          <w:p>
            <w:pPr>
              <w:spacing w:after="160" w:line="259"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6" w:type="dxa"/>
            <w:left w:w="0" w:type="dxa"/>
            <w:bottom w:w="0" w:type="dxa"/>
            <w:right w:w="159" w:type="dxa"/>
          </w:tblCellMar>
        </w:tblPrEx>
        <w:trPr>
          <w:trHeight w:val="454" w:hRule="atLeast"/>
        </w:trPr>
        <w:tc>
          <w:tcPr>
            <w:tcW w:w="4754" w:type="dxa"/>
            <w:shd w:val="clear" w:color="auto" w:fill="auto"/>
            <w:vAlign w:val="center"/>
          </w:tcPr>
          <w:p>
            <w:pPr>
              <w:spacing w:line="259" w:lineRule="auto"/>
              <w:ind w:left="780"/>
            </w:pPr>
            <w:r>
              <w:rPr>
                <w:rFonts w:ascii="仿宋" w:hAnsi="仿宋" w:eastAsia="仿宋" w:cs="仿宋"/>
              </w:rPr>
              <w:t>其他转入</w:t>
            </w:r>
          </w:p>
        </w:tc>
        <w:tc>
          <w:tcPr>
            <w:tcW w:w="916" w:type="dxa"/>
            <w:shd w:val="clear" w:color="auto" w:fill="auto"/>
            <w:vAlign w:val="center"/>
          </w:tcPr>
          <w:p>
            <w:pPr>
              <w:spacing w:line="259" w:lineRule="auto"/>
              <w:ind w:left="160"/>
              <w:jc w:val="center"/>
            </w:pPr>
            <w:r>
              <w:rPr>
                <w:rFonts w:ascii="宋体" w:hAnsi="宋体" w:eastAsia="宋体" w:cs="宋体"/>
              </w:rPr>
              <w:t>14</w:t>
            </w:r>
          </w:p>
        </w:tc>
        <w:tc>
          <w:tcPr>
            <w:tcW w:w="1276" w:type="dxa"/>
            <w:shd w:val="clear" w:color="auto" w:fill="auto"/>
          </w:tcPr>
          <w:p>
            <w:pPr>
              <w:spacing w:after="160" w:line="259" w:lineRule="auto"/>
            </w:pPr>
          </w:p>
        </w:tc>
        <w:tc>
          <w:tcPr>
            <w:tcW w:w="1418" w:type="dxa"/>
            <w:shd w:val="clear" w:color="auto" w:fill="auto"/>
          </w:tcPr>
          <w:p>
            <w:pPr>
              <w:spacing w:after="160" w:line="259"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6" w:type="dxa"/>
            <w:left w:w="0" w:type="dxa"/>
            <w:bottom w:w="0" w:type="dxa"/>
            <w:right w:w="159" w:type="dxa"/>
          </w:tblCellMar>
        </w:tblPrEx>
        <w:trPr>
          <w:trHeight w:val="454" w:hRule="atLeast"/>
        </w:trPr>
        <w:tc>
          <w:tcPr>
            <w:tcW w:w="4754" w:type="dxa"/>
            <w:shd w:val="clear" w:color="auto" w:fill="auto"/>
            <w:vAlign w:val="center"/>
          </w:tcPr>
          <w:p>
            <w:pPr>
              <w:spacing w:line="259" w:lineRule="auto"/>
              <w:ind w:left="259"/>
            </w:pPr>
            <w:r>
              <w:rPr>
                <w:rFonts w:ascii="仿宋" w:hAnsi="仿宋" w:eastAsia="仿宋" w:cs="仿宋"/>
              </w:rPr>
              <w:t>减：提取盈余公积</w:t>
            </w:r>
          </w:p>
        </w:tc>
        <w:tc>
          <w:tcPr>
            <w:tcW w:w="916" w:type="dxa"/>
            <w:shd w:val="clear" w:color="auto" w:fill="auto"/>
            <w:vAlign w:val="center"/>
          </w:tcPr>
          <w:p>
            <w:pPr>
              <w:spacing w:line="259" w:lineRule="auto"/>
              <w:ind w:left="160"/>
              <w:jc w:val="center"/>
            </w:pPr>
            <w:r>
              <w:rPr>
                <w:rFonts w:ascii="宋体" w:hAnsi="宋体" w:eastAsia="宋体" w:cs="宋体"/>
              </w:rPr>
              <w:t>15</w:t>
            </w:r>
          </w:p>
        </w:tc>
        <w:tc>
          <w:tcPr>
            <w:tcW w:w="1276" w:type="dxa"/>
            <w:shd w:val="clear" w:color="auto" w:fill="auto"/>
          </w:tcPr>
          <w:p>
            <w:pPr>
              <w:spacing w:after="160" w:line="259" w:lineRule="auto"/>
            </w:pPr>
          </w:p>
        </w:tc>
        <w:tc>
          <w:tcPr>
            <w:tcW w:w="1418" w:type="dxa"/>
            <w:shd w:val="clear" w:color="auto" w:fill="auto"/>
          </w:tcPr>
          <w:p>
            <w:pPr>
              <w:spacing w:after="160" w:line="259"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6" w:type="dxa"/>
            <w:left w:w="0" w:type="dxa"/>
            <w:bottom w:w="0" w:type="dxa"/>
            <w:right w:w="159" w:type="dxa"/>
          </w:tblCellMar>
        </w:tblPrEx>
        <w:trPr>
          <w:trHeight w:val="454" w:hRule="atLeast"/>
        </w:trPr>
        <w:tc>
          <w:tcPr>
            <w:tcW w:w="4754" w:type="dxa"/>
            <w:shd w:val="clear" w:color="auto" w:fill="auto"/>
            <w:vAlign w:val="center"/>
          </w:tcPr>
          <w:p>
            <w:pPr>
              <w:spacing w:line="259" w:lineRule="auto"/>
            </w:pPr>
            <w:r>
              <w:rPr>
                <w:rFonts w:ascii="仿宋" w:hAnsi="仿宋" w:eastAsia="仿宋" w:cs="仿宋"/>
              </w:rPr>
              <w:t>五、可分配盈余</w:t>
            </w:r>
          </w:p>
        </w:tc>
        <w:tc>
          <w:tcPr>
            <w:tcW w:w="916" w:type="dxa"/>
            <w:shd w:val="clear" w:color="auto" w:fill="auto"/>
            <w:vAlign w:val="center"/>
          </w:tcPr>
          <w:p>
            <w:pPr>
              <w:spacing w:line="259" w:lineRule="auto"/>
              <w:ind w:left="160"/>
              <w:jc w:val="center"/>
            </w:pPr>
            <w:r>
              <w:rPr>
                <w:rFonts w:ascii="宋体" w:hAnsi="宋体" w:eastAsia="宋体" w:cs="宋体"/>
              </w:rPr>
              <w:t>16</w:t>
            </w:r>
          </w:p>
        </w:tc>
        <w:tc>
          <w:tcPr>
            <w:tcW w:w="1276" w:type="dxa"/>
            <w:shd w:val="clear" w:color="auto" w:fill="auto"/>
            <w:vAlign w:val="center"/>
          </w:tcPr>
          <w:p>
            <w:pPr>
              <w:spacing w:after="160" w:line="259" w:lineRule="auto"/>
            </w:pPr>
          </w:p>
        </w:tc>
        <w:tc>
          <w:tcPr>
            <w:tcW w:w="1418" w:type="dxa"/>
            <w:shd w:val="clear" w:color="auto" w:fill="auto"/>
          </w:tcPr>
          <w:p>
            <w:pPr>
              <w:spacing w:after="160" w:line="259"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6" w:type="dxa"/>
            <w:left w:w="0" w:type="dxa"/>
            <w:bottom w:w="0" w:type="dxa"/>
            <w:right w:w="159" w:type="dxa"/>
          </w:tblCellMar>
        </w:tblPrEx>
        <w:trPr>
          <w:trHeight w:val="454" w:hRule="atLeast"/>
        </w:trPr>
        <w:tc>
          <w:tcPr>
            <w:tcW w:w="4754" w:type="dxa"/>
            <w:shd w:val="clear" w:color="auto" w:fill="auto"/>
            <w:vAlign w:val="center"/>
          </w:tcPr>
          <w:p>
            <w:pPr>
              <w:spacing w:line="259" w:lineRule="auto"/>
              <w:ind w:left="259"/>
            </w:pPr>
            <w:r>
              <w:rPr>
                <w:rFonts w:ascii="仿宋" w:hAnsi="仿宋" w:eastAsia="仿宋" w:cs="仿宋"/>
              </w:rPr>
              <w:t>减：盈余返还</w:t>
            </w:r>
          </w:p>
        </w:tc>
        <w:tc>
          <w:tcPr>
            <w:tcW w:w="916" w:type="dxa"/>
            <w:shd w:val="clear" w:color="auto" w:fill="auto"/>
            <w:vAlign w:val="center"/>
          </w:tcPr>
          <w:p>
            <w:pPr>
              <w:spacing w:line="259" w:lineRule="auto"/>
              <w:ind w:left="160"/>
              <w:jc w:val="center"/>
            </w:pPr>
            <w:r>
              <w:rPr>
                <w:rFonts w:ascii="宋体" w:hAnsi="宋体" w:eastAsia="宋体" w:cs="宋体"/>
              </w:rPr>
              <w:t>17</w:t>
            </w:r>
          </w:p>
        </w:tc>
        <w:tc>
          <w:tcPr>
            <w:tcW w:w="1276" w:type="dxa"/>
            <w:shd w:val="clear" w:color="auto" w:fill="auto"/>
          </w:tcPr>
          <w:p>
            <w:pPr>
              <w:spacing w:after="160" w:line="259" w:lineRule="auto"/>
            </w:pPr>
          </w:p>
        </w:tc>
        <w:tc>
          <w:tcPr>
            <w:tcW w:w="1418" w:type="dxa"/>
            <w:shd w:val="clear" w:color="auto" w:fill="auto"/>
          </w:tcPr>
          <w:p>
            <w:pPr>
              <w:spacing w:after="160" w:line="259"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6" w:type="dxa"/>
            <w:left w:w="0" w:type="dxa"/>
            <w:bottom w:w="0" w:type="dxa"/>
            <w:right w:w="159" w:type="dxa"/>
          </w:tblCellMar>
        </w:tblPrEx>
        <w:trPr>
          <w:trHeight w:val="454" w:hRule="atLeast"/>
        </w:trPr>
        <w:tc>
          <w:tcPr>
            <w:tcW w:w="4754" w:type="dxa"/>
            <w:shd w:val="clear" w:color="auto" w:fill="auto"/>
            <w:vAlign w:val="center"/>
          </w:tcPr>
          <w:p>
            <w:pPr>
              <w:spacing w:line="259" w:lineRule="auto"/>
              <w:ind w:left="780"/>
            </w:pPr>
            <w:r>
              <w:rPr>
                <w:rFonts w:ascii="仿宋" w:hAnsi="仿宋" w:eastAsia="仿宋" w:cs="仿宋"/>
              </w:rPr>
              <w:t>剩余盈余分配</w:t>
            </w:r>
          </w:p>
        </w:tc>
        <w:tc>
          <w:tcPr>
            <w:tcW w:w="916" w:type="dxa"/>
            <w:shd w:val="clear" w:color="auto" w:fill="auto"/>
            <w:vAlign w:val="center"/>
          </w:tcPr>
          <w:p>
            <w:pPr>
              <w:spacing w:line="259" w:lineRule="auto"/>
              <w:ind w:left="160"/>
              <w:jc w:val="center"/>
            </w:pPr>
            <w:r>
              <w:rPr>
                <w:rFonts w:ascii="宋体" w:hAnsi="宋体" w:eastAsia="宋体" w:cs="宋体"/>
              </w:rPr>
              <w:t>18</w:t>
            </w:r>
          </w:p>
        </w:tc>
        <w:tc>
          <w:tcPr>
            <w:tcW w:w="1276" w:type="dxa"/>
            <w:shd w:val="clear" w:color="auto" w:fill="auto"/>
          </w:tcPr>
          <w:p>
            <w:pPr>
              <w:spacing w:after="160" w:line="259" w:lineRule="auto"/>
            </w:pPr>
          </w:p>
        </w:tc>
        <w:tc>
          <w:tcPr>
            <w:tcW w:w="1418" w:type="dxa"/>
            <w:shd w:val="clear" w:color="auto" w:fill="auto"/>
          </w:tcPr>
          <w:p>
            <w:pPr>
              <w:spacing w:after="160" w:line="259"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6" w:type="dxa"/>
            <w:left w:w="0" w:type="dxa"/>
            <w:bottom w:w="0" w:type="dxa"/>
            <w:right w:w="159" w:type="dxa"/>
          </w:tblCellMar>
        </w:tblPrEx>
        <w:trPr>
          <w:trHeight w:val="454" w:hRule="atLeast"/>
        </w:trPr>
        <w:tc>
          <w:tcPr>
            <w:tcW w:w="4754" w:type="dxa"/>
            <w:shd w:val="clear" w:color="auto" w:fill="auto"/>
            <w:vAlign w:val="center"/>
          </w:tcPr>
          <w:p>
            <w:pPr>
              <w:spacing w:line="259" w:lineRule="auto"/>
              <w:ind w:left="780"/>
            </w:pPr>
            <w:r>
              <w:rPr>
                <w:rFonts w:ascii="仿宋" w:hAnsi="仿宋" w:eastAsia="仿宋" w:cs="仿宋"/>
              </w:rPr>
              <w:t>转为成员出资</w:t>
            </w:r>
          </w:p>
        </w:tc>
        <w:tc>
          <w:tcPr>
            <w:tcW w:w="916" w:type="dxa"/>
            <w:shd w:val="clear" w:color="auto" w:fill="auto"/>
            <w:vAlign w:val="center"/>
          </w:tcPr>
          <w:p>
            <w:pPr>
              <w:spacing w:line="259" w:lineRule="auto"/>
              <w:ind w:left="158"/>
              <w:jc w:val="center"/>
            </w:pPr>
            <w:r>
              <w:rPr>
                <w:rFonts w:ascii="宋体" w:hAnsi="宋体" w:eastAsia="宋体" w:cs="宋体"/>
              </w:rPr>
              <w:t>19</w:t>
            </w:r>
          </w:p>
        </w:tc>
        <w:tc>
          <w:tcPr>
            <w:tcW w:w="1276" w:type="dxa"/>
            <w:shd w:val="clear" w:color="auto" w:fill="auto"/>
          </w:tcPr>
          <w:p>
            <w:pPr>
              <w:spacing w:after="160" w:line="259" w:lineRule="auto"/>
            </w:pPr>
          </w:p>
        </w:tc>
        <w:tc>
          <w:tcPr>
            <w:tcW w:w="1418" w:type="dxa"/>
            <w:shd w:val="clear" w:color="auto" w:fill="auto"/>
          </w:tcPr>
          <w:p>
            <w:pPr>
              <w:spacing w:after="160" w:line="259"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6" w:type="dxa"/>
            <w:left w:w="0" w:type="dxa"/>
            <w:bottom w:w="0" w:type="dxa"/>
            <w:right w:w="159" w:type="dxa"/>
          </w:tblCellMar>
        </w:tblPrEx>
        <w:trPr>
          <w:trHeight w:val="454" w:hRule="atLeast"/>
        </w:trPr>
        <w:tc>
          <w:tcPr>
            <w:tcW w:w="4754" w:type="dxa"/>
            <w:shd w:val="clear" w:color="auto" w:fill="auto"/>
            <w:vAlign w:val="center"/>
          </w:tcPr>
          <w:p>
            <w:pPr>
              <w:spacing w:line="259" w:lineRule="auto"/>
            </w:pPr>
            <w:r>
              <w:rPr>
                <w:rFonts w:ascii="仿宋" w:hAnsi="仿宋" w:eastAsia="仿宋" w:cs="仿宋"/>
              </w:rPr>
              <w:t>六、年末未分配盈余</w:t>
            </w:r>
          </w:p>
        </w:tc>
        <w:tc>
          <w:tcPr>
            <w:tcW w:w="916" w:type="dxa"/>
            <w:shd w:val="clear" w:color="auto" w:fill="auto"/>
            <w:vAlign w:val="center"/>
          </w:tcPr>
          <w:p>
            <w:pPr>
              <w:spacing w:line="259" w:lineRule="auto"/>
              <w:ind w:left="160"/>
              <w:jc w:val="center"/>
            </w:pPr>
            <w:r>
              <w:rPr>
                <w:rFonts w:ascii="宋体" w:hAnsi="宋体" w:eastAsia="宋体" w:cs="宋体"/>
              </w:rPr>
              <w:t>20</w:t>
            </w:r>
          </w:p>
        </w:tc>
        <w:tc>
          <w:tcPr>
            <w:tcW w:w="1276" w:type="dxa"/>
            <w:shd w:val="clear" w:color="auto" w:fill="auto"/>
          </w:tcPr>
          <w:p>
            <w:pPr>
              <w:spacing w:after="160" w:line="259" w:lineRule="auto"/>
            </w:pPr>
          </w:p>
        </w:tc>
        <w:tc>
          <w:tcPr>
            <w:tcW w:w="1418" w:type="dxa"/>
            <w:shd w:val="clear" w:color="auto" w:fill="auto"/>
          </w:tcPr>
          <w:p>
            <w:pPr>
              <w:spacing w:after="160" w:line="259" w:lineRule="auto"/>
            </w:pPr>
          </w:p>
        </w:tc>
      </w:tr>
    </w:tbl>
    <w:p>
      <w:pPr>
        <w:pStyle w:val="4"/>
        <w:rPr>
          <w:color w:val="000000"/>
        </w:rPr>
      </w:pPr>
      <w:r>
        <w:rPr>
          <w:color w:val="000000"/>
        </w:rPr>
        <w:t> </w:t>
      </w:r>
    </w:p>
    <w:p>
      <w:pPr>
        <w:pStyle w:val="5"/>
        <w:ind w:firstLine="422"/>
        <w:rPr>
          <w:color w:val="000000"/>
        </w:rPr>
      </w:pPr>
      <w:r>
        <w:rPr>
          <w:rFonts w:hint="eastAsia"/>
          <w:color w:val="000000"/>
        </w:rPr>
        <w:t>【表单说明】</w:t>
      </w:r>
    </w:p>
    <w:p>
      <w:pPr>
        <w:pStyle w:val="7"/>
        <w:rPr>
          <w:color w:val="000000"/>
          <w:szCs w:val="22"/>
        </w:rPr>
      </w:pPr>
      <w:r>
        <w:rPr>
          <w:rFonts w:hint="eastAsia"/>
          <w:color w:val="000000"/>
          <w:szCs w:val="22"/>
        </w:rPr>
        <w:t>1.本表反映合作社一定会计期间内盈余实现及其分配的实际情况。</w:t>
      </w:r>
    </w:p>
    <w:p>
      <w:pPr>
        <w:pStyle w:val="7"/>
        <w:rPr>
          <w:color w:val="000000"/>
          <w:szCs w:val="22"/>
        </w:rPr>
      </w:pPr>
      <w:r>
        <w:rPr>
          <w:rFonts w:hint="eastAsia"/>
          <w:color w:val="000000"/>
          <w:szCs w:val="22"/>
        </w:rPr>
        <w:t>2.本表“上年金额”栏各项目数字，应根据上年度盈余及盈余分配表“本年金额”栏内各对应项目数字填列。</w:t>
      </w:r>
    </w:p>
    <w:p>
      <w:pPr>
        <w:pStyle w:val="7"/>
        <w:rPr>
          <w:color w:val="000000"/>
          <w:szCs w:val="22"/>
        </w:rPr>
      </w:pPr>
      <w:r>
        <w:rPr>
          <w:rFonts w:hint="eastAsia"/>
          <w:color w:val="000000"/>
          <w:szCs w:val="22"/>
        </w:rPr>
        <w:t>3.本表“本年金额”栏各项目的内容及其填列方法：</w:t>
      </w:r>
    </w:p>
    <w:p>
      <w:pPr>
        <w:pStyle w:val="7"/>
        <w:rPr>
          <w:color w:val="000000"/>
          <w:szCs w:val="22"/>
        </w:rPr>
      </w:pPr>
      <w:r>
        <w:rPr>
          <w:rFonts w:hint="eastAsia"/>
          <w:color w:val="000000"/>
          <w:szCs w:val="22"/>
        </w:rPr>
        <w:t>（1）“经营收入”项目，反映合作社进行生产、销售、服务等主要生产经营活动取得的收入总额。本项目应根据“经营收入”科目的发生额分析填列。</w:t>
      </w:r>
    </w:p>
    <w:p>
      <w:pPr>
        <w:pStyle w:val="7"/>
        <w:rPr>
          <w:color w:val="000000"/>
          <w:szCs w:val="22"/>
        </w:rPr>
      </w:pPr>
      <w:r>
        <w:rPr>
          <w:rFonts w:hint="eastAsia"/>
          <w:color w:val="000000"/>
          <w:szCs w:val="22"/>
        </w:rPr>
        <w:t>（2）“投资收益”项目，反映合作社以各种方式对外投资所取得的收益。本项目应根据“投资收益”科目的发生额分析填列。如为投资损失，本项目数字以“-”号填列。</w:t>
      </w:r>
    </w:p>
    <w:p>
      <w:pPr>
        <w:pStyle w:val="7"/>
        <w:rPr>
          <w:color w:val="000000"/>
          <w:szCs w:val="22"/>
        </w:rPr>
      </w:pPr>
      <w:r>
        <w:rPr>
          <w:rFonts w:hint="eastAsia"/>
          <w:color w:val="000000"/>
          <w:szCs w:val="22"/>
        </w:rPr>
        <w:t>（3）“经营支出”项目，反映合作社进行生产、销售、服务等主要生产经营活动发生的支出。本项目应根据“经营</w:t>
      </w:r>
    </w:p>
    <w:p>
      <w:pPr>
        <w:pStyle w:val="7"/>
        <w:rPr>
          <w:color w:val="000000"/>
          <w:szCs w:val="22"/>
        </w:rPr>
      </w:pPr>
      <w:r>
        <w:rPr>
          <w:rFonts w:hint="eastAsia"/>
          <w:color w:val="000000"/>
          <w:szCs w:val="22"/>
        </w:rPr>
        <w:t>支出”科目的发生额分析填列。</w:t>
      </w:r>
    </w:p>
    <w:p>
      <w:pPr>
        <w:pStyle w:val="7"/>
        <w:rPr>
          <w:color w:val="000000"/>
          <w:szCs w:val="22"/>
        </w:rPr>
      </w:pPr>
      <w:r>
        <w:rPr>
          <w:rFonts w:hint="eastAsia"/>
          <w:color w:val="000000"/>
          <w:szCs w:val="22"/>
        </w:rPr>
        <w:t>（4）“税金及附加”项目，反映合作社从事生产经营活动按照税法的有关规定应负担的消费税、城市维护建设税、资源税、房产税、土地使用税、车船使用税、印花税、教育费附加及地方教育费附加等相关税费。本项目应根据“税金及附加”科目的发生额分析填列。</w:t>
      </w:r>
    </w:p>
    <w:p>
      <w:pPr>
        <w:pStyle w:val="7"/>
        <w:rPr>
          <w:color w:val="000000"/>
          <w:szCs w:val="22"/>
        </w:rPr>
      </w:pPr>
      <w:r>
        <w:rPr>
          <w:rFonts w:hint="eastAsia"/>
          <w:color w:val="000000"/>
          <w:szCs w:val="22"/>
        </w:rPr>
        <w:t>（5）“管理费用”项目，反映合作社为组织和管理生产经营活动而发生的费用。本项目应根据“管理费用”科目的发生额分析填列。</w:t>
      </w:r>
    </w:p>
    <w:p>
      <w:pPr>
        <w:pStyle w:val="7"/>
        <w:rPr>
          <w:color w:val="000000"/>
          <w:szCs w:val="22"/>
        </w:rPr>
      </w:pPr>
      <w:r>
        <w:rPr>
          <w:rFonts w:hint="eastAsia"/>
          <w:color w:val="000000"/>
          <w:szCs w:val="22"/>
        </w:rPr>
        <w:t>（6）“财务费用”项目，反映合作社为筹集生产经营所需资金发生的支出。本项目应根据“财务费用”科目的发生额分析填列。</w:t>
      </w:r>
    </w:p>
    <w:p>
      <w:pPr>
        <w:pStyle w:val="7"/>
        <w:rPr>
          <w:color w:val="000000"/>
          <w:szCs w:val="22"/>
        </w:rPr>
      </w:pPr>
      <w:r>
        <w:rPr>
          <w:rFonts w:hint="eastAsia"/>
          <w:color w:val="000000"/>
          <w:szCs w:val="22"/>
        </w:rPr>
        <w:t>（7）“经营收益”项目，反映合作社当期通过生产经营活动实现的收益。本项目应根据本表中“经营收入”、“投资收益”项目金额之和减去“经营支出”、“税金及附加”、“管理费用”、“财务费用”项目金额后的余额填列。如为经营亏损，本项目数字以“－”号填列。</w:t>
      </w:r>
    </w:p>
    <w:p>
      <w:pPr>
        <w:pStyle w:val="7"/>
        <w:rPr>
          <w:color w:val="000000"/>
          <w:szCs w:val="22"/>
        </w:rPr>
      </w:pPr>
      <w:r>
        <w:rPr>
          <w:rFonts w:hint="eastAsia"/>
          <w:color w:val="000000"/>
          <w:szCs w:val="22"/>
        </w:rPr>
        <w:t>（8）“其他收入”项目和“其他支出”项目，分别反映合作社除生产经营活动以外而取得的收入和发生的支出。这两个项目应分别根据“其他收入”科目和“其他支出”科目的发生额分析填列。</w:t>
      </w:r>
    </w:p>
    <w:p>
      <w:pPr>
        <w:pStyle w:val="7"/>
        <w:rPr>
          <w:color w:val="000000"/>
          <w:szCs w:val="22"/>
        </w:rPr>
      </w:pPr>
      <w:r>
        <w:rPr>
          <w:rFonts w:hint="eastAsia"/>
          <w:color w:val="000000"/>
          <w:szCs w:val="22"/>
        </w:rPr>
        <w:t>（9）“盈余总额”项目，反映合作社当期实现的盈余总额。本项目应根据本表中“经营收益”、“其他收入”项目金额之和减去“其他支出”项目金额后的余额填列。如为亏损总额，本项目数字以“－”号填列。</w:t>
      </w:r>
    </w:p>
    <w:p>
      <w:pPr>
        <w:pStyle w:val="7"/>
        <w:rPr>
          <w:color w:val="000000"/>
          <w:szCs w:val="22"/>
        </w:rPr>
      </w:pPr>
      <w:r>
        <w:rPr>
          <w:rFonts w:hint="eastAsia"/>
          <w:color w:val="000000"/>
          <w:szCs w:val="22"/>
        </w:rPr>
        <w:t>（10）“所得税费用”项目，反映合作社根据企业所得税法规定应从盈余总额中扣除的所得税费用。本项目应根据“所得税费用”科目的发生额分析填列。</w:t>
      </w:r>
    </w:p>
    <w:p>
      <w:pPr>
        <w:pStyle w:val="7"/>
        <w:rPr>
          <w:color w:val="000000"/>
          <w:szCs w:val="22"/>
        </w:rPr>
      </w:pPr>
      <w:r>
        <w:rPr>
          <w:rFonts w:hint="eastAsia"/>
          <w:color w:val="000000"/>
          <w:szCs w:val="22"/>
        </w:rPr>
        <w:t>（11）“本年盈余”项目，反映合作社本年实现的净盈余。本项目应根据本表中“盈余总额”项目金额减去“所得税费用”项目金额后的余额填列。如为净亏损，本项目数字以“-”号填列。</w:t>
      </w:r>
    </w:p>
    <w:p>
      <w:pPr>
        <w:pStyle w:val="7"/>
        <w:rPr>
          <w:color w:val="000000"/>
          <w:szCs w:val="22"/>
        </w:rPr>
      </w:pPr>
      <w:r>
        <w:rPr>
          <w:rFonts w:hint="eastAsia"/>
          <w:color w:val="000000"/>
          <w:szCs w:val="22"/>
        </w:rPr>
        <w:t>（12）“年初未分配盈余”项目，反映合作社上年末累计未分配的盈余。本项目应根据上年度盈余及盈余分配表中“年末未分配盈余”项目的金额填列。</w:t>
      </w:r>
    </w:p>
    <w:p>
      <w:pPr>
        <w:pStyle w:val="7"/>
        <w:rPr>
          <w:color w:val="000000"/>
          <w:szCs w:val="22"/>
        </w:rPr>
      </w:pPr>
      <w:r>
        <w:rPr>
          <w:rFonts w:hint="eastAsia"/>
          <w:color w:val="000000"/>
          <w:szCs w:val="22"/>
        </w:rPr>
        <w:t>（13）“其他转入”项目，反映合作社按规定用公积金弥补亏损等转入的数额。本项目应根据实际转入的公积金数额填列。</w:t>
      </w:r>
    </w:p>
    <w:p>
      <w:pPr>
        <w:pStyle w:val="7"/>
        <w:rPr>
          <w:color w:val="000000"/>
          <w:szCs w:val="22"/>
        </w:rPr>
      </w:pPr>
      <w:r>
        <w:rPr>
          <w:rFonts w:hint="eastAsia"/>
          <w:color w:val="000000"/>
          <w:szCs w:val="22"/>
        </w:rPr>
        <w:t>（14）“提取盈余公积”项目，反映合作社按规定提取的盈余公积数额。本项目应根据实际提取的盈余公积数额填列。</w:t>
      </w:r>
    </w:p>
    <w:p>
      <w:pPr>
        <w:pStyle w:val="7"/>
        <w:rPr>
          <w:color w:val="000000"/>
          <w:szCs w:val="22"/>
        </w:rPr>
      </w:pPr>
      <w:r>
        <w:rPr>
          <w:rFonts w:hint="eastAsia"/>
          <w:color w:val="000000"/>
          <w:szCs w:val="22"/>
        </w:rPr>
        <w:t>（15）“可分配盈余”项目，反映合作社年末可供成员分配的盈余。本项目应根据本表中“本年盈余”、“年初未分配盈余”、“其他转入”项目金额之和减去“提取盈余公积”项目金额后的余额填列。</w:t>
      </w:r>
    </w:p>
    <w:p>
      <w:pPr>
        <w:pStyle w:val="7"/>
        <w:rPr>
          <w:color w:val="000000"/>
          <w:szCs w:val="22"/>
        </w:rPr>
      </w:pPr>
      <w:r>
        <w:rPr>
          <w:rFonts w:hint="eastAsia"/>
          <w:color w:val="000000"/>
          <w:szCs w:val="22"/>
        </w:rPr>
        <w:t>（16）“盈余返还”项目，反映合作社按规定返还给成员的盈余。本项目应根据“盈余分配”科目和“应付盈余返还”科目的相关发生额分析填列。</w:t>
      </w:r>
    </w:p>
    <w:p>
      <w:pPr>
        <w:pStyle w:val="7"/>
        <w:rPr>
          <w:color w:val="000000"/>
          <w:szCs w:val="22"/>
        </w:rPr>
      </w:pPr>
      <w:r>
        <w:rPr>
          <w:rFonts w:hint="eastAsia"/>
          <w:color w:val="000000"/>
          <w:szCs w:val="22"/>
        </w:rPr>
        <w:t>（17）“剩余盈余分配”项目，反映合作社按规定分配给成员的剩余可分配盈余。本项目应根据“盈余分配”科目和“应付剩余盈余”科目的相关发生额分析填列。</w:t>
      </w:r>
    </w:p>
    <w:p>
      <w:pPr>
        <w:pStyle w:val="7"/>
        <w:rPr>
          <w:color w:val="000000"/>
          <w:szCs w:val="22"/>
        </w:rPr>
      </w:pPr>
      <w:r>
        <w:rPr>
          <w:rFonts w:hint="eastAsia"/>
          <w:color w:val="000000"/>
          <w:szCs w:val="22"/>
        </w:rPr>
        <w:t>（18）“转为成员出资”项目，反映经成员（代表）大会表决同意，转为成员出资的可分配盈余数额。本项目应根据实际转为成员出资的可分配盈余数额分析填列。</w:t>
      </w:r>
    </w:p>
    <w:p>
      <w:pPr>
        <w:pStyle w:val="7"/>
        <w:rPr>
          <w:color w:val="000000"/>
        </w:rPr>
      </w:pPr>
      <w:r>
        <w:rPr>
          <w:rFonts w:hint="eastAsia"/>
          <w:color w:val="000000"/>
          <w:szCs w:val="22"/>
        </w:rPr>
        <w:t>（19）“年末未分配盈余”项目，反映合作社本年末累计未分配的盈余。本项目应根据本表中“可分配盈余”项目金额减去“盈余返还”、“剩余盈余分配”、“转为成员出资”项目金额后的余额填列。如为未弥补的亏损，本项目数字以“-”号填列。</w:t>
      </w:r>
    </w:p>
    <w:p>
      <w:pPr>
        <w:rPr>
          <w:rFonts w:ascii="宋体" w:hAnsi="宋体" w:eastAsia="宋体"/>
          <w:color w:val="00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E741E6"/>
    <w:rsid w:val="4EE741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_0_0"/>
    <w:qFormat/>
    <w:uiPriority w:val="0"/>
    <w:rPr>
      <w:rFonts w:ascii="Times New Roman" w:hAnsi="Times New Roman" w:eastAsia="Times New Roman" w:cs="Times New Roman"/>
      <w:sz w:val="24"/>
      <w:szCs w:val="24"/>
      <w:lang w:val="en-US" w:eastAsia="zh-CN" w:bidi="ar-SA"/>
    </w:rPr>
  </w:style>
  <w:style w:type="paragraph" w:customStyle="1" w:styleId="5">
    <w:name w:val="一级标题_0"/>
    <w:basedOn w:val="6"/>
    <w:qFormat/>
    <w:uiPriority w:val="0"/>
    <w:pPr>
      <w:ind w:firstLine="420"/>
      <w:outlineLvl w:val="2"/>
    </w:pPr>
    <w:rPr>
      <w:rFonts w:ascii="Arial" w:hAnsi="Arial" w:cs="Arial"/>
      <w:b/>
    </w:rPr>
  </w:style>
  <w:style w:type="paragraph" w:customStyle="1" w:styleId="6">
    <w:name w:val="正文_0"/>
    <w:qFormat/>
    <w:uiPriority w:val="0"/>
    <w:rPr>
      <w:rFonts w:ascii="Times New Roman" w:hAnsi="Times New Roman" w:eastAsia="Times New Roman" w:cs="Times New Roman"/>
      <w:sz w:val="24"/>
      <w:szCs w:val="24"/>
      <w:lang w:val="en-US" w:eastAsia="zh-CN" w:bidi="ar-SA"/>
    </w:rPr>
  </w:style>
  <w:style w:type="paragraph" w:customStyle="1" w:styleId="7">
    <w:name w:val="需求正文_0"/>
    <w:basedOn w:val="8"/>
    <w:qFormat/>
    <w:uiPriority w:val="0"/>
    <w:pPr>
      <w:ind w:firstLine="420"/>
    </w:pPr>
    <w:rPr>
      <w:rFonts w:ascii="Arial" w:hAnsi="Arial" w:eastAsia="宋体"/>
      <w:kern w:val="2"/>
      <w:sz w:val="21"/>
    </w:rPr>
  </w:style>
  <w:style w:type="paragraph" w:customStyle="1" w:styleId="8">
    <w:name w:val="正文_1"/>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2023-05-12T07:29:00Z</dcterms:created>
  <dc:creator>林炜帆</dc:creator>
  <cp:lastModifiedBy>林炜帆</cp:lastModifiedBy>
  <dcterms:modified xsi:type="dcterms:W3CDTF">2023-05-12T07:31:00Z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